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BBA" w:rsidRPr="005B7ED1" w:rsidRDefault="000D5BBA" w:rsidP="000D5BBA">
      <w:pPr>
        <w:jc w:val="center"/>
        <w:rPr>
          <w:rFonts w:ascii="Times New Roman" w:hAnsi="Times New Roman" w:cs="Times New Roman"/>
          <w:sz w:val="28"/>
        </w:rPr>
      </w:pPr>
      <w:r w:rsidRPr="005B7ED1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0D5BBA" w:rsidRPr="005B7ED1" w:rsidRDefault="000D5BBA" w:rsidP="000D5BBA">
      <w:pPr>
        <w:jc w:val="center"/>
        <w:rPr>
          <w:rFonts w:ascii="Times New Roman" w:hAnsi="Times New Roman" w:cs="Times New Roman"/>
          <w:sz w:val="28"/>
        </w:rPr>
      </w:pPr>
      <w:r w:rsidRPr="005B7ED1">
        <w:rPr>
          <w:rFonts w:ascii="Times New Roman" w:hAnsi="Times New Roman" w:cs="Times New Roman"/>
          <w:sz w:val="28"/>
        </w:rPr>
        <w:t>НАЦІОНАЛЬНИЙ УНІВЕРСИТЕТ „ЛЬВІВСЬКА ПОЛІТЕХНІКА”</w:t>
      </w:r>
    </w:p>
    <w:p w:rsidR="000D5BBA" w:rsidRDefault="000D5BBA" w:rsidP="000D5BBA">
      <w:pPr>
        <w:jc w:val="center"/>
        <w:rPr>
          <w:rFonts w:ascii="Times New Roman" w:hAnsi="Times New Roman" w:cs="Times New Roman"/>
          <w:sz w:val="32"/>
        </w:rPr>
      </w:pPr>
    </w:p>
    <w:p w:rsidR="000D5BBA" w:rsidRPr="005B7ED1" w:rsidRDefault="000D5BBA" w:rsidP="000D5BBA">
      <w:pPr>
        <w:jc w:val="center"/>
        <w:rPr>
          <w:rFonts w:ascii="Times New Roman" w:hAnsi="Times New Roman" w:cs="Times New Roman"/>
          <w:sz w:val="32"/>
        </w:rPr>
      </w:pPr>
    </w:p>
    <w:p w:rsidR="000D5BBA" w:rsidRPr="00D53177" w:rsidRDefault="000D5BBA" w:rsidP="000D5BBA">
      <w:pPr>
        <w:jc w:val="right"/>
        <w:rPr>
          <w:rFonts w:ascii="Times New Roman" w:hAnsi="Times New Roman" w:cs="Times New Roman"/>
          <w:sz w:val="24"/>
        </w:rPr>
      </w:pPr>
      <w:r w:rsidRPr="00D53177">
        <w:rPr>
          <w:rFonts w:ascii="Times New Roman" w:hAnsi="Times New Roman" w:cs="Times New Roman"/>
          <w:sz w:val="24"/>
        </w:rPr>
        <w:t xml:space="preserve">Кафедра </w:t>
      </w:r>
      <w:r w:rsidRPr="00322A23">
        <w:rPr>
          <w:rFonts w:ascii="Times New Roman" w:hAnsi="Times New Roman" w:cs="Times New Roman"/>
          <w:sz w:val="24"/>
        </w:rPr>
        <w:t>ЦБ</w:t>
      </w:r>
    </w:p>
    <w:p w:rsidR="000D5BBA" w:rsidRPr="00E30696" w:rsidRDefault="000D5BBA" w:rsidP="000D5BBA">
      <w:pPr>
        <w:jc w:val="center"/>
        <w:rPr>
          <w:rFonts w:ascii="Times New Roman" w:hAnsi="Times New Roman" w:cs="Times New Roman"/>
          <w:sz w:val="28"/>
        </w:rPr>
      </w:pPr>
    </w:p>
    <w:p w:rsidR="000D5BBA" w:rsidRDefault="000D5BBA" w:rsidP="000D5BBA">
      <w:pPr>
        <w:jc w:val="center"/>
        <w:rPr>
          <w:rFonts w:ascii="Times New Roman" w:hAnsi="Times New Roman" w:cs="Times New Roman"/>
          <w:sz w:val="28"/>
        </w:rPr>
      </w:pPr>
    </w:p>
    <w:p w:rsidR="000D5BBA" w:rsidRDefault="000D5BBA" w:rsidP="000D5BBA">
      <w:pPr>
        <w:jc w:val="center"/>
        <w:rPr>
          <w:rFonts w:ascii="Times New Roman" w:hAnsi="Times New Roman" w:cs="Times New Roman"/>
          <w:sz w:val="28"/>
        </w:rPr>
      </w:pPr>
    </w:p>
    <w:p w:rsidR="000D5BBA" w:rsidRPr="00E30696" w:rsidRDefault="000D5BBA" w:rsidP="000D5BBA">
      <w:pPr>
        <w:jc w:val="center"/>
        <w:rPr>
          <w:rFonts w:ascii="Times New Roman" w:hAnsi="Times New Roman" w:cs="Times New Roman"/>
          <w:sz w:val="28"/>
        </w:rPr>
      </w:pPr>
    </w:p>
    <w:p w:rsidR="000D5BBA" w:rsidRPr="005B7ED1" w:rsidRDefault="000D5BBA" w:rsidP="000D5BBA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Р О З Р А Х У Н К О В А  Р О Б О Т А</w:t>
      </w:r>
    </w:p>
    <w:p w:rsidR="000D5BBA" w:rsidRPr="005B7ED1" w:rsidRDefault="000D5BBA" w:rsidP="000D5B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  <w:r w:rsidRPr="005B7ED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759">
        <w:rPr>
          <w:rFonts w:ascii="Times New Roman" w:hAnsi="Times New Roman" w:cs="Times New Roman"/>
          <w:sz w:val="28"/>
          <w:szCs w:val="28"/>
        </w:rPr>
        <w:t>Основи охорони праці та безпека життєдіяльності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7ED1">
        <w:rPr>
          <w:rFonts w:ascii="Times New Roman" w:hAnsi="Times New Roman" w:cs="Times New Roman"/>
          <w:sz w:val="28"/>
          <w:szCs w:val="28"/>
        </w:rPr>
        <w:t>»</w:t>
      </w:r>
    </w:p>
    <w:p w:rsidR="000D5BBA" w:rsidRPr="008573A8" w:rsidRDefault="000D5BBA" w:rsidP="000D5BBA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8573A8">
        <w:rPr>
          <w:rFonts w:ascii="Times New Roman" w:hAnsi="Times New Roman" w:cs="Times New Roman"/>
          <w:sz w:val="28"/>
          <w:szCs w:val="36"/>
        </w:rPr>
        <w:t>Варіант №</w:t>
      </w:r>
      <w:r w:rsidRPr="008573A8">
        <w:rPr>
          <w:rFonts w:ascii="Times New Roman" w:hAnsi="Times New Roman" w:cs="Times New Roman"/>
          <w:sz w:val="28"/>
          <w:szCs w:val="36"/>
          <w:lang w:val="ru-RU"/>
        </w:rPr>
        <w:t>2</w:t>
      </w:r>
      <w:r w:rsidR="003F41AA">
        <w:rPr>
          <w:rFonts w:ascii="Times New Roman" w:hAnsi="Times New Roman" w:cs="Times New Roman"/>
          <w:sz w:val="28"/>
          <w:szCs w:val="36"/>
          <w:lang w:val="ru-RU"/>
        </w:rPr>
        <w:t>5</w:t>
      </w:r>
    </w:p>
    <w:p w:rsidR="000D5BBA" w:rsidRDefault="000D5BBA" w:rsidP="000D5BBA">
      <w:pPr>
        <w:jc w:val="center"/>
        <w:rPr>
          <w:rFonts w:ascii="Times New Roman" w:hAnsi="Times New Roman" w:cs="Times New Roman"/>
          <w:sz w:val="36"/>
          <w:lang w:val="ru-RU"/>
        </w:rPr>
      </w:pPr>
    </w:p>
    <w:p w:rsidR="000D5BBA" w:rsidRPr="00E30696" w:rsidRDefault="000D5BBA" w:rsidP="000D5BBA">
      <w:pPr>
        <w:jc w:val="center"/>
        <w:rPr>
          <w:rFonts w:ascii="Times New Roman" w:hAnsi="Times New Roman" w:cs="Times New Roman"/>
          <w:sz w:val="36"/>
          <w:lang w:val="ru-RU"/>
        </w:rPr>
      </w:pPr>
    </w:p>
    <w:p w:rsidR="000D5BBA" w:rsidRPr="00E30696" w:rsidRDefault="000D5BBA" w:rsidP="000D5BBA">
      <w:pPr>
        <w:jc w:val="center"/>
        <w:rPr>
          <w:rFonts w:ascii="Times New Roman" w:hAnsi="Times New Roman" w:cs="Times New Roman"/>
          <w:sz w:val="36"/>
          <w:lang w:val="ru-RU"/>
        </w:rPr>
      </w:pPr>
    </w:p>
    <w:p w:rsidR="000D5BBA" w:rsidRDefault="000D5BBA" w:rsidP="000D5BBA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73A8">
        <w:rPr>
          <w:rFonts w:ascii="Times New Roman" w:hAnsi="Times New Roman" w:cs="Times New Roman"/>
          <w:sz w:val="28"/>
          <w:szCs w:val="28"/>
        </w:rPr>
        <w:t>Виконав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573A8">
        <w:rPr>
          <w:rFonts w:ascii="Times New Roman" w:hAnsi="Times New Roman" w:cs="Times New Roman"/>
          <w:sz w:val="28"/>
          <w:szCs w:val="28"/>
        </w:rPr>
        <w:t>студент групи КН-4</w:t>
      </w:r>
      <w:r w:rsidR="003F41AA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1AA">
        <w:rPr>
          <w:rFonts w:ascii="Times New Roman" w:hAnsi="Times New Roman" w:cs="Times New Roman"/>
          <w:sz w:val="28"/>
          <w:szCs w:val="28"/>
          <w:lang w:val="ru-RU"/>
        </w:rPr>
        <w:t>Шандра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О.</w:t>
      </w:r>
      <w:r w:rsidR="003F41AA">
        <w:rPr>
          <w:rFonts w:ascii="Times New Roman" w:hAnsi="Times New Roman" w:cs="Times New Roman"/>
          <w:sz w:val="28"/>
          <w:szCs w:val="28"/>
        </w:rPr>
        <w:t>С</w:t>
      </w:r>
      <w:r w:rsidRPr="008573A8">
        <w:rPr>
          <w:rFonts w:ascii="Times New Roman" w:hAnsi="Times New Roman" w:cs="Times New Roman"/>
          <w:sz w:val="28"/>
          <w:szCs w:val="28"/>
        </w:rPr>
        <w:t>.</w:t>
      </w: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73A8">
        <w:rPr>
          <w:rFonts w:ascii="Times New Roman" w:hAnsi="Times New Roman" w:cs="Times New Roman"/>
          <w:sz w:val="28"/>
          <w:szCs w:val="28"/>
        </w:rPr>
        <w:t>Прийняв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D5BBA" w:rsidRPr="00415B72" w:rsidRDefault="000D5BBA" w:rsidP="000D5BBA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доцент кафедри </w:t>
      </w:r>
      <w:r>
        <w:rPr>
          <w:rFonts w:ascii="Times New Roman" w:hAnsi="Times New Roman" w:cs="Times New Roman"/>
          <w:sz w:val="28"/>
          <w:szCs w:val="28"/>
        </w:rPr>
        <w:t>ЦБ</w:t>
      </w:r>
    </w:p>
    <w:p w:rsidR="000D5BBA" w:rsidRPr="00415B72" w:rsidRDefault="000D5BBA" w:rsidP="000D5BBA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Катренко</w:t>
      </w:r>
      <w:proofErr w:type="spellEnd"/>
      <w:r w:rsidRPr="0041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D5BBA" w:rsidRPr="008573A8" w:rsidRDefault="000D5BBA" w:rsidP="000D5B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D5BBA" w:rsidRPr="008573A8" w:rsidRDefault="000D5BBA" w:rsidP="000D5BBA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3A8">
        <w:rPr>
          <w:rFonts w:ascii="Times New Roman" w:hAnsi="Times New Roman" w:cs="Times New Roman"/>
          <w:sz w:val="28"/>
          <w:szCs w:val="28"/>
        </w:rPr>
        <w:t>Львів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3A8">
        <w:rPr>
          <w:rFonts w:ascii="Times New Roman" w:hAnsi="Times New Roman" w:cs="Times New Roman"/>
          <w:sz w:val="28"/>
          <w:szCs w:val="28"/>
        </w:rPr>
        <w:t>–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3A8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0D5BBA" w:rsidRDefault="000D5BBA" w:rsidP="001C256D">
      <w:pPr>
        <w:pStyle w:val="1"/>
        <w:ind w:firstLine="567"/>
        <w:jc w:val="center"/>
        <w:rPr>
          <w:rFonts w:ascii="Times New Roman" w:hAnsi="Times New Roman" w:cs="Times New Roman"/>
        </w:rPr>
      </w:pPr>
      <w:bookmarkStart w:id="0" w:name="_Toc2461518"/>
      <w:r w:rsidRPr="00504B77">
        <w:rPr>
          <w:rFonts w:ascii="Times New Roman" w:hAnsi="Times New Roman" w:cs="Times New Roman"/>
          <w:sz w:val="28"/>
        </w:rPr>
        <w:lastRenderedPageBreak/>
        <w:t>ЗА</w:t>
      </w:r>
      <w:bookmarkStart w:id="1" w:name="_GoBack"/>
      <w:bookmarkEnd w:id="1"/>
      <w:r w:rsidRPr="00504B77">
        <w:rPr>
          <w:rFonts w:ascii="Times New Roman" w:hAnsi="Times New Roman" w:cs="Times New Roman"/>
          <w:sz w:val="28"/>
        </w:rPr>
        <w:t>ВДАННЯ</w:t>
      </w:r>
      <w:bookmarkEnd w:id="0"/>
    </w:p>
    <w:p w:rsidR="000D5BBA" w:rsidRPr="001C256D" w:rsidRDefault="000D5BBA" w:rsidP="001B01A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>Провести аналіз виробничого травматизму на підприємстві та розрахувати коефіцієнти частоти, важкості та загального травматизму. Побудувати графіки показників за період 2010-2018 роки.</w:t>
      </w:r>
    </w:p>
    <w:p w:rsidR="000D5BBA" w:rsidRPr="001C256D" w:rsidRDefault="000D5BBA" w:rsidP="000D5BBA">
      <w:pPr>
        <w:pStyle w:val="a3"/>
        <w:ind w:left="36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1C256D">
        <w:rPr>
          <w:rFonts w:ascii="Times New Roman" w:hAnsi="Times New Roman" w:cs="Times New Roman"/>
          <w:b/>
          <w:sz w:val="20"/>
          <w:szCs w:val="20"/>
        </w:rPr>
        <w:t>Таблиця 1.</w:t>
      </w:r>
    </w:p>
    <w:tbl>
      <w:tblPr>
        <w:tblW w:w="90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9"/>
        <w:gridCol w:w="1001"/>
        <w:gridCol w:w="999"/>
        <w:gridCol w:w="1001"/>
        <w:gridCol w:w="999"/>
        <w:gridCol w:w="1001"/>
        <w:gridCol w:w="999"/>
        <w:gridCol w:w="1001"/>
        <w:gridCol w:w="1003"/>
      </w:tblGrid>
      <w:tr w:rsidR="000D5BBA" w:rsidRPr="001C256D" w:rsidTr="000D5BBA">
        <w:trPr>
          <w:trHeight w:val="473"/>
        </w:trPr>
        <w:tc>
          <w:tcPr>
            <w:tcW w:w="9003" w:type="dxa"/>
            <w:gridSpan w:val="9"/>
          </w:tcPr>
          <w:p w:rsidR="000D5BBA" w:rsidRPr="001C256D" w:rsidRDefault="000D5BBA" w:rsidP="000D5BBA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C256D">
              <w:rPr>
                <w:rFonts w:ascii="Times New Roman" w:hAnsi="Times New Roman" w:cs="Times New Roman"/>
                <w:b/>
                <w:sz w:val="20"/>
              </w:rPr>
              <w:t>Кількість нещасних випадків по роках</w:t>
            </w:r>
          </w:p>
        </w:tc>
      </w:tr>
      <w:tr w:rsidR="000D5BBA" w:rsidRPr="001C256D" w:rsidTr="000D5BBA">
        <w:trPr>
          <w:trHeight w:val="412"/>
        </w:trPr>
        <w:tc>
          <w:tcPr>
            <w:tcW w:w="999" w:type="dxa"/>
          </w:tcPr>
          <w:p w:rsidR="000D5BBA" w:rsidRPr="001C256D" w:rsidRDefault="002D7E8D" w:rsidP="000D5B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1001" w:type="dxa"/>
          </w:tcPr>
          <w:p w:rsidR="000D5BBA" w:rsidRPr="001C256D" w:rsidRDefault="002D7E8D" w:rsidP="000D5B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999" w:type="dxa"/>
          </w:tcPr>
          <w:p w:rsidR="000D5BBA" w:rsidRPr="001C256D" w:rsidRDefault="002D7E8D" w:rsidP="000D5B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1001" w:type="dxa"/>
          </w:tcPr>
          <w:p w:rsidR="000D5BBA" w:rsidRPr="001C256D" w:rsidRDefault="002D7E8D" w:rsidP="000D5B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999" w:type="dxa"/>
          </w:tcPr>
          <w:p w:rsidR="000D5BBA" w:rsidRPr="001C256D" w:rsidRDefault="002D7E8D" w:rsidP="000D5B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1001" w:type="dxa"/>
          </w:tcPr>
          <w:p w:rsidR="000D5BBA" w:rsidRPr="001C256D" w:rsidRDefault="002D7E8D" w:rsidP="000D5B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999" w:type="dxa"/>
          </w:tcPr>
          <w:p w:rsidR="000D5BBA" w:rsidRPr="001C256D" w:rsidRDefault="002D7E8D" w:rsidP="000D5B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1001" w:type="dxa"/>
          </w:tcPr>
          <w:p w:rsidR="000D5BBA" w:rsidRPr="001C256D" w:rsidRDefault="002D7E8D" w:rsidP="000D5B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1003" w:type="dxa"/>
          </w:tcPr>
          <w:p w:rsidR="000D5BBA" w:rsidRPr="001C256D" w:rsidRDefault="002D7E8D" w:rsidP="000D5B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</w:p>
        </w:tc>
      </w:tr>
      <w:tr w:rsidR="003F41AA" w:rsidRPr="001C256D" w:rsidTr="000D5BBA">
        <w:trPr>
          <w:trHeight w:val="412"/>
        </w:trPr>
        <w:tc>
          <w:tcPr>
            <w:tcW w:w="999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001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9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01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9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001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9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001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03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0D5BBA" w:rsidRPr="001C256D" w:rsidTr="00033046">
        <w:trPr>
          <w:trHeight w:val="412"/>
        </w:trPr>
        <w:tc>
          <w:tcPr>
            <w:tcW w:w="9003" w:type="dxa"/>
            <w:gridSpan w:val="9"/>
          </w:tcPr>
          <w:p w:rsidR="000D5BBA" w:rsidRPr="001C256D" w:rsidRDefault="000D5BBA" w:rsidP="000D5BB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1C256D">
              <w:rPr>
                <w:rFonts w:ascii="Times New Roman" w:hAnsi="Times New Roman" w:cs="Times New Roman"/>
                <w:b/>
                <w:sz w:val="20"/>
              </w:rPr>
              <w:t>Середньоспискова</w:t>
            </w:r>
            <w:proofErr w:type="spellEnd"/>
            <w:r w:rsidRPr="001C256D">
              <w:rPr>
                <w:rFonts w:ascii="Times New Roman" w:hAnsi="Times New Roman" w:cs="Times New Roman"/>
                <w:b/>
                <w:sz w:val="20"/>
              </w:rPr>
              <w:t xml:space="preserve"> кількість працівників по роках</w:t>
            </w:r>
          </w:p>
        </w:tc>
      </w:tr>
      <w:tr w:rsidR="000D5BBA" w:rsidRPr="001C256D" w:rsidTr="000D5BBA">
        <w:trPr>
          <w:trHeight w:val="412"/>
        </w:trPr>
        <w:tc>
          <w:tcPr>
            <w:tcW w:w="999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1001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999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1001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999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1001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999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1001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1003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</w:p>
        </w:tc>
      </w:tr>
      <w:tr w:rsidR="003F41AA" w:rsidRPr="001C256D" w:rsidTr="000D5BBA">
        <w:trPr>
          <w:trHeight w:val="412"/>
        </w:trPr>
        <w:tc>
          <w:tcPr>
            <w:tcW w:w="999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350</w:t>
            </w:r>
          </w:p>
        </w:tc>
        <w:tc>
          <w:tcPr>
            <w:tcW w:w="1001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250</w:t>
            </w:r>
          </w:p>
        </w:tc>
        <w:tc>
          <w:tcPr>
            <w:tcW w:w="999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133</w:t>
            </w:r>
          </w:p>
        </w:tc>
        <w:tc>
          <w:tcPr>
            <w:tcW w:w="1001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61</w:t>
            </w:r>
            <w:r w:rsidRPr="001C256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99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</w:rPr>
              <w:t>950</w:t>
            </w:r>
          </w:p>
        </w:tc>
        <w:tc>
          <w:tcPr>
            <w:tcW w:w="1001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270</w:t>
            </w:r>
          </w:p>
        </w:tc>
        <w:tc>
          <w:tcPr>
            <w:tcW w:w="999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</w:p>
        </w:tc>
        <w:tc>
          <w:tcPr>
            <w:tcW w:w="1001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1003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170</w:t>
            </w:r>
          </w:p>
        </w:tc>
      </w:tr>
      <w:tr w:rsidR="000D5BBA" w:rsidRPr="001C256D" w:rsidTr="008255E4">
        <w:trPr>
          <w:trHeight w:val="412"/>
        </w:trPr>
        <w:tc>
          <w:tcPr>
            <w:tcW w:w="9003" w:type="dxa"/>
            <w:gridSpan w:val="9"/>
          </w:tcPr>
          <w:p w:rsidR="000D5BBA" w:rsidRPr="001C256D" w:rsidRDefault="000D5BBA" w:rsidP="000D5B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20"/>
              </w:rPr>
              <w:t>Кількість днів непрацездатності по роках</w:t>
            </w:r>
          </w:p>
        </w:tc>
      </w:tr>
      <w:tr w:rsidR="000D5BBA" w:rsidRPr="001C256D" w:rsidTr="000D5BBA">
        <w:trPr>
          <w:trHeight w:val="412"/>
        </w:trPr>
        <w:tc>
          <w:tcPr>
            <w:tcW w:w="999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1001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999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1001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999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1001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999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1001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1003" w:type="dxa"/>
          </w:tcPr>
          <w:p w:rsidR="000D5BBA" w:rsidRPr="001C256D" w:rsidRDefault="002D7E8D" w:rsidP="00B22E0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0D5BBA"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</w:p>
        </w:tc>
      </w:tr>
      <w:tr w:rsidR="003F41AA" w:rsidRPr="001C256D" w:rsidTr="000D5BBA">
        <w:trPr>
          <w:trHeight w:val="412"/>
        </w:trPr>
        <w:tc>
          <w:tcPr>
            <w:tcW w:w="999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37</w:t>
            </w:r>
          </w:p>
        </w:tc>
        <w:tc>
          <w:tcPr>
            <w:tcW w:w="1001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88</w:t>
            </w:r>
          </w:p>
        </w:tc>
        <w:tc>
          <w:tcPr>
            <w:tcW w:w="999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1001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</w:rPr>
              <w:t>280</w:t>
            </w:r>
          </w:p>
        </w:tc>
        <w:tc>
          <w:tcPr>
            <w:tcW w:w="999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117</w:t>
            </w:r>
          </w:p>
        </w:tc>
        <w:tc>
          <w:tcPr>
            <w:tcW w:w="1001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144</w:t>
            </w:r>
          </w:p>
        </w:tc>
        <w:tc>
          <w:tcPr>
            <w:tcW w:w="999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260</w:t>
            </w:r>
          </w:p>
        </w:tc>
        <w:tc>
          <w:tcPr>
            <w:tcW w:w="1001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1003" w:type="dxa"/>
          </w:tcPr>
          <w:p w:rsidR="003F41AA" w:rsidRPr="001C256D" w:rsidRDefault="003F41AA" w:rsidP="003F41A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C25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37</w:t>
            </w:r>
          </w:p>
        </w:tc>
      </w:tr>
    </w:tbl>
    <w:p w:rsidR="000D5BBA" w:rsidRPr="001C256D" w:rsidRDefault="000D5BBA" w:rsidP="000D5BBA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5BBA" w:rsidRPr="001C256D" w:rsidRDefault="000D5BBA" w:rsidP="001B01A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>Розрахунок</w:t>
      </w:r>
      <w:r w:rsidR="00B62C38" w:rsidRPr="001C25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56D">
        <w:rPr>
          <w:rFonts w:ascii="Times New Roman" w:hAnsi="Times New Roman" w:cs="Times New Roman"/>
          <w:sz w:val="28"/>
          <w:szCs w:val="28"/>
        </w:rPr>
        <w:t>бокового природного освітлення</w:t>
      </w:r>
      <w:r w:rsidR="00FC6276" w:rsidRPr="001C25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5662E" w:rsidRPr="001C256D">
        <w:rPr>
          <w:rFonts w:ascii="Times New Roman" w:hAnsi="Times New Roman" w:cs="Times New Roman"/>
          <w:sz w:val="28"/>
          <w:szCs w:val="28"/>
        </w:rPr>
        <w:t>Необхідно визначити площу світлових прорізів</w:t>
      </w:r>
      <w:r w:rsidR="0085662E" w:rsidRPr="001C25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69C8" w:rsidRPr="001C256D" w:rsidRDefault="003D69C8" w:rsidP="003D69C8">
      <w:pPr>
        <w:pStyle w:val="a3"/>
        <w:ind w:left="36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1C256D">
        <w:rPr>
          <w:rFonts w:ascii="Times New Roman" w:hAnsi="Times New Roman" w:cs="Times New Roman"/>
          <w:b/>
          <w:sz w:val="20"/>
          <w:szCs w:val="20"/>
        </w:rPr>
        <w:t>Таблиця 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7"/>
        <w:gridCol w:w="3256"/>
      </w:tblGrid>
      <w:tr w:rsidR="00B22E04" w:rsidRPr="001C256D" w:rsidTr="00B22E04">
        <w:trPr>
          <w:trHeight w:val="610"/>
          <w:jc w:val="center"/>
        </w:trPr>
        <w:tc>
          <w:tcPr>
            <w:tcW w:w="3157" w:type="dxa"/>
          </w:tcPr>
          <w:p w:rsidR="00B22E04" w:rsidRPr="001C256D" w:rsidRDefault="00B22E04" w:rsidP="00B22E04">
            <w:pPr>
              <w:jc w:val="center"/>
              <w:rPr>
                <w:rFonts w:ascii="Times New Roman" w:eastAsia="MS Mincho" w:hAnsi="Times New Roman" w:cs="Times New Roman"/>
                <w:b/>
                <w:sz w:val="20"/>
              </w:rPr>
            </w:pPr>
            <w:r w:rsidRPr="001C256D">
              <w:rPr>
                <w:rFonts w:ascii="Times New Roman" w:hAnsi="Times New Roman" w:cs="Times New Roman"/>
                <w:b/>
                <w:sz w:val="20"/>
              </w:rPr>
              <w:t xml:space="preserve">Нормоване значення коефіцієнту природної освітленості </w:t>
            </w:r>
            <w:proofErr w:type="spellStart"/>
            <w:r w:rsidRPr="001C256D">
              <w:rPr>
                <w:rFonts w:ascii="Times New Roman" w:hAnsi="Times New Roman" w:cs="Times New Roman"/>
                <w:b/>
                <w:sz w:val="20"/>
              </w:rPr>
              <w:t>е</w:t>
            </w:r>
            <w:r w:rsidRPr="001C256D">
              <w:rPr>
                <w:rFonts w:ascii="Times New Roman" w:hAnsi="Times New Roman" w:cs="Times New Roman"/>
                <w:b/>
                <w:sz w:val="20"/>
                <w:vertAlign w:val="subscript"/>
              </w:rPr>
              <w:t>н</w:t>
            </w:r>
            <w:proofErr w:type="spellEnd"/>
            <w:r w:rsidRPr="001C256D">
              <w:rPr>
                <w:rFonts w:ascii="Times New Roman" w:hAnsi="Times New Roman" w:cs="Times New Roman"/>
                <w:b/>
                <w:sz w:val="20"/>
                <w:vertAlign w:val="subscript"/>
                <w:lang w:val="ru-RU"/>
              </w:rPr>
              <w:t xml:space="preserve"> %</w:t>
            </w:r>
          </w:p>
        </w:tc>
        <w:tc>
          <w:tcPr>
            <w:tcW w:w="3256" w:type="dxa"/>
          </w:tcPr>
          <w:p w:rsidR="00B22E04" w:rsidRPr="001C256D" w:rsidRDefault="00B22E04" w:rsidP="00B22E04">
            <w:pPr>
              <w:jc w:val="center"/>
              <w:rPr>
                <w:rFonts w:ascii="Times New Roman" w:eastAsia="MS Mincho" w:hAnsi="Times New Roman" w:cs="Times New Roman"/>
                <w:b/>
                <w:sz w:val="20"/>
              </w:rPr>
            </w:pPr>
            <w:r w:rsidRPr="001C256D">
              <w:rPr>
                <w:rFonts w:ascii="Times New Roman" w:hAnsi="Times New Roman" w:cs="Times New Roman"/>
                <w:b/>
                <w:sz w:val="20"/>
              </w:rPr>
              <w:t>Розміри приміщення А*В</w:t>
            </w:r>
            <w:r w:rsidRPr="001C256D">
              <w:rPr>
                <w:rFonts w:ascii="Times New Roman" w:hAnsi="Times New Roman" w:cs="Times New Roman"/>
                <w:b/>
                <w:sz w:val="20"/>
                <w:lang w:val="ru-RU"/>
              </w:rPr>
              <w:t xml:space="preserve">, </w:t>
            </w:r>
            <w:r w:rsidRPr="001C256D">
              <w:rPr>
                <w:rFonts w:ascii="Times New Roman" w:hAnsi="Times New Roman" w:cs="Times New Roman"/>
                <w:b/>
                <w:sz w:val="20"/>
              </w:rPr>
              <w:t>м</w:t>
            </w:r>
          </w:p>
        </w:tc>
      </w:tr>
      <w:tr w:rsidR="003F41AA" w:rsidRPr="001C256D" w:rsidTr="00B22E04">
        <w:trPr>
          <w:trHeight w:val="211"/>
          <w:jc w:val="center"/>
        </w:trPr>
        <w:tc>
          <w:tcPr>
            <w:tcW w:w="3157" w:type="dxa"/>
          </w:tcPr>
          <w:p w:rsidR="003F41AA" w:rsidRPr="001C256D" w:rsidRDefault="003F41AA" w:rsidP="003F41AA">
            <w:pPr>
              <w:rPr>
                <w:rFonts w:ascii="Times New Roman" w:eastAsia="MS Mincho" w:hAnsi="Times New Roman" w:cs="Times New Roman"/>
                <w:sz w:val="20"/>
              </w:rPr>
            </w:pPr>
            <w:r w:rsidRPr="001C256D">
              <w:rPr>
                <w:rFonts w:ascii="Times New Roman" w:eastAsia="MS Mincho" w:hAnsi="Times New Roman" w:cs="Times New Roman"/>
                <w:sz w:val="20"/>
              </w:rPr>
              <w:t>2</w:t>
            </w:r>
          </w:p>
        </w:tc>
        <w:tc>
          <w:tcPr>
            <w:tcW w:w="3256" w:type="dxa"/>
          </w:tcPr>
          <w:p w:rsidR="003F41AA" w:rsidRPr="001C256D" w:rsidRDefault="003F41AA" w:rsidP="003F41AA">
            <w:pPr>
              <w:rPr>
                <w:rFonts w:ascii="Times New Roman" w:eastAsia="MS Mincho" w:hAnsi="Times New Roman" w:cs="Times New Roman"/>
                <w:sz w:val="20"/>
              </w:rPr>
            </w:pPr>
            <w:r w:rsidRPr="001C256D">
              <w:rPr>
                <w:rFonts w:ascii="Times New Roman" w:eastAsia="MS Mincho" w:hAnsi="Times New Roman" w:cs="Times New Roman"/>
                <w:sz w:val="20"/>
              </w:rPr>
              <w:t>5*7</w:t>
            </w:r>
          </w:p>
        </w:tc>
      </w:tr>
    </w:tbl>
    <w:p w:rsidR="003D69C8" w:rsidRPr="001C256D" w:rsidRDefault="003D69C8" w:rsidP="003D69C8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5BBA" w:rsidRPr="001C256D" w:rsidRDefault="000D5BBA" w:rsidP="000D5BB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>Дати відповіді на питання.</w:t>
      </w:r>
    </w:p>
    <w:p w:rsidR="000D5BBA" w:rsidRPr="001C256D" w:rsidRDefault="003F41AA" w:rsidP="000D5BBA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noProof/>
          <w:sz w:val="28"/>
          <w:szCs w:val="28"/>
        </w:rPr>
        <w:t>Природне освітлення виробничих приміщень</w:t>
      </w:r>
    </w:p>
    <w:p w:rsidR="003F41AA" w:rsidRPr="001C256D" w:rsidRDefault="003F41AA" w:rsidP="003F41AA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bCs/>
          <w:sz w:val="28"/>
          <w:szCs w:val="28"/>
        </w:rPr>
        <w:t>Концепція прийнятного (допустимого) ризику</w:t>
      </w:r>
      <w:r w:rsidR="000D5BBA" w:rsidRPr="001C256D">
        <w:rPr>
          <w:rFonts w:ascii="Times New Roman" w:hAnsi="Times New Roman" w:cs="Times New Roman"/>
          <w:noProof/>
          <w:sz w:val="28"/>
          <w:szCs w:val="28"/>
        </w:rPr>
        <w:t>.</w:t>
      </w:r>
      <w:r w:rsidRPr="001C25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69C8" w:rsidRPr="001C256D" w:rsidRDefault="003D69C8" w:rsidP="003D69C8">
      <w:pPr>
        <w:pStyle w:val="1"/>
        <w:jc w:val="center"/>
        <w:rPr>
          <w:rFonts w:ascii="Times New Roman" w:hAnsi="Times New Roman" w:cs="Times New Roman"/>
          <w:sz w:val="28"/>
        </w:rPr>
      </w:pPr>
      <w:r w:rsidRPr="001C256D">
        <w:rPr>
          <w:rFonts w:ascii="Times New Roman" w:hAnsi="Times New Roman" w:cs="Times New Roman"/>
          <w:sz w:val="28"/>
        </w:rPr>
        <w:t>ХІД РОБОТИ</w:t>
      </w:r>
    </w:p>
    <w:p w:rsidR="006A568A" w:rsidRPr="001C256D" w:rsidRDefault="006B32C9" w:rsidP="006B32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>Визначаємо</w:t>
      </w:r>
      <w:r w:rsidR="00596780" w:rsidRPr="001C256D">
        <w:rPr>
          <w:rFonts w:ascii="Times New Roman" w:hAnsi="Times New Roman" w:cs="Times New Roman"/>
          <w:sz w:val="28"/>
          <w:szCs w:val="28"/>
        </w:rPr>
        <w:t xml:space="preserve"> коефіцієнт частоти</w:t>
      </w:r>
      <w:r w:rsidRPr="001C256D">
        <w:rPr>
          <w:rFonts w:ascii="Times New Roman" w:hAnsi="Times New Roman" w:cs="Times New Roman"/>
          <w:sz w:val="28"/>
          <w:szCs w:val="28"/>
        </w:rPr>
        <w:t xml:space="preserve"> </w:t>
      </w:r>
      <w:r w:rsidR="00596780" w:rsidRPr="001C256D">
        <w:rPr>
          <w:rFonts w:ascii="Times New Roman" w:hAnsi="Times New Roman" w:cs="Times New Roman"/>
          <w:sz w:val="28"/>
          <w:szCs w:val="28"/>
        </w:rPr>
        <w:t xml:space="preserve">травматизму </w:t>
      </w:r>
      <w:r w:rsidR="00A43609" w:rsidRPr="001C256D">
        <w:rPr>
          <w:rFonts w:ascii="Times New Roman" w:hAnsi="Times New Roman" w:cs="Times New Roman"/>
          <w:sz w:val="28"/>
          <w:szCs w:val="28"/>
        </w:rPr>
        <w:t>по роках</w:t>
      </w:r>
      <w:r w:rsidRPr="001C25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32C9" w:rsidRPr="001C256D" w:rsidRDefault="001C256D" w:rsidP="006B32C9">
      <w:pPr>
        <w:pStyle w:val="a3"/>
        <w:ind w:left="360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</w:rPr>
            <m:t>*1000</m:t>
          </m:r>
        </m:oMath>
      </m:oMathPara>
    </w:p>
    <w:p w:rsidR="00A43609" w:rsidRPr="001C256D" w:rsidRDefault="00A43609" w:rsidP="00A43609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1C256D">
        <w:rPr>
          <w:rFonts w:ascii="Times New Roman" w:eastAsiaTheme="minorEastAsia" w:hAnsi="Times New Roman" w:cs="Times New Roman"/>
          <w:sz w:val="28"/>
        </w:rPr>
        <w:t>Н – кількість випадків</w:t>
      </w:r>
      <w:r w:rsidRPr="001C256D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1C256D">
        <w:rPr>
          <w:rFonts w:ascii="Times New Roman" w:eastAsiaTheme="minorEastAsia" w:hAnsi="Times New Roman" w:cs="Times New Roman"/>
          <w:sz w:val="28"/>
        </w:rPr>
        <w:t>травматизму</w:t>
      </w:r>
      <w:r w:rsidRPr="001C256D"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A43609" w:rsidRPr="001C256D" w:rsidRDefault="00A43609" w:rsidP="00A43609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1C256D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1C256D">
        <w:rPr>
          <w:rFonts w:ascii="Times New Roman" w:eastAsiaTheme="minorEastAsia" w:hAnsi="Times New Roman" w:cs="Times New Roman"/>
          <w:sz w:val="28"/>
        </w:rPr>
        <w:t xml:space="preserve"> – </w:t>
      </w:r>
      <w:proofErr w:type="spellStart"/>
      <w:r w:rsidRPr="001C256D">
        <w:rPr>
          <w:rFonts w:ascii="Times New Roman" w:eastAsiaTheme="minorEastAsia" w:hAnsi="Times New Roman" w:cs="Times New Roman"/>
          <w:sz w:val="28"/>
        </w:rPr>
        <w:t>середньоспискова</w:t>
      </w:r>
      <w:proofErr w:type="spellEnd"/>
      <w:r w:rsidRPr="001C256D">
        <w:rPr>
          <w:rFonts w:ascii="Times New Roman" w:eastAsiaTheme="minorEastAsia" w:hAnsi="Times New Roman" w:cs="Times New Roman"/>
          <w:sz w:val="28"/>
        </w:rPr>
        <w:t xml:space="preserve"> кількість працівників</w:t>
      </w:r>
      <w:r w:rsidRPr="001C256D">
        <w:rPr>
          <w:rFonts w:ascii="Times New Roman" w:eastAsiaTheme="minorEastAsia" w:hAnsi="Times New Roman" w:cs="Times New Roman"/>
          <w:sz w:val="28"/>
          <w:lang w:val="en-US"/>
        </w:rPr>
        <w:t>;</w:t>
      </w:r>
    </w:p>
    <w:tbl>
      <w:tblPr>
        <w:tblW w:w="90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9"/>
        <w:gridCol w:w="1001"/>
        <w:gridCol w:w="999"/>
        <w:gridCol w:w="1001"/>
        <w:gridCol w:w="999"/>
        <w:gridCol w:w="1001"/>
        <w:gridCol w:w="999"/>
        <w:gridCol w:w="1001"/>
        <w:gridCol w:w="1003"/>
      </w:tblGrid>
      <w:tr w:rsidR="00A43609" w:rsidRPr="001C256D" w:rsidTr="00CD5932">
        <w:trPr>
          <w:trHeight w:val="473"/>
        </w:trPr>
        <w:tc>
          <w:tcPr>
            <w:tcW w:w="9003" w:type="dxa"/>
            <w:gridSpan w:val="9"/>
          </w:tcPr>
          <w:p w:rsidR="00A43609" w:rsidRPr="001C256D" w:rsidRDefault="00596780" w:rsidP="00CD593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C256D">
              <w:rPr>
                <w:rFonts w:ascii="Times New Roman" w:hAnsi="Times New Roman" w:cs="Times New Roman"/>
                <w:b/>
                <w:sz w:val="20"/>
              </w:rPr>
              <w:t>Коефіцієнти частоти</w:t>
            </w:r>
            <w:r w:rsidRPr="001C256D">
              <w:rPr>
                <w:rFonts w:ascii="Times New Roman" w:hAnsi="Times New Roman" w:cs="Times New Roman"/>
              </w:rPr>
              <w:t xml:space="preserve"> </w:t>
            </w:r>
            <w:r w:rsidRPr="001C256D">
              <w:rPr>
                <w:rFonts w:ascii="Times New Roman" w:hAnsi="Times New Roman" w:cs="Times New Roman"/>
                <w:b/>
                <w:sz w:val="20"/>
              </w:rPr>
              <w:t>травматизму по роках</w:t>
            </w:r>
          </w:p>
        </w:tc>
      </w:tr>
      <w:tr w:rsidR="00A43609" w:rsidRPr="001C256D" w:rsidTr="00CD5932">
        <w:trPr>
          <w:trHeight w:val="412"/>
        </w:trPr>
        <w:tc>
          <w:tcPr>
            <w:tcW w:w="999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2010</w:t>
            </w:r>
          </w:p>
        </w:tc>
        <w:tc>
          <w:tcPr>
            <w:tcW w:w="1001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2011</w:t>
            </w:r>
          </w:p>
        </w:tc>
        <w:tc>
          <w:tcPr>
            <w:tcW w:w="999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2012</w:t>
            </w:r>
          </w:p>
        </w:tc>
        <w:tc>
          <w:tcPr>
            <w:tcW w:w="1001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2013</w:t>
            </w:r>
          </w:p>
        </w:tc>
        <w:tc>
          <w:tcPr>
            <w:tcW w:w="999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2014</w:t>
            </w:r>
          </w:p>
        </w:tc>
        <w:tc>
          <w:tcPr>
            <w:tcW w:w="1001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2015</w:t>
            </w:r>
          </w:p>
        </w:tc>
        <w:tc>
          <w:tcPr>
            <w:tcW w:w="999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2016</w:t>
            </w:r>
          </w:p>
        </w:tc>
        <w:tc>
          <w:tcPr>
            <w:tcW w:w="1001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2017</w:t>
            </w:r>
          </w:p>
        </w:tc>
        <w:tc>
          <w:tcPr>
            <w:tcW w:w="1003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2018</w:t>
            </w:r>
          </w:p>
        </w:tc>
      </w:tr>
      <w:tr w:rsidR="0056198C" w:rsidRPr="001C256D" w:rsidTr="007126F2">
        <w:trPr>
          <w:trHeight w:val="412"/>
        </w:trPr>
        <w:tc>
          <w:tcPr>
            <w:tcW w:w="999" w:type="dxa"/>
            <w:vAlign w:val="bottom"/>
          </w:tcPr>
          <w:p w:rsidR="0056198C" w:rsidRPr="001C256D" w:rsidRDefault="0056198C" w:rsidP="0056198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56D">
              <w:rPr>
                <w:rFonts w:ascii="Times New Roman" w:hAnsi="Times New Roman" w:cs="Times New Roman"/>
                <w:color w:val="000000"/>
                <w:lang w:val="en-US"/>
              </w:rPr>
              <w:t>25,71</w:t>
            </w:r>
          </w:p>
        </w:tc>
        <w:tc>
          <w:tcPr>
            <w:tcW w:w="1001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  <w:lang w:val="en-US"/>
              </w:rPr>
              <w:t>12,00</w:t>
            </w:r>
          </w:p>
        </w:tc>
        <w:tc>
          <w:tcPr>
            <w:tcW w:w="999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15,04</w:t>
            </w:r>
          </w:p>
        </w:tc>
        <w:tc>
          <w:tcPr>
            <w:tcW w:w="1001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1,64</w:t>
            </w:r>
          </w:p>
        </w:tc>
        <w:tc>
          <w:tcPr>
            <w:tcW w:w="999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  <w:lang w:val="en-US"/>
              </w:rPr>
              <w:t>11,58</w:t>
            </w:r>
          </w:p>
        </w:tc>
        <w:tc>
          <w:tcPr>
            <w:tcW w:w="1001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11,11</w:t>
            </w:r>
          </w:p>
        </w:tc>
        <w:tc>
          <w:tcPr>
            <w:tcW w:w="999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  <w:lang w:val="en-US"/>
              </w:rPr>
              <w:t>50,00</w:t>
            </w:r>
          </w:p>
        </w:tc>
        <w:tc>
          <w:tcPr>
            <w:tcW w:w="1001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5,00</w:t>
            </w:r>
          </w:p>
        </w:tc>
        <w:tc>
          <w:tcPr>
            <w:tcW w:w="1003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29,41</w:t>
            </w:r>
          </w:p>
        </w:tc>
      </w:tr>
    </w:tbl>
    <w:p w:rsidR="00596780" w:rsidRPr="001C256D" w:rsidRDefault="0056198C" w:rsidP="00B9029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38B8C979" wp14:editId="05A07669">
            <wp:extent cx="5054600" cy="2701925"/>
            <wp:effectExtent l="0" t="0" r="12700" b="3175"/>
            <wp:docPr id="3" name="Діаграма 3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7FE28374-3CC8-5949-BBF9-A75BD899D1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96780" w:rsidRPr="001C256D" w:rsidRDefault="00B90295" w:rsidP="00B9029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>Рис</w:t>
      </w:r>
      <w:r w:rsidRPr="001C256D">
        <w:rPr>
          <w:rFonts w:ascii="Times New Roman" w:hAnsi="Times New Roman" w:cs="Times New Roman"/>
          <w:sz w:val="28"/>
          <w:szCs w:val="28"/>
          <w:lang w:val="en-US"/>
        </w:rPr>
        <w:t xml:space="preserve">. 1. </w:t>
      </w:r>
      <w:r w:rsidRPr="001C256D">
        <w:rPr>
          <w:rFonts w:ascii="Times New Roman" w:hAnsi="Times New Roman" w:cs="Times New Roman"/>
          <w:sz w:val="28"/>
          <w:szCs w:val="28"/>
        </w:rPr>
        <w:t>Графік коефіцієнту частоти травматизму по роках</w:t>
      </w:r>
    </w:p>
    <w:p w:rsidR="00596780" w:rsidRPr="001C256D" w:rsidRDefault="00596780" w:rsidP="0059678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256D">
        <w:rPr>
          <w:rFonts w:ascii="Times New Roman" w:hAnsi="Times New Roman" w:cs="Times New Roman"/>
          <w:sz w:val="28"/>
          <w:szCs w:val="28"/>
        </w:rPr>
        <w:t>Визначаємо коефіцієнт важкості травматизму по роках</w:t>
      </w:r>
      <w:r w:rsidRPr="001C25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3609" w:rsidRPr="001C256D" w:rsidRDefault="001C256D" w:rsidP="00596780">
      <w:pPr>
        <w:pStyle w:val="a3"/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</m:oMath>
      </m:oMathPara>
    </w:p>
    <w:p w:rsidR="00A43609" w:rsidRPr="001C256D" w:rsidRDefault="00A43609" w:rsidP="00A43609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</w:rPr>
      </w:pPr>
      <w:r w:rsidRPr="001C256D">
        <w:rPr>
          <w:rFonts w:ascii="Times New Roman" w:eastAsiaTheme="minorEastAsia" w:hAnsi="Times New Roman" w:cs="Times New Roman"/>
          <w:sz w:val="28"/>
          <w:lang w:val="en-US"/>
        </w:rPr>
        <w:t xml:space="preserve">D </w:t>
      </w:r>
      <w:r w:rsidRPr="001C256D">
        <w:rPr>
          <w:rFonts w:ascii="Times New Roman" w:eastAsiaTheme="minorEastAsia" w:hAnsi="Times New Roman" w:cs="Times New Roman"/>
          <w:sz w:val="28"/>
        </w:rPr>
        <w:t>– кількість днів непрацездатності</w:t>
      </w:r>
      <w:r w:rsidRPr="001C256D"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A43609" w:rsidRPr="001C256D" w:rsidRDefault="00A43609" w:rsidP="00A43609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1C256D">
        <w:rPr>
          <w:rFonts w:ascii="Times New Roman" w:eastAsiaTheme="minorEastAsia" w:hAnsi="Times New Roman" w:cs="Times New Roman"/>
          <w:sz w:val="28"/>
        </w:rPr>
        <w:t>Н – кількість випадків</w:t>
      </w:r>
      <w:r w:rsidRPr="001C256D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1C256D">
        <w:rPr>
          <w:rFonts w:ascii="Times New Roman" w:eastAsiaTheme="minorEastAsia" w:hAnsi="Times New Roman" w:cs="Times New Roman"/>
          <w:sz w:val="28"/>
        </w:rPr>
        <w:t>травматизму</w:t>
      </w:r>
      <w:r w:rsidRPr="001C256D">
        <w:rPr>
          <w:rFonts w:ascii="Times New Roman" w:eastAsiaTheme="minorEastAsia" w:hAnsi="Times New Roman" w:cs="Times New Roman"/>
          <w:sz w:val="28"/>
          <w:lang w:val="en-US"/>
        </w:rPr>
        <w:t>;</w:t>
      </w: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9"/>
        <w:gridCol w:w="1001"/>
        <w:gridCol w:w="999"/>
        <w:gridCol w:w="1001"/>
        <w:gridCol w:w="999"/>
        <w:gridCol w:w="1001"/>
        <w:gridCol w:w="999"/>
        <w:gridCol w:w="1001"/>
        <w:gridCol w:w="1003"/>
      </w:tblGrid>
      <w:tr w:rsidR="00A43609" w:rsidRPr="001C256D" w:rsidTr="00A43609">
        <w:trPr>
          <w:trHeight w:val="473"/>
          <w:jc w:val="center"/>
        </w:trPr>
        <w:tc>
          <w:tcPr>
            <w:tcW w:w="9003" w:type="dxa"/>
            <w:gridSpan w:val="9"/>
          </w:tcPr>
          <w:p w:rsidR="00A43609" w:rsidRPr="001C256D" w:rsidRDefault="00596780" w:rsidP="00CD593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bookmarkStart w:id="2" w:name="OLE_LINK1"/>
            <w:r w:rsidRPr="001C256D">
              <w:rPr>
                <w:rFonts w:ascii="Times New Roman" w:hAnsi="Times New Roman" w:cs="Times New Roman"/>
                <w:b/>
                <w:sz w:val="20"/>
              </w:rPr>
              <w:t>Коефіцієнти важкості травматизму по роках</w:t>
            </w:r>
          </w:p>
        </w:tc>
      </w:tr>
      <w:tr w:rsidR="00A43609" w:rsidRPr="001C256D" w:rsidTr="00A43609">
        <w:trPr>
          <w:trHeight w:val="412"/>
          <w:jc w:val="center"/>
        </w:trPr>
        <w:tc>
          <w:tcPr>
            <w:tcW w:w="999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2010</w:t>
            </w:r>
          </w:p>
        </w:tc>
        <w:tc>
          <w:tcPr>
            <w:tcW w:w="1001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2011</w:t>
            </w:r>
          </w:p>
        </w:tc>
        <w:tc>
          <w:tcPr>
            <w:tcW w:w="999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2012</w:t>
            </w:r>
          </w:p>
        </w:tc>
        <w:tc>
          <w:tcPr>
            <w:tcW w:w="1001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2013</w:t>
            </w:r>
          </w:p>
        </w:tc>
        <w:tc>
          <w:tcPr>
            <w:tcW w:w="999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2014</w:t>
            </w:r>
          </w:p>
        </w:tc>
        <w:tc>
          <w:tcPr>
            <w:tcW w:w="1001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2015</w:t>
            </w:r>
          </w:p>
        </w:tc>
        <w:tc>
          <w:tcPr>
            <w:tcW w:w="999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2016</w:t>
            </w:r>
          </w:p>
        </w:tc>
        <w:tc>
          <w:tcPr>
            <w:tcW w:w="1001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2017</w:t>
            </w:r>
          </w:p>
        </w:tc>
        <w:tc>
          <w:tcPr>
            <w:tcW w:w="1003" w:type="dxa"/>
          </w:tcPr>
          <w:p w:rsidR="00A43609" w:rsidRPr="001C256D" w:rsidRDefault="00A43609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2018</w:t>
            </w:r>
          </w:p>
        </w:tc>
      </w:tr>
      <w:tr w:rsidR="0056198C" w:rsidRPr="001C256D" w:rsidTr="007D4995">
        <w:trPr>
          <w:trHeight w:val="412"/>
          <w:jc w:val="center"/>
        </w:trPr>
        <w:tc>
          <w:tcPr>
            <w:tcW w:w="999" w:type="dxa"/>
            <w:vAlign w:val="bottom"/>
          </w:tcPr>
          <w:p w:rsidR="0056198C" w:rsidRPr="001C256D" w:rsidRDefault="0056198C" w:rsidP="0056198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4,11</w:t>
            </w:r>
          </w:p>
        </w:tc>
        <w:tc>
          <w:tcPr>
            <w:tcW w:w="1001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29,33</w:t>
            </w:r>
          </w:p>
        </w:tc>
        <w:tc>
          <w:tcPr>
            <w:tcW w:w="999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50,00</w:t>
            </w:r>
          </w:p>
        </w:tc>
        <w:tc>
          <w:tcPr>
            <w:tcW w:w="1001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280,00</w:t>
            </w:r>
          </w:p>
        </w:tc>
        <w:tc>
          <w:tcPr>
            <w:tcW w:w="999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10,64</w:t>
            </w:r>
          </w:p>
        </w:tc>
        <w:tc>
          <w:tcPr>
            <w:tcW w:w="1001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48,00</w:t>
            </w:r>
          </w:p>
        </w:tc>
        <w:tc>
          <w:tcPr>
            <w:tcW w:w="999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28,89</w:t>
            </w:r>
          </w:p>
        </w:tc>
        <w:tc>
          <w:tcPr>
            <w:tcW w:w="1001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100,00</w:t>
            </w:r>
          </w:p>
        </w:tc>
        <w:tc>
          <w:tcPr>
            <w:tcW w:w="1003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7,40</w:t>
            </w:r>
          </w:p>
        </w:tc>
      </w:tr>
      <w:bookmarkEnd w:id="2"/>
    </w:tbl>
    <w:p w:rsidR="00B90295" w:rsidRPr="001C256D" w:rsidRDefault="00B90295" w:rsidP="00B9029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90295" w:rsidRPr="001C256D" w:rsidRDefault="0056198C" w:rsidP="00B9029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36BCEF28" wp14:editId="6D0CAD35">
            <wp:extent cx="5257800" cy="2701925"/>
            <wp:effectExtent l="0" t="0" r="0" b="3175"/>
            <wp:docPr id="1" name="Діаграма 1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6040B396-3784-5547-A029-EF7666ABA0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90295" w:rsidRPr="001C256D" w:rsidRDefault="00B90295" w:rsidP="00B90295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>Рис</w:t>
      </w:r>
      <w:r w:rsidRPr="001C25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256D">
        <w:rPr>
          <w:rFonts w:ascii="Times New Roman" w:hAnsi="Times New Roman" w:cs="Times New Roman"/>
          <w:sz w:val="28"/>
          <w:szCs w:val="28"/>
        </w:rPr>
        <w:t>2</w:t>
      </w:r>
      <w:r w:rsidRPr="001C25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256D">
        <w:rPr>
          <w:rFonts w:ascii="Times New Roman" w:hAnsi="Times New Roman" w:cs="Times New Roman"/>
          <w:sz w:val="28"/>
          <w:szCs w:val="28"/>
        </w:rPr>
        <w:t>Графік коефіцієнту важкості травматизму по роках</w:t>
      </w:r>
    </w:p>
    <w:p w:rsidR="00596780" w:rsidRPr="001C256D" w:rsidRDefault="00596780" w:rsidP="00D42F9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>Визначаємо загальний коефіцієнт травматизму по роках</w:t>
      </w:r>
      <w:r w:rsidRPr="001C25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6780" w:rsidRPr="001C256D" w:rsidRDefault="001C256D" w:rsidP="00596780">
      <w:pPr>
        <w:pStyle w:val="a3"/>
        <w:ind w:left="360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</w:rPr>
            <m:t>*100</m:t>
          </m:r>
        </m:oMath>
      </m:oMathPara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9"/>
        <w:gridCol w:w="1001"/>
        <w:gridCol w:w="999"/>
        <w:gridCol w:w="1001"/>
        <w:gridCol w:w="999"/>
        <w:gridCol w:w="1001"/>
        <w:gridCol w:w="999"/>
        <w:gridCol w:w="1001"/>
        <w:gridCol w:w="1003"/>
      </w:tblGrid>
      <w:tr w:rsidR="00596780" w:rsidRPr="001C256D" w:rsidTr="00CD5932">
        <w:trPr>
          <w:trHeight w:val="473"/>
          <w:jc w:val="center"/>
        </w:trPr>
        <w:tc>
          <w:tcPr>
            <w:tcW w:w="9003" w:type="dxa"/>
            <w:gridSpan w:val="9"/>
          </w:tcPr>
          <w:p w:rsidR="00596780" w:rsidRPr="001C256D" w:rsidRDefault="00596780" w:rsidP="00CD593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C256D">
              <w:rPr>
                <w:rFonts w:ascii="Times New Roman" w:hAnsi="Times New Roman" w:cs="Times New Roman"/>
                <w:b/>
                <w:sz w:val="20"/>
              </w:rPr>
              <w:t>Загальний коефіцієнт травматизму по роках</w:t>
            </w:r>
          </w:p>
        </w:tc>
      </w:tr>
      <w:tr w:rsidR="00596780" w:rsidRPr="001C256D" w:rsidTr="00CD5932">
        <w:trPr>
          <w:trHeight w:val="412"/>
          <w:jc w:val="center"/>
        </w:trPr>
        <w:tc>
          <w:tcPr>
            <w:tcW w:w="999" w:type="dxa"/>
          </w:tcPr>
          <w:p w:rsidR="00596780" w:rsidRPr="001C256D" w:rsidRDefault="00596780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2010</w:t>
            </w:r>
          </w:p>
        </w:tc>
        <w:tc>
          <w:tcPr>
            <w:tcW w:w="1001" w:type="dxa"/>
          </w:tcPr>
          <w:p w:rsidR="00596780" w:rsidRPr="001C256D" w:rsidRDefault="00596780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2011</w:t>
            </w:r>
          </w:p>
        </w:tc>
        <w:tc>
          <w:tcPr>
            <w:tcW w:w="999" w:type="dxa"/>
          </w:tcPr>
          <w:p w:rsidR="00596780" w:rsidRPr="001C256D" w:rsidRDefault="00596780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2012</w:t>
            </w:r>
          </w:p>
        </w:tc>
        <w:tc>
          <w:tcPr>
            <w:tcW w:w="1001" w:type="dxa"/>
          </w:tcPr>
          <w:p w:rsidR="00596780" w:rsidRPr="001C256D" w:rsidRDefault="00596780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2013</w:t>
            </w:r>
          </w:p>
        </w:tc>
        <w:tc>
          <w:tcPr>
            <w:tcW w:w="999" w:type="dxa"/>
          </w:tcPr>
          <w:p w:rsidR="00596780" w:rsidRPr="001C256D" w:rsidRDefault="00596780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2014</w:t>
            </w:r>
          </w:p>
        </w:tc>
        <w:tc>
          <w:tcPr>
            <w:tcW w:w="1001" w:type="dxa"/>
          </w:tcPr>
          <w:p w:rsidR="00596780" w:rsidRPr="001C256D" w:rsidRDefault="00596780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2015</w:t>
            </w:r>
          </w:p>
        </w:tc>
        <w:tc>
          <w:tcPr>
            <w:tcW w:w="999" w:type="dxa"/>
          </w:tcPr>
          <w:p w:rsidR="00596780" w:rsidRPr="001C256D" w:rsidRDefault="00596780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2016</w:t>
            </w:r>
          </w:p>
        </w:tc>
        <w:tc>
          <w:tcPr>
            <w:tcW w:w="1001" w:type="dxa"/>
          </w:tcPr>
          <w:p w:rsidR="00596780" w:rsidRPr="001C256D" w:rsidRDefault="00596780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2017</w:t>
            </w:r>
          </w:p>
        </w:tc>
        <w:tc>
          <w:tcPr>
            <w:tcW w:w="1003" w:type="dxa"/>
          </w:tcPr>
          <w:p w:rsidR="00596780" w:rsidRPr="001C256D" w:rsidRDefault="00596780" w:rsidP="00CD59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C256D">
              <w:rPr>
                <w:rFonts w:ascii="Times New Roman" w:hAnsi="Times New Roman" w:cs="Times New Roman"/>
                <w:b/>
                <w:sz w:val="16"/>
                <w:szCs w:val="16"/>
              </w:rPr>
              <w:t>2018</w:t>
            </w:r>
          </w:p>
        </w:tc>
      </w:tr>
      <w:tr w:rsidR="0056198C" w:rsidRPr="001C256D" w:rsidTr="00833B80">
        <w:trPr>
          <w:trHeight w:val="412"/>
          <w:jc w:val="center"/>
        </w:trPr>
        <w:tc>
          <w:tcPr>
            <w:tcW w:w="999" w:type="dxa"/>
            <w:vAlign w:val="bottom"/>
          </w:tcPr>
          <w:p w:rsidR="0056198C" w:rsidRPr="001C256D" w:rsidRDefault="0056198C" w:rsidP="0056198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256D">
              <w:rPr>
                <w:rFonts w:ascii="Times New Roman" w:hAnsi="Times New Roman" w:cs="Times New Roman"/>
                <w:color w:val="000000"/>
                <w:lang w:val="en-US"/>
              </w:rPr>
              <w:t>105,71</w:t>
            </w:r>
          </w:p>
        </w:tc>
        <w:tc>
          <w:tcPr>
            <w:tcW w:w="1001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352,00</w:t>
            </w:r>
          </w:p>
        </w:tc>
        <w:tc>
          <w:tcPr>
            <w:tcW w:w="999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  <w:lang w:val="en-US"/>
              </w:rPr>
              <w:t>751,88</w:t>
            </w:r>
          </w:p>
        </w:tc>
        <w:tc>
          <w:tcPr>
            <w:tcW w:w="1001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  <w:lang w:val="en-US"/>
              </w:rPr>
              <w:t>459,02</w:t>
            </w:r>
          </w:p>
        </w:tc>
        <w:tc>
          <w:tcPr>
            <w:tcW w:w="999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  <w:lang w:val="en-US"/>
              </w:rPr>
              <w:t>123,16</w:t>
            </w:r>
          </w:p>
        </w:tc>
        <w:tc>
          <w:tcPr>
            <w:tcW w:w="1001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533,33</w:t>
            </w:r>
          </w:p>
        </w:tc>
        <w:tc>
          <w:tcPr>
            <w:tcW w:w="999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1444,44</w:t>
            </w:r>
          </w:p>
        </w:tc>
        <w:tc>
          <w:tcPr>
            <w:tcW w:w="1001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  <w:lang w:val="en-US"/>
              </w:rPr>
              <w:t>500,00</w:t>
            </w:r>
          </w:p>
        </w:tc>
        <w:tc>
          <w:tcPr>
            <w:tcW w:w="1003" w:type="dxa"/>
            <w:vAlign w:val="bottom"/>
          </w:tcPr>
          <w:p w:rsidR="0056198C" w:rsidRPr="001C256D" w:rsidRDefault="0056198C" w:rsidP="005619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C256D">
              <w:rPr>
                <w:rFonts w:ascii="Times New Roman" w:hAnsi="Times New Roman" w:cs="Times New Roman"/>
                <w:color w:val="000000"/>
              </w:rPr>
              <w:t>217,65</w:t>
            </w:r>
          </w:p>
        </w:tc>
      </w:tr>
    </w:tbl>
    <w:p w:rsidR="00032741" w:rsidRPr="001C256D" w:rsidRDefault="00032741" w:rsidP="0003274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32741" w:rsidRPr="001C256D" w:rsidRDefault="0056198C" w:rsidP="00032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7E68DEF" wp14:editId="64EF6DC0">
            <wp:extent cx="4635500" cy="2701925"/>
            <wp:effectExtent l="0" t="0" r="12700" b="3175"/>
            <wp:docPr id="4" name="Діаграма 4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2BFD9865-2ED9-8545-93E7-EAAEFF44C7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32741" w:rsidRPr="001C256D" w:rsidRDefault="00032741" w:rsidP="00032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>Рис</w:t>
      </w:r>
      <w:r w:rsidRPr="001C25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256D">
        <w:rPr>
          <w:rFonts w:ascii="Times New Roman" w:hAnsi="Times New Roman" w:cs="Times New Roman"/>
          <w:sz w:val="28"/>
          <w:szCs w:val="28"/>
        </w:rPr>
        <w:t>3</w:t>
      </w:r>
      <w:r w:rsidRPr="001C25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256D">
        <w:rPr>
          <w:rFonts w:ascii="Times New Roman" w:hAnsi="Times New Roman" w:cs="Times New Roman"/>
          <w:sz w:val="28"/>
          <w:szCs w:val="28"/>
        </w:rPr>
        <w:t>Графік загального коефіцієнту травматизму по роках</w:t>
      </w:r>
    </w:p>
    <w:p w:rsidR="00D73EB0" w:rsidRPr="001C256D" w:rsidRDefault="00D73EB0" w:rsidP="00032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148CD" w:rsidRPr="001C256D" w:rsidRDefault="00B90295" w:rsidP="006148C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>Розрахунок</w:t>
      </w:r>
      <w:r w:rsidRPr="001C25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56D">
        <w:rPr>
          <w:rFonts w:ascii="Times New Roman" w:hAnsi="Times New Roman" w:cs="Times New Roman"/>
          <w:sz w:val="28"/>
          <w:szCs w:val="28"/>
        </w:rPr>
        <w:t>бокового природного освітлення</w:t>
      </w:r>
      <w:r w:rsidR="006148CD" w:rsidRPr="001C25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48CD" w:rsidRPr="001C256D" w:rsidRDefault="00AE2DDB" w:rsidP="006148CD">
      <w:pPr>
        <w:pStyle w:val="a3"/>
        <w:ind w:left="1728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100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о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буд</m:t>
              </m:r>
            </m:sub>
          </m:sSub>
        </m:oMath>
      </m:oMathPara>
    </w:p>
    <w:p w:rsidR="00194D26" w:rsidRPr="001C256D" w:rsidRDefault="001C256D" w:rsidP="001B01A1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O</m:t>
            </m:r>
          </m:sub>
        </m:sSub>
      </m:oMath>
      <w:r w:rsidR="00194D26" w:rsidRPr="001C256D">
        <w:rPr>
          <w:rFonts w:ascii="Times New Roman" w:hAnsi="Times New Roman" w:cs="Times New Roman"/>
          <w:sz w:val="28"/>
          <w:szCs w:val="28"/>
        </w:rPr>
        <w:t xml:space="preserve"> </w:t>
      </w:r>
      <w:r w:rsidR="00194D26" w:rsidRPr="001C256D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C256D">
        <w:rPr>
          <w:rFonts w:ascii="Times New Roman" w:hAnsi="Times New Roman" w:cs="Times New Roman"/>
          <w:spacing w:val="4"/>
          <w:sz w:val="28"/>
          <w:szCs w:val="28"/>
        </w:rPr>
        <w:t xml:space="preserve">площа світлових отворів(у світлі) при бічному освітленні; </w:t>
      </w:r>
    </w:p>
    <w:p w:rsidR="00194D26" w:rsidRPr="001C256D" w:rsidRDefault="001C256D" w:rsidP="001B01A1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П</m:t>
            </m:r>
          </m:sub>
        </m:sSub>
      </m:oMath>
      <w:r w:rsidR="00194D26" w:rsidRPr="001C256D">
        <w:rPr>
          <w:rFonts w:ascii="Times New Roman" w:hAnsi="Times New Roman" w:cs="Times New Roman"/>
          <w:i/>
          <w:spacing w:val="4"/>
          <w:sz w:val="28"/>
          <w:szCs w:val="28"/>
        </w:rPr>
        <w:t xml:space="preserve"> </w:t>
      </w:r>
      <w:r w:rsidR="00194D26" w:rsidRPr="001C256D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C256D">
        <w:rPr>
          <w:rFonts w:ascii="Times New Roman" w:hAnsi="Times New Roman" w:cs="Times New Roman"/>
          <w:spacing w:val="4"/>
          <w:sz w:val="28"/>
          <w:szCs w:val="28"/>
        </w:rPr>
        <w:t xml:space="preserve">площа підлоги приміщення;  </w:t>
      </w:r>
    </w:p>
    <w:p w:rsidR="00194D26" w:rsidRPr="001C256D" w:rsidRDefault="001C256D" w:rsidP="001B01A1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н</m:t>
            </m:r>
          </m:sub>
        </m:sSub>
      </m:oMath>
      <w:r w:rsidR="00194D26" w:rsidRPr="001C256D">
        <w:rPr>
          <w:rFonts w:ascii="Times New Roman" w:hAnsi="Times New Roman" w:cs="Times New Roman"/>
          <w:i/>
          <w:spacing w:val="4"/>
          <w:sz w:val="28"/>
          <w:szCs w:val="28"/>
        </w:rPr>
        <w:t xml:space="preserve"> </w:t>
      </w:r>
      <w:r w:rsidR="0071623C" w:rsidRPr="001C256D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C256D">
        <w:rPr>
          <w:rFonts w:ascii="Times New Roman" w:hAnsi="Times New Roman" w:cs="Times New Roman"/>
          <w:spacing w:val="4"/>
          <w:sz w:val="28"/>
          <w:szCs w:val="28"/>
        </w:rPr>
        <w:t>нормоване значення КПО;</w:t>
      </w:r>
    </w:p>
    <w:p w:rsidR="00194D26" w:rsidRPr="001C256D" w:rsidRDefault="001C256D" w:rsidP="001B01A1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з</m:t>
            </m:r>
          </m:sub>
        </m:sSub>
      </m:oMath>
      <w:r w:rsidR="00194D26" w:rsidRPr="001C256D">
        <w:rPr>
          <w:rFonts w:ascii="Times New Roman" w:hAnsi="Times New Roman" w:cs="Times New Roman"/>
          <w:i/>
          <w:spacing w:val="4"/>
          <w:sz w:val="28"/>
          <w:szCs w:val="28"/>
        </w:rPr>
        <w:t xml:space="preserve"> </w:t>
      </w:r>
      <w:r w:rsidR="0071623C" w:rsidRPr="001C256D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C256D">
        <w:rPr>
          <w:rFonts w:ascii="Times New Roman" w:hAnsi="Times New Roman" w:cs="Times New Roman"/>
          <w:spacing w:val="4"/>
          <w:sz w:val="28"/>
          <w:szCs w:val="28"/>
        </w:rPr>
        <w:t>коефіцієнт запасу, який приймається згідно з таблицею 3;</w:t>
      </w:r>
    </w:p>
    <w:p w:rsidR="00194D26" w:rsidRPr="001C256D" w:rsidRDefault="001C256D" w:rsidP="001B01A1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о</m:t>
            </m:r>
          </m:sub>
        </m:sSub>
      </m:oMath>
      <w:r w:rsidR="0071623C" w:rsidRPr="001C25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23C" w:rsidRPr="001C256D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C256D">
        <w:rPr>
          <w:rFonts w:ascii="Times New Roman" w:hAnsi="Times New Roman" w:cs="Times New Roman"/>
          <w:spacing w:val="2"/>
          <w:sz w:val="28"/>
          <w:szCs w:val="28"/>
        </w:rPr>
        <w:t>світлова характеристика вікон, яка визначається за таблицею 4;</w:t>
      </w:r>
    </w:p>
    <w:p w:rsidR="00194D26" w:rsidRPr="001C256D" w:rsidRDefault="001C256D" w:rsidP="001B01A1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о</m:t>
            </m:r>
          </m:sub>
        </m:sSub>
      </m:oMath>
      <w:r w:rsidR="00194D26" w:rsidRPr="001C256D">
        <w:rPr>
          <w:rFonts w:ascii="Times New Roman" w:hAnsi="Times New Roman" w:cs="Times New Roman"/>
          <w:sz w:val="28"/>
          <w:szCs w:val="28"/>
        </w:rPr>
        <w:t xml:space="preserve"> </w:t>
      </w:r>
      <w:r w:rsidR="0071623C" w:rsidRPr="001C256D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C256D">
        <w:rPr>
          <w:rFonts w:ascii="Times New Roman" w:hAnsi="Times New Roman" w:cs="Times New Roman"/>
          <w:spacing w:val="3"/>
          <w:sz w:val="28"/>
          <w:szCs w:val="28"/>
        </w:rPr>
        <w:t>загальний коефіцієнт світлопроникності, який визначається за формулою</w:t>
      </w:r>
    </w:p>
    <w:p w:rsidR="00194D26" w:rsidRPr="001C256D" w:rsidRDefault="001C1D29" w:rsidP="00194D26">
      <w:pPr>
        <w:shd w:val="clear" w:color="auto" w:fill="FFFFFF"/>
        <w:tabs>
          <w:tab w:val="left" w:pos="9781"/>
        </w:tabs>
        <w:spacing w:line="240" w:lineRule="auto"/>
        <w:jc w:val="center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1C256D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460" w:dyaOrig="360" w14:anchorId="3060B0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2.75pt;height:18pt;mso-width-percent:0;mso-height-percent:0;mso-width-percent:0;mso-height-percent:0" o:ole="" fillcolor="window">
            <v:imagedata r:id="rId8" o:title=""/>
          </v:shape>
          <o:OLEObject Type="Embed" ProgID="Equation.3" ShapeID="_x0000_i1025" DrawAspect="Content" ObjectID="_1615140459" r:id="rId9"/>
        </w:object>
      </w:r>
    </w:p>
    <w:p w:rsidR="00194D26" w:rsidRPr="001C256D" w:rsidRDefault="001C1D29" w:rsidP="001B01A1">
      <w:pPr>
        <w:pStyle w:val="a3"/>
        <w:numPr>
          <w:ilvl w:val="0"/>
          <w:numId w:val="9"/>
        </w:numPr>
        <w:shd w:val="clear" w:color="auto" w:fill="FFFFFF"/>
        <w:tabs>
          <w:tab w:val="left" w:pos="978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noProof/>
          <w:position w:val="-10"/>
        </w:rPr>
        <w:object w:dxaOrig="240" w:dyaOrig="340" w14:anchorId="4819F242">
          <v:shape id="_x0000_i1026" type="#_x0000_t75" alt="" style="width:12.75pt;height:17.25pt;mso-width-percent:0;mso-height-percent:0;mso-width-percent:0;mso-height-percent:0" o:ole="" fillcolor="window">
            <v:imagedata r:id="rId10" o:title=""/>
          </v:shape>
          <o:OLEObject Type="Embed" ProgID="Equation.3" ShapeID="_x0000_i1026" DrawAspect="Content" ObjectID="_1615140460" r:id="rId11"/>
        </w:object>
      </w:r>
      <w:r w:rsidR="00194D26" w:rsidRPr="001C256D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="0071623C" w:rsidRPr="001C256D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C256D">
        <w:rPr>
          <w:rFonts w:ascii="Times New Roman" w:hAnsi="Times New Roman" w:cs="Times New Roman"/>
          <w:color w:val="000000"/>
          <w:spacing w:val="4"/>
          <w:sz w:val="28"/>
          <w:szCs w:val="28"/>
        </w:rPr>
        <w:t>коефіцієнт світлопроникності матеріалу, який визначається за таблицею Л.З;</w:t>
      </w:r>
    </w:p>
    <w:p w:rsidR="00194D26" w:rsidRPr="001C256D" w:rsidRDefault="001C1D29" w:rsidP="001B01A1">
      <w:pPr>
        <w:pStyle w:val="a3"/>
        <w:numPr>
          <w:ilvl w:val="0"/>
          <w:numId w:val="8"/>
        </w:numPr>
        <w:shd w:val="clear" w:color="auto" w:fill="FFFFFF"/>
        <w:tabs>
          <w:tab w:val="left" w:pos="978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noProof/>
          <w:position w:val="-10"/>
        </w:rPr>
        <w:object w:dxaOrig="260" w:dyaOrig="340" w14:anchorId="4ED3DFCE">
          <v:shape id="_x0000_i1027" type="#_x0000_t75" alt="" style="width:13.5pt;height:17.25pt;mso-width-percent:0;mso-height-percent:0;mso-width-percent:0;mso-height-percent:0" o:ole="" fillcolor="window">
            <v:imagedata r:id="rId12" o:title=""/>
          </v:shape>
          <o:OLEObject Type="Embed" ProgID="Equation.3" ShapeID="_x0000_i1027" DrawAspect="Content" ObjectID="_1615140461" r:id="rId13"/>
        </w:object>
      </w:r>
      <w:r w:rsidR="00194D26" w:rsidRPr="001C256D">
        <w:rPr>
          <w:rFonts w:ascii="Times New Roman" w:hAnsi="Times New Roman" w:cs="Times New Roman"/>
          <w:sz w:val="28"/>
          <w:szCs w:val="28"/>
        </w:rPr>
        <w:t xml:space="preserve"> </w:t>
      </w:r>
      <w:r w:rsidR="00194D26" w:rsidRPr="001C256D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="0071623C" w:rsidRPr="001C256D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C256D">
        <w:rPr>
          <w:rFonts w:ascii="Times New Roman" w:hAnsi="Times New Roman" w:cs="Times New Roman"/>
          <w:color w:val="000000"/>
          <w:spacing w:val="3"/>
          <w:sz w:val="28"/>
          <w:szCs w:val="28"/>
        </w:rPr>
        <w:t>коефіцієнт, що враховує втрати світла в рамах світлового отвору, який визначається за  таблицею Л.З;</w:t>
      </w:r>
    </w:p>
    <w:p w:rsidR="00194D26" w:rsidRPr="001C256D" w:rsidRDefault="001C1D29" w:rsidP="001B01A1">
      <w:pPr>
        <w:pStyle w:val="a3"/>
        <w:numPr>
          <w:ilvl w:val="0"/>
          <w:numId w:val="8"/>
        </w:numPr>
        <w:shd w:val="clear" w:color="auto" w:fill="FFFFFF"/>
        <w:tabs>
          <w:tab w:val="left" w:pos="978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noProof/>
          <w:position w:val="-12"/>
        </w:rPr>
        <w:object w:dxaOrig="260" w:dyaOrig="360" w14:anchorId="2BAE46FB">
          <v:shape id="_x0000_i1028" type="#_x0000_t75" alt="" style="width:13.5pt;height:18pt;mso-width-percent:0;mso-height-percent:0;mso-width-percent:0;mso-height-percent:0" o:ole="" fillcolor="window">
            <v:imagedata r:id="rId14" o:title=""/>
          </v:shape>
          <o:OLEObject Type="Embed" ProgID="Equation.3" ShapeID="_x0000_i1028" DrawAspect="Content" ObjectID="_1615140462" r:id="rId15"/>
        </w:object>
      </w:r>
      <w:r w:rsidR="00194D26" w:rsidRPr="001C256D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="0071623C" w:rsidRPr="001C256D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C256D">
        <w:rPr>
          <w:rFonts w:ascii="Times New Roman" w:hAnsi="Times New Roman" w:cs="Times New Roman"/>
          <w:spacing w:val="3"/>
          <w:sz w:val="28"/>
          <w:szCs w:val="28"/>
        </w:rPr>
        <w:t>коефіцієнт, що враховує втрати в несучих конструкціях, (при бічному освітленні</w:t>
      </w:r>
      <w:r w:rsidR="00194D26" w:rsidRPr="001C256D">
        <w:rPr>
          <w:rFonts w:ascii="Times New Roman" w:hAnsi="Times New Roman" w:cs="Times New Roman"/>
          <w:sz w:val="28"/>
          <w:szCs w:val="28"/>
        </w:rPr>
        <w:t xml:space="preserve"> </w:t>
      </w:r>
      <w:r w:rsidR="00194D26" w:rsidRPr="001C256D">
        <w:rPr>
          <w:rFonts w:ascii="Times New Roman" w:hAnsi="Times New Roman" w:cs="Times New Roman"/>
          <w:spacing w:val="3"/>
          <w:sz w:val="28"/>
          <w:szCs w:val="28"/>
        </w:rPr>
        <w:t>τ</w:t>
      </w:r>
      <w:r w:rsidR="00194D26" w:rsidRPr="001C256D">
        <w:rPr>
          <w:rFonts w:ascii="Times New Roman" w:hAnsi="Times New Roman" w:cs="Times New Roman"/>
          <w:spacing w:val="3"/>
          <w:sz w:val="28"/>
          <w:szCs w:val="28"/>
          <w:vertAlign w:val="subscript"/>
        </w:rPr>
        <w:t xml:space="preserve">3 = </w:t>
      </w:r>
      <w:r w:rsidR="00194D26" w:rsidRPr="001C256D">
        <w:rPr>
          <w:rFonts w:ascii="Times New Roman" w:hAnsi="Times New Roman" w:cs="Times New Roman"/>
          <w:spacing w:val="3"/>
          <w:sz w:val="28"/>
          <w:szCs w:val="28"/>
        </w:rPr>
        <w:t>1)</w:t>
      </w:r>
      <w:r w:rsidR="00194D26" w:rsidRPr="001C256D">
        <w:rPr>
          <w:rFonts w:ascii="Times New Roman" w:hAnsi="Times New Roman" w:cs="Times New Roman"/>
          <w:spacing w:val="3"/>
          <w:sz w:val="28"/>
          <w:szCs w:val="28"/>
          <w:vertAlign w:val="subscript"/>
        </w:rPr>
        <w:t>;</w:t>
      </w:r>
    </w:p>
    <w:p w:rsidR="00194D26" w:rsidRPr="001C256D" w:rsidRDefault="001C1D29" w:rsidP="001B01A1">
      <w:pPr>
        <w:pStyle w:val="a3"/>
        <w:numPr>
          <w:ilvl w:val="0"/>
          <w:numId w:val="8"/>
        </w:numPr>
        <w:shd w:val="clear" w:color="auto" w:fill="FFFFFF"/>
        <w:tabs>
          <w:tab w:val="left" w:pos="978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noProof/>
          <w:position w:val="-10"/>
        </w:rPr>
        <w:object w:dxaOrig="260" w:dyaOrig="340" w14:anchorId="296D6A68">
          <v:shape id="_x0000_i1029" type="#_x0000_t75" alt="" style="width:13.5pt;height:17.25pt;mso-width-percent:0;mso-height-percent:0;mso-width-percent:0;mso-height-percent:0" o:ole="" fillcolor="window">
            <v:imagedata r:id="rId16" o:title=""/>
          </v:shape>
          <o:OLEObject Type="Embed" ProgID="Equation.3" ShapeID="_x0000_i1029" DrawAspect="Content" ObjectID="_1615140463" r:id="rId17"/>
        </w:object>
      </w:r>
      <w:r w:rsidR="00194D26" w:rsidRPr="001C256D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71623C" w:rsidRPr="001C256D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C256D">
        <w:rPr>
          <w:rFonts w:ascii="Times New Roman" w:hAnsi="Times New Roman" w:cs="Times New Roman"/>
          <w:spacing w:val="2"/>
          <w:sz w:val="28"/>
          <w:szCs w:val="28"/>
        </w:rPr>
        <w:t>коефіцієнт, що враховує втрати світла в сонцезахисних пристроях і визначається за</w:t>
      </w:r>
      <w:r w:rsidR="00194D26" w:rsidRPr="001C256D">
        <w:rPr>
          <w:rFonts w:ascii="Times New Roman" w:hAnsi="Times New Roman" w:cs="Times New Roman"/>
          <w:sz w:val="28"/>
          <w:szCs w:val="28"/>
        </w:rPr>
        <w:t xml:space="preserve"> </w:t>
      </w:r>
      <w:r w:rsidR="00194D26" w:rsidRPr="001C256D">
        <w:rPr>
          <w:rFonts w:ascii="Times New Roman" w:hAnsi="Times New Roman" w:cs="Times New Roman"/>
          <w:spacing w:val="3"/>
          <w:sz w:val="28"/>
          <w:szCs w:val="28"/>
        </w:rPr>
        <w:t>таблицею Л.4;</w:t>
      </w:r>
    </w:p>
    <w:p w:rsidR="00194D26" w:rsidRPr="001C256D" w:rsidRDefault="001C1D29" w:rsidP="001B01A1">
      <w:pPr>
        <w:pStyle w:val="a3"/>
        <w:numPr>
          <w:ilvl w:val="0"/>
          <w:numId w:val="8"/>
        </w:numPr>
        <w:shd w:val="clear" w:color="auto" w:fill="FFFFFF"/>
        <w:tabs>
          <w:tab w:val="left" w:pos="978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noProof/>
          <w:position w:val="-12"/>
        </w:rPr>
        <w:object w:dxaOrig="260" w:dyaOrig="360" w14:anchorId="0CF5A24A">
          <v:shape id="_x0000_i1030" type="#_x0000_t75" alt="" style="width:13.5pt;height:18pt;mso-width-percent:0;mso-height-percent:0;mso-width-percent:0;mso-height-percent:0" o:ole="" fillcolor="window">
            <v:imagedata r:id="rId18" o:title=""/>
          </v:shape>
          <o:OLEObject Type="Embed" ProgID="Equation.3" ShapeID="_x0000_i1030" DrawAspect="Content" ObjectID="_1615140464" r:id="rId19"/>
        </w:object>
      </w:r>
      <w:r w:rsidR="0071623C" w:rsidRPr="001C25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23C" w:rsidRPr="001C256D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C256D">
        <w:rPr>
          <w:rFonts w:ascii="Times New Roman" w:hAnsi="Times New Roman" w:cs="Times New Roman"/>
          <w:spacing w:val="3"/>
          <w:sz w:val="28"/>
          <w:szCs w:val="28"/>
        </w:rPr>
        <w:t>коефіцієнт, що враховує втрати світла в захисній сітці, яка встановлюється під</w:t>
      </w:r>
      <w:r w:rsidR="00194D26" w:rsidRPr="001C256D">
        <w:rPr>
          <w:rFonts w:ascii="Times New Roman" w:hAnsi="Times New Roman" w:cs="Times New Roman"/>
          <w:sz w:val="28"/>
          <w:szCs w:val="28"/>
        </w:rPr>
        <w:t xml:space="preserve"> </w:t>
      </w:r>
      <w:r w:rsidR="00194D26" w:rsidRPr="001C256D">
        <w:rPr>
          <w:rFonts w:ascii="Times New Roman" w:hAnsi="Times New Roman" w:cs="Times New Roman"/>
          <w:spacing w:val="4"/>
          <w:sz w:val="28"/>
          <w:szCs w:val="28"/>
        </w:rPr>
        <w:t>ліхтарями, приймається рівним 0,9;</w:t>
      </w:r>
    </w:p>
    <w:p w:rsidR="005824A5" w:rsidRPr="001C256D" w:rsidRDefault="001C256D" w:rsidP="001B01A1">
      <w:pPr>
        <w:pStyle w:val="a3"/>
        <w:numPr>
          <w:ilvl w:val="0"/>
          <w:numId w:val="8"/>
        </w:numPr>
        <w:shd w:val="clear" w:color="auto" w:fill="FFFFFF"/>
        <w:tabs>
          <w:tab w:val="left" w:pos="978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</m:oMath>
      <w:r w:rsidR="0071623C" w:rsidRPr="001C256D">
        <w:rPr>
          <w:rFonts w:ascii="Times New Roman" w:eastAsiaTheme="minorEastAsia" w:hAnsi="Times New Roman" w:cs="Times New Roman"/>
          <w:i/>
          <w:sz w:val="28"/>
          <w:lang w:val="en-US"/>
        </w:rPr>
        <w:t xml:space="preserve"> </w:t>
      </w:r>
      <w:r w:rsidR="0071623C" w:rsidRPr="001C256D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C256D">
        <w:rPr>
          <w:rFonts w:ascii="Times New Roman" w:hAnsi="Times New Roman" w:cs="Times New Roman"/>
          <w:spacing w:val="3"/>
          <w:sz w:val="28"/>
          <w:szCs w:val="28"/>
        </w:rPr>
        <w:t>коефіцієнт, що враховує підвищення КПО при бічному освітленні завдяки світлу,</w:t>
      </w:r>
      <w:r w:rsidR="00194D26" w:rsidRPr="001C256D">
        <w:rPr>
          <w:rFonts w:ascii="Times New Roman" w:hAnsi="Times New Roman" w:cs="Times New Roman"/>
          <w:sz w:val="28"/>
          <w:szCs w:val="28"/>
        </w:rPr>
        <w:t xml:space="preserve"> </w:t>
      </w:r>
      <w:r w:rsidR="00194D26" w:rsidRPr="001C256D">
        <w:rPr>
          <w:rFonts w:ascii="Times New Roman" w:hAnsi="Times New Roman" w:cs="Times New Roman"/>
          <w:spacing w:val="4"/>
          <w:sz w:val="28"/>
          <w:szCs w:val="28"/>
        </w:rPr>
        <w:t>відбитому від поверхонь приміщення  приймається за таблицею;</w:t>
      </w:r>
    </w:p>
    <w:p w:rsidR="0071623C" w:rsidRPr="001C256D" w:rsidRDefault="001C256D" w:rsidP="001B01A1">
      <w:pPr>
        <w:pStyle w:val="a3"/>
        <w:numPr>
          <w:ilvl w:val="0"/>
          <w:numId w:val="8"/>
        </w:numPr>
        <w:shd w:val="clear" w:color="auto" w:fill="FFFFFF"/>
        <w:tabs>
          <w:tab w:val="left" w:pos="978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буд</m:t>
            </m:r>
          </m:sub>
        </m:sSub>
      </m:oMath>
      <w:r w:rsidR="00194D26" w:rsidRPr="001C256D">
        <w:rPr>
          <w:rFonts w:ascii="Times New Roman" w:hAnsi="Times New Roman" w:cs="Times New Roman"/>
          <w:sz w:val="28"/>
          <w:szCs w:val="28"/>
        </w:rPr>
        <w:t xml:space="preserve"> </w:t>
      </w:r>
      <w:r w:rsidR="0071623C" w:rsidRPr="001C256D">
        <w:rPr>
          <w:rFonts w:ascii="Times New Roman" w:eastAsiaTheme="minorEastAsia" w:hAnsi="Times New Roman" w:cs="Times New Roman"/>
          <w:sz w:val="28"/>
        </w:rPr>
        <w:t xml:space="preserve">– </w:t>
      </w:r>
      <w:r w:rsidR="00194D26" w:rsidRPr="001C256D">
        <w:rPr>
          <w:rFonts w:ascii="Times New Roman" w:hAnsi="Times New Roman" w:cs="Times New Roman"/>
          <w:sz w:val="28"/>
          <w:szCs w:val="28"/>
        </w:rPr>
        <w:t xml:space="preserve">коефіцієнт, що враховує затінювання вікон супротивними будівлями, визначається за </w:t>
      </w:r>
      <w:r w:rsidR="00194D26" w:rsidRPr="001C256D">
        <w:rPr>
          <w:rFonts w:ascii="Times New Roman" w:hAnsi="Times New Roman" w:cs="Times New Roman"/>
          <w:spacing w:val="3"/>
          <w:sz w:val="28"/>
          <w:szCs w:val="28"/>
        </w:rPr>
        <w:t>таблицею Л.2</w:t>
      </w:r>
      <w:r w:rsidR="005F00E7" w:rsidRPr="001C256D">
        <w:rPr>
          <w:rFonts w:ascii="Times New Roman" w:hAnsi="Times New Roman" w:cs="Times New Roman"/>
          <w:spacing w:val="3"/>
          <w:sz w:val="28"/>
          <w:szCs w:val="28"/>
          <w:lang w:val="en-US"/>
        </w:rPr>
        <w:t>.</w:t>
      </w:r>
    </w:p>
    <w:p w:rsidR="0071623C" w:rsidRPr="001C256D" w:rsidRDefault="0071623C" w:rsidP="0071623C">
      <w:pPr>
        <w:shd w:val="clear" w:color="auto" w:fill="FFFFFF"/>
        <w:tabs>
          <w:tab w:val="left" w:pos="9781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56D">
        <w:rPr>
          <w:rFonts w:ascii="Times New Roman" w:hAnsi="Times New Roman" w:cs="Times New Roman"/>
          <w:sz w:val="28"/>
          <w:szCs w:val="28"/>
        </w:rPr>
        <w:t>Дано</w:t>
      </w:r>
      <w:r w:rsidRPr="001C25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00E7" w:rsidRPr="001C256D" w:rsidRDefault="001C256D" w:rsidP="005F00E7">
      <w:pPr>
        <w:pStyle w:val="a3"/>
        <w:shd w:val="clear" w:color="auto" w:fill="FFFFFF"/>
        <w:tabs>
          <w:tab w:val="left" w:pos="9781"/>
        </w:tabs>
        <w:spacing w:line="240" w:lineRule="auto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=5*7=35</m:t>
          </m:r>
        </m:oMath>
      </m:oMathPara>
    </w:p>
    <w:p w:rsidR="0071623C" w:rsidRPr="001C256D" w:rsidRDefault="001C256D" w:rsidP="005F00E7">
      <w:pPr>
        <w:pStyle w:val="a3"/>
        <w:shd w:val="clear" w:color="auto" w:fill="FFFFFF"/>
        <w:tabs>
          <w:tab w:val="left" w:pos="9781"/>
        </w:tabs>
        <w:spacing w:line="240" w:lineRule="auto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=2</m:t>
          </m:r>
        </m:oMath>
      </m:oMathPara>
    </w:p>
    <w:p w:rsidR="0071623C" w:rsidRPr="001C256D" w:rsidRDefault="001C256D" w:rsidP="005F00E7">
      <w:pPr>
        <w:pStyle w:val="a3"/>
        <w:shd w:val="clear" w:color="auto" w:fill="FFFFFF"/>
        <w:tabs>
          <w:tab w:val="left" w:pos="9781"/>
        </w:tabs>
        <w:spacing w:line="240" w:lineRule="auto"/>
        <w:rPr>
          <w:rFonts w:ascii="Times New Roman" w:hAnsi="Times New Roman" w:cs="Times New Roman"/>
          <w:i/>
          <w:spacing w:val="4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 1.2</m:t>
          </m:r>
        </m:oMath>
      </m:oMathPara>
    </w:p>
    <w:p w:rsidR="0071623C" w:rsidRPr="001C256D" w:rsidRDefault="001C256D" w:rsidP="005F00E7">
      <w:pPr>
        <w:pStyle w:val="a3"/>
        <w:shd w:val="clear" w:color="auto" w:fill="FFFFFF"/>
        <w:tabs>
          <w:tab w:val="left" w:pos="9781"/>
        </w:tabs>
        <w:spacing w:line="240" w:lineRule="auto"/>
        <w:rPr>
          <w:rFonts w:ascii="Times New Roman" w:hAnsi="Times New Roman" w:cs="Times New Roman"/>
          <w:i/>
          <w:spacing w:val="4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о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  10.5</m:t>
        </m:r>
      </m:oMath>
      <w:r w:rsidR="0071623C" w:rsidRPr="001C256D">
        <w:rPr>
          <w:rFonts w:ascii="Times New Roman" w:hAnsi="Times New Roman" w:cs="Times New Roman"/>
          <w:i/>
          <w:spacing w:val="4"/>
          <w:sz w:val="28"/>
          <w:szCs w:val="28"/>
          <w:lang w:val="en-US"/>
        </w:rPr>
        <w:t xml:space="preserve"> </w:t>
      </w:r>
    </w:p>
    <w:p w:rsidR="0071623C" w:rsidRPr="001C256D" w:rsidRDefault="001C256D" w:rsidP="005F00E7">
      <w:pPr>
        <w:pStyle w:val="a3"/>
        <w:shd w:val="clear" w:color="auto" w:fill="FFFFFF"/>
        <w:tabs>
          <w:tab w:val="left" w:pos="9781"/>
        </w:tabs>
        <w:spacing w:line="240" w:lineRule="auto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=0.8 * 0.7 * 0.8 * 1 * 0.9 =0.4 </m:t>
          </m:r>
        </m:oMath>
      </m:oMathPara>
    </w:p>
    <w:p w:rsidR="0071623C" w:rsidRPr="001C256D" w:rsidRDefault="001C256D" w:rsidP="005F00E7">
      <w:pPr>
        <w:pStyle w:val="a3"/>
        <w:shd w:val="clear" w:color="auto" w:fill="FFFFFF"/>
        <w:tabs>
          <w:tab w:val="left" w:pos="9781"/>
        </w:tabs>
        <w:spacing w:line="240" w:lineRule="auto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  1.3</m:t>
          </m:r>
        </m:oMath>
      </m:oMathPara>
    </w:p>
    <w:p w:rsidR="0071623C" w:rsidRPr="001C256D" w:rsidRDefault="001C256D" w:rsidP="005F00E7">
      <w:pPr>
        <w:pStyle w:val="a3"/>
        <w:shd w:val="clear" w:color="auto" w:fill="FFFFFF"/>
        <w:tabs>
          <w:tab w:val="left" w:pos="9781"/>
        </w:tabs>
        <w:spacing w:line="240" w:lineRule="auto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буд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=0.9</m:t>
          </m:r>
        </m:oMath>
      </m:oMathPara>
    </w:p>
    <w:p w:rsidR="00D42F97" w:rsidRPr="001C256D" w:rsidRDefault="00D42F97" w:rsidP="00D42F97">
      <w:pPr>
        <w:shd w:val="clear" w:color="auto" w:fill="FFFFFF"/>
        <w:tabs>
          <w:tab w:val="left" w:pos="9781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56D">
        <w:rPr>
          <w:rFonts w:ascii="Times New Roman" w:hAnsi="Times New Roman" w:cs="Times New Roman"/>
          <w:sz w:val="28"/>
          <w:szCs w:val="28"/>
        </w:rPr>
        <w:t>Розрахунок</w:t>
      </w:r>
      <w:r w:rsidRPr="001C25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2F97" w:rsidRPr="001C256D" w:rsidRDefault="00D42F97" w:rsidP="00D42F97">
      <w:pPr>
        <w:shd w:val="clear" w:color="auto" w:fill="FFFFFF"/>
        <w:tabs>
          <w:tab w:val="left" w:pos="9781"/>
        </w:tabs>
        <w:spacing w:line="240" w:lineRule="auto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100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35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* 1.2* 10.5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0.4* 1.3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* 0.9</m:t>
          </m:r>
        </m:oMath>
      </m:oMathPara>
    </w:p>
    <w:p w:rsidR="00D42F97" w:rsidRPr="001C256D" w:rsidRDefault="001C256D" w:rsidP="00D42F97">
      <w:pPr>
        <w:shd w:val="clear" w:color="auto" w:fill="FFFFFF"/>
        <w:tabs>
          <w:tab w:val="left" w:pos="9781"/>
        </w:tabs>
        <w:spacing w:line="240" w:lineRule="auto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35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43,62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=15.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7 ≈16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</m:oMath>
      </m:oMathPara>
    </w:p>
    <w:p w:rsidR="005824A5" w:rsidRPr="001C256D" w:rsidRDefault="0071623C" w:rsidP="001B01A1">
      <w:pPr>
        <w:shd w:val="clear" w:color="auto" w:fill="FFFFFF"/>
        <w:tabs>
          <w:tab w:val="left" w:pos="9781"/>
        </w:tabs>
        <w:spacing w:line="240" w:lineRule="auto"/>
        <w:jc w:val="both"/>
        <w:rPr>
          <w:rFonts w:ascii="Times New Roman" w:hAnsi="Times New Roman" w:cs="Times New Roman"/>
          <w:spacing w:val="3"/>
          <w:sz w:val="28"/>
          <w:szCs w:val="28"/>
          <w:lang w:val="en-US"/>
        </w:rPr>
      </w:pPr>
      <w:r w:rsidRPr="001C256D">
        <w:rPr>
          <w:rFonts w:ascii="Times New Roman" w:hAnsi="Times New Roman" w:cs="Times New Roman"/>
          <w:spacing w:val="3"/>
          <w:sz w:val="28"/>
          <w:szCs w:val="28"/>
        </w:rPr>
        <w:t>Загальний коефіцієнт світлопроникності взято для вікон з подвійних склом, дерев’яною спареною рамою і залізобетонною фермою, зі шторами</w:t>
      </w:r>
      <w:r w:rsidRPr="001C256D">
        <w:rPr>
          <w:rFonts w:ascii="Times New Roman" w:hAnsi="Times New Roman" w:cs="Times New Roman"/>
          <w:spacing w:val="3"/>
          <w:sz w:val="28"/>
          <w:szCs w:val="28"/>
          <w:lang w:val="en-US"/>
        </w:rPr>
        <w:t xml:space="preserve">. </w:t>
      </w:r>
    </w:p>
    <w:p w:rsidR="00D42F97" w:rsidRPr="001C256D" w:rsidRDefault="00D42F97" w:rsidP="00D42F97">
      <w:pPr>
        <w:pStyle w:val="a3"/>
        <w:numPr>
          <w:ilvl w:val="0"/>
          <w:numId w:val="3"/>
        </w:numPr>
        <w:shd w:val="clear" w:color="auto" w:fill="FFFFFF"/>
        <w:tabs>
          <w:tab w:val="left" w:pos="9781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56D">
        <w:rPr>
          <w:rFonts w:ascii="Times New Roman" w:hAnsi="Times New Roman" w:cs="Times New Roman"/>
          <w:sz w:val="28"/>
          <w:szCs w:val="28"/>
        </w:rPr>
        <w:t>Відповіді на питання</w:t>
      </w:r>
      <w:r w:rsidRPr="001C256D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23203D" w:rsidRPr="001C256D" w:rsidRDefault="00D73EB0" w:rsidP="00D73EB0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noProof/>
          <w:sz w:val="28"/>
          <w:szCs w:val="28"/>
        </w:rPr>
        <w:t>Природне освітлення виробничих приміщень</w:t>
      </w:r>
    </w:p>
    <w:p w:rsidR="00D73EB0" w:rsidRPr="001C256D" w:rsidRDefault="00D73EB0" w:rsidP="00D73E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56D">
        <w:rPr>
          <w:rFonts w:ascii="Times New Roman" w:hAnsi="Times New Roman" w:cs="Times New Roman"/>
          <w:sz w:val="28"/>
          <w:szCs w:val="28"/>
        </w:rPr>
        <w:t>Приро́дне</w:t>
      </w:r>
      <w:proofErr w:type="spellEnd"/>
      <w:r w:rsidRPr="001C2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56D">
        <w:rPr>
          <w:rFonts w:ascii="Times New Roman" w:hAnsi="Times New Roman" w:cs="Times New Roman"/>
          <w:sz w:val="28"/>
          <w:szCs w:val="28"/>
        </w:rPr>
        <w:t>осві́тлення</w:t>
      </w:r>
      <w:proofErr w:type="spellEnd"/>
      <w:r w:rsidRPr="001C256D">
        <w:rPr>
          <w:rFonts w:ascii="Times New Roman" w:hAnsi="Times New Roman" w:cs="Times New Roman"/>
          <w:sz w:val="28"/>
          <w:szCs w:val="28"/>
        </w:rPr>
        <w:t> — це освітлення приміщень світлом неба (природним або денним світлом) та сонячними променями, які проникають крізь світлові отвори в зовнішніх огороджувальних конструкціях. Денне (природне) світло — теплове випромінювання Сонця, що пройшло крізь атмосферу. Це випромінювання з суцільним спектром на довжинах хвиль від 300 до 4500 нм з колірною температурою близько 5000 К. До 90-х років 20 століття природному світлу в спорудах відводилася дуже незначна роль, а штучне освітлення використовувалося практично протягом усього робочого часу в переважній частині приміщень. Проте загальна ефективність освітлювальної устави додатково визначається дією на психіку людини і тонус її нервової системи, тому роль природного світла в приміщенні дуже велика.</w:t>
      </w:r>
    </w:p>
    <w:p w:rsidR="00D73EB0" w:rsidRPr="001C256D" w:rsidRDefault="00D73EB0" w:rsidP="00D73EB0">
      <w:pPr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>Досвід роботи в приміщеннях без світлових отворів показав, що зорове відключення людини від зовнішнього середовища гнітюче відображається на її психіці і несприятливо позначається на продуктивності праці.</w:t>
      </w:r>
    </w:p>
    <w:p w:rsidR="00D73EB0" w:rsidRPr="001C256D" w:rsidRDefault="00D73EB0" w:rsidP="00D73EB0">
      <w:pPr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lastRenderedPageBreak/>
        <w:t>Якісна оцінка природного освітлення проводиться відносною величиною — КПО (коефіцієнтом природного освітлення). КПО визначається за формулою:</w:t>
      </w:r>
    </w:p>
    <w:p w:rsidR="00D73EB0" w:rsidRPr="001C256D" w:rsidRDefault="00D73EB0" w:rsidP="00D73EB0">
      <w:pPr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>КПО=(</w:t>
      </w:r>
      <w:proofErr w:type="spellStart"/>
      <w:r w:rsidRPr="001C256D">
        <w:rPr>
          <w:rFonts w:ascii="Times New Roman" w:hAnsi="Times New Roman" w:cs="Times New Roman"/>
          <w:sz w:val="28"/>
          <w:szCs w:val="28"/>
        </w:rPr>
        <w:t>Евнутр</w:t>
      </w:r>
      <w:proofErr w:type="spellEnd"/>
      <w:r w:rsidRPr="001C25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C256D">
        <w:rPr>
          <w:rFonts w:ascii="Times New Roman" w:hAnsi="Times New Roman" w:cs="Times New Roman"/>
          <w:sz w:val="28"/>
          <w:szCs w:val="28"/>
        </w:rPr>
        <w:t>Езовн</w:t>
      </w:r>
      <w:proofErr w:type="spellEnd"/>
      <w:r w:rsidRPr="001C256D">
        <w:rPr>
          <w:rFonts w:ascii="Times New Roman" w:hAnsi="Times New Roman" w:cs="Times New Roman"/>
          <w:sz w:val="28"/>
          <w:szCs w:val="28"/>
        </w:rPr>
        <w:t>)*100%,</w:t>
      </w:r>
    </w:p>
    <w:p w:rsidR="00D73EB0" w:rsidRPr="001C256D" w:rsidRDefault="00D73EB0" w:rsidP="00D73EB0">
      <w:pPr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>де:</w:t>
      </w:r>
    </w:p>
    <w:p w:rsidR="00D73EB0" w:rsidRPr="001C256D" w:rsidRDefault="00D73EB0" w:rsidP="00D73E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56D">
        <w:rPr>
          <w:rFonts w:ascii="Times New Roman" w:hAnsi="Times New Roman" w:cs="Times New Roman"/>
          <w:sz w:val="28"/>
          <w:szCs w:val="28"/>
        </w:rPr>
        <w:t>Евнутр</w:t>
      </w:r>
      <w:proofErr w:type="spellEnd"/>
      <w:r w:rsidRPr="001C256D">
        <w:rPr>
          <w:rFonts w:ascii="Times New Roman" w:hAnsi="Times New Roman" w:cs="Times New Roman"/>
          <w:sz w:val="28"/>
          <w:szCs w:val="28"/>
        </w:rPr>
        <w:t> — освітленість, що створюється в деякій точці приміщення світлом неба</w:t>
      </w:r>
    </w:p>
    <w:p w:rsidR="00D73EB0" w:rsidRPr="001C256D" w:rsidRDefault="00D73EB0" w:rsidP="00D73E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56D">
        <w:rPr>
          <w:rFonts w:ascii="Times New Roman" w:hAnsi="Times New Roman" w:cs="Times New Roman"/>
          <w:sz w:val="28"/>
          <w:szCs w:val="28"/>
        </w:rPr>
        <w:t>Езовн</w:t>
      </w:r>
      <w:proofErr w:type="spellEnd"/>
      <w:r w:rsidRPr="001C256D">
        <w:rPr>
          <w:rFonts w:ascii="Times New Roman" w:hAnsi="Times New Roman" w:cs="Times New Roman"/>
          <w:sz w:val="28"/>
          <w:szCs w:val="28"/>
        </w:rPr>
        <w:t> — зовнішня горизонтальна освітленість, створювана повністю відкритим склепінням.</w:t>
      </w:r>
    </w:p>
    <w:p w:rsidR="00CE1303" w:rsidRPr="001C256D" w:rsidRDefault="00D73EB0" w:rsidP="00D73EB0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bCs/>
          <w:sz w:val="28"/>
          <w:szCs w:val="28"/>
        </w:rPr>
        <w:t>Концепція прийнятного (допустимого) ризику</w:t>
      </w:r>
      <w:r w:rsidRPr="001C256D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73EB0" w:rsidRPr="001C256D" w:rsidRDefault="00D73EB0" w:rsidP="00D73EB0">
      <w:pPr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>На практиці досягти нульового рівня ризику неможливо. Знехтуваний ризик у теперішній час також неможливо забезпечити з огляду на відсутність технічних та економічних передумов для цього. Тому, сучасна концепція безпеки життєдіяльності базується на досягненні прийнятого ризику, сутність якої полягає у прагненні створити таку малу безпеку, яку сприймає суспільство у даний час, виходячи з рівня життя, соціально-політичного та економічного становища, розвитку науки й техніки.</w:t>
      </w:r>
    </w:p>
    <w:p w:rsidR="00D73EB0" w:rsidRPr="001C256D" w:rsidRDefault="00D73EB0" w:rsidP="00D73EB0">
      <w:pPr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>Говорячи про ризик, слід розділяти ризик, на той, що пов'язаний з виробничою обстановкою – системний ризик і ризик, пов'язаний із станом організму – особистий ризик.</w:t>
      </w:r>
    </w:p>
    <w:p w:rsidR="00D73EB0" w:rsidRPr="001C256D" w:rsidRDefault="00D73EB0" w:rsidP="00D73EB0">
      <w:pPr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>Системний ризик – це ступінь небезпеки виробничої системи, це міра схильності системи до виникнення небезпечних ситуацій. Системний ризик – це властивість системи. Елементами системи є: машини, інструменти, сировина, люди й ін.. Вихід із ладу чи неправильне функціонування одного елемента системи може мати вплив і ускладнювати інші елементи.</w:t>
      </w:r>
    </w:p>
    <w:p w:rsidR="00D73EB0" w:rsidRPr="001C256D" w:rsidRDefault="00D73EB0" w:rsidP="00D73EB0">
      <w:pPr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>Прийнятий (допустимий) ризик – це компроміс між рівнем безпеки й можливостями для її досягнення. Він поєднує в собі технічні, економічні, соціальні й політичні можливості держави.</w:t>
      </w:r>
    </w:p>
    <w:p w:rsidR="00D73EB0" w:rsidRPr="001C256D" w:rsidRDefault="00D73EB0" w:rsidP="00D73EB0">
      <w:pPr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 xml:space="preserve">Величину прийнятного ризику можна визначити використовуючи витратний механізм, який дозволяє розподілити витрати суспільства на досягнення заданого рівня безпеки між природною, техногенною та соціальною сферами. Потрібно підтримувати відповідне співвідношення витрат у зазначених сферах, оскільки порушення балансу на користь однієї з них може спричинити різке збільшення ризику і його рівень вийде за межі прийнятних значень. Так, зменшення витрат на охорону навколишнього природного середовища на користь техногенної та соціальної сфер призведе до забруднення атмосфери, води, </w:t>
      </w:r>
      <w:proofErr w:type="spellStart"/>
      <w:r w:rsidRPr="001C256D">
        <w:rPr>
          <w:rFonts w:ascii="Times New Roman" w:hAnsi="Times New Roman" w:cs="Times New Roman"/>
          <w:sz w:val="28"/>
          <w:szCs w:val="28"/>
        </w:rPr>
        <w:t>грунтів</w:t>
      </w:r>
      <w:proofErr w:type="spellEnd"/>
      <w:r w:rsidRPr="001C256D">
        <w:rPr>
          <w:rFonts w:ascii="Times New Roman" w:hAnsi="Times New Roman" w:cs="Times New Roman"/>
          <w:sz w:val="28"/>
          <w:szCs w:val="28"/>
        </w:rPr>
        <w:t xml:space="preserve">, що неминуче вплине на ріст захворювань, погіршення умов проживання, якості харчів. Разом із тим </w:t>
      </w:r>
      <w:r w:rsidRPr="001C256D">
        <w:rPr>
          <w:rFonts w:ascii="Times New Roman" w:hAnsi="Times New Roman" w:cs="Times New Roman"/>
          <w:sz w:val="28"/>
          <w:szCs w:val="28"/>
        </w:rPr>
        <w:lastRenderedPageBreak/>
        <w:t>виділення недостатніх коштів на підтримання та розвиток техногенної сфери призведе до використання відсталих технологій, устаткування, зростання рівнів травматизму та професійних захворювань, до загального падіння рівнів виробництва. З іншого боку, зниження витрат у соціальній сфері безпосередньо впливає на життєвий рівень людей та підвищує ризик зубожіння суспільства, його криміналізації.</w:t>
      </w:r>
    </w:p>
    <w:p w:rsidR="00D42F97" w:rsidRPr="001C256D" w:rsidRDefault="00D42F97" w:rsidP="00D42F97">
      <w:pPr>
        <w:pStyle w:val="1"/>
        <w:jc w:val="center"/>
        <w:rPr>
          <w:rFonts w:ascii="Times New Roman" w:hAnsi="Times New Roman" w:cs="Times New Roman"/>
          <w:sz w:val="28"/>
        </w:rPr>
      </w:pPr>
      <w:r w:rsidRPr="001C256D">
        <w:rPr>
          <w:rFonts w:ascii="Times New Roman" w:hAnsi="Times New Roman" w:cs="Times New Roman"/>
          <w:sz w:val="28"/>
        </w:rPr>
        <w:t>ВИСНОВОК</w:t>
      </w:r>
    </w:p>
    <w:p w:rsidR="001B01A1" w:rsidRPr="00D73EB0" w:rsidRDefault="00B62C38" w:rsidP="001B01A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C256D">
        <w:rPr>
          <w:rFonts w:ascii="Times New Roman" w:hAnsi="Times New Roman" w:cs="Times New Roman"/>
          <w:sz w:val="28"/>
          <w:szCs w:val="28"/>
        </w:rPr>
        <w:tab/>
      </w:r>
      <w:r w:rsidR="001B01A1" w:rsidRPr="001C256D">
        <w:rPr>
          <w:rFonts w:ascii="Times New Roman" w:hAnsi="Times New Roman" w:cs="Times New Roman"/>
          <w:sz w:val="28"/>
          <w:szCs w:val="28"/>
        </w:rPr>
        <w:t>У даній розрахунковій роботі було проведено аналіз виробничого травматизму на підприємстві</w:t>
      </w:r>
      <w:r w:rsidR="001B01A1" w:rsidRPr="001C25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B01A1" w:rsidRPr="001C256D">
        <w:rPr>
          <w:rFonts w:ascii="Times New Roman" w:hAnsi="Times New Roman" w:cs="Times New Roman"/>
          <w:sz w:val="28"/>
          <w:szCs w:val="28"/>
        </w:rPr>
        <w:t xml:space="preserve">розраховано коефіцієнти частоти, важкості та загального травматизму та побудовано графіки показників. </w:t>
      </w:r>
      <w:r w:rsidR="007D3363" w:rsidRPr="001C256D">
        <w:rPr>
          <w:rFonts w:ascii="Times New Roman" w:hAnsi="Times New Roman" w:cs="Times New Roman"/>
          <w:sz w:val="28"/>
          <w:szCs w:val="28"/>
        </w:rPr>
        <w:t xml:space="preserve">Розраховано </w:t>
      </w:r>
      <w:r w:rsidRPr="001C256D">
        <w:rPr>
          <w:rFonts w:ascii="Times New Roman" w:hAnsi="Times New Roman" w:cs="Times New Roman"/>
          <w:sz w:val="28"/>
          <w:szCs w:val="28"/>
        </w:rPr>
        <w:t xml:space="preserve">площу світлових прорізів  на основі </w:t>
      </w:r>
      <w:r w:rsidR="007D3363" w:rsidRPr="001C256D">
        <w:rPr>
          <w:rFonts w:ascii="Times New Roman" w:hAnsi="Times New Roman" w:cs="Times New Roman"/>
          <w:sz w:val="28"/>
          <w:szCs w:val="28"/>
        </w:rPr>
        <w:t>боков</w:t>
      </w:r>
      <w:r w:rsidRPr="001C256D">
        <w:rPr>
          <w:rFonts w:ascii="Times New Roman" w:hAnsi="Times New Roman" w:cs="Times New Roman"/>
          <w:sz w:val="28"/>
          <w:szCs w:val="28"/>
        </w:rPr>
        <w:t>ого</w:t>
      </w:r>
      <w:r w:rsidR="007D3363" w:rsidRPr="001C256D">
        <w:rPr>
          <w:rFonts w:ascii="Times New Roman" w:hAnsi="Times New Roman" w:cs="Times New Roman"/>
          <w:sz w:val="28"/>
          <w:szCs w:val="28"/>
        </w:rPr>
        <w:t xml:space="preserve"> природного освітлення</w:t>
      </w:r>
      <w:r w:rsidRPr="001C25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256D">
        <w:rPr>
          <w:rFonts w:ascii="Times New Roman" w:hAnsi="Times New Roman" w:cs="Times New Roman"/>
          <w:sz w:val="28"/>
          <w:szCs w:val="28"/>
        </w:rPr>
        <w:t xml:space="preserve">Описано, два теоретичні запитання </w:t>
      </w:r>
      <w:r w:rsidR="00D73EB0" w:rsidRPr="001C256D">
        <w:rPr>
          <w:rFonts w:ascii="Times New Roman" w:hAnsi="Times New Roman" w:cs="Times New Roman"/>
          <w:sz w:val="28"/>
          <w:szCs w:val="28"/>
        </w:rPr>
        <w:t>про природнє освітлення та про концепцію прийнятного (допу</w:t>
      </w:r>
      <w:r w:rsidR="00D73EB0">
        <w:rPr>
          <w:rFonts w:ascii="Times New Roman" w:hAnsi="Times New Roman" w:cs="Times New Roman"/>
          <w:sz w:val="28"/>
          <w:szCs w:val="28"/>
        </w:rPr>
        <w:t>стимого) ризику.</w:t>
      </w:r>
    </w:p>
    <w:sectPr w:rsidR="001B01A1" w:rsidRPr="00D73EB0" w:rsidSect="001C256D">
      <w:pgSz w:w="11900" w:h="16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26FDF"/>
    <w:multiLevelType w:val="hybridMultilevel"/>
    <w:tmpl w:val="368637F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1E47D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02D11"/>
    <w:multiLevelType w:val="hybridMultilevel"/>
    <w:tmpl w:val="2152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42D25"/>
    <w:multiLevelType w:val="hybridMultilevel"/>
    <w:tmpl w:val="479A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71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990180"/>
    <w:multiLevelType w:val="hybridMultilevel"/>
    <w:tmpl w:val="32B0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76BB6"/>
    <w:multiLevelType w:val="hybridMultilevel"/>
    <w:tmpl w:val="03F63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750B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0C1CA1"/>
    <w:multiLevelType w:val="hybridMultilevel"/>
    <w:tmpl w:val="28A2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E0B8C"/>
    <w:multiLevelType w:val="hybridMultilevel"/>
    <w:tmpl w:val="3E3E2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1E5065"/>
    <w:multiLevelType w:val="hybridMultilevel"/>
    <w:tmpl w:val="DA2ED9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362AD1"/>
    <w:multiLevelType w:val="hybridMultilevel"/>
    <w:tmpl w:val="9B3E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85750"/>
    <w:multiLevelType w:val="hybridMultilevel"/>
    <w:tmpl w:val="ED86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23E6B"/>
    <w:multiLevelType w:val="multilevel"/>
    <w:tmpl w:val="BD76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61480D"/>
    <w:multiLevelType w:val="hybridMultilevel"/>
    <w:tmpl w:val="C348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D560A"/>
    <w:multiLevelType w:val="hybridMultilevel"/>
    <w:tmpl w:val="0658A88E"/>
    <w:lvl w:ilvl="0" w:tplc="A438836A">
      <w:start w:val="1"/>
      <w:numFmt w:val="bullet"/>
      <w:pStyle w:val="Style1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0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BA"/>
    <w:rsid w:val="00032741"/>
    <w:rsid w:val="00061B94"/>
    <w:rsid w:val="000D5BBA"/>
    <w:rsid w:val="00194D26"/>
    <w:rsid w:val="001B01A1"/>
    <w:rsid w:val="001C1D29"/>
    <w:rsid w:val="001C256D"/>
    <w:rsid w:val="0023203D"/>
    <w:rsid w:val="002D7E8D"/>
    <w:rsid w:val="003B6C2B"/>
    <w:rsid w:val="003D69C8"/>
    <w:rsid w:val="003F41AA"/>
    <w:rsid w:val="00450D8A"/>
    <w:rsid w:val="00524947"/>
    <w:rsid w:val="0054696F"/>
    <w:rsid w:val="0056198C"/>
    <w:rsid w:val="005824A5"/>
    <w:rsid w:val="00582E55"/>
    <w:rsid w:val="005871A7"/>
    <w:rsid w:val="00596780"/>
    <w:rsid w:val="005F00E7"/>
    <w:rsid w:val="006148CD"/>
    <w:rsid w:val="006A568A"/>
    <w:rsid w:val="006B32C9"/>
    <w:rsid w:val="0071623C"/>
    <w:rsid w:val="007D3363"/>
    <w:rsid w:val="0085662E"/>
    <w:rsid w:val="00A43609"/>
    <w:rsid w:val="00AB23DA"/>
    <w:rsid w:val="00AE2DDB"/>
    <w:rsid w:val="00B22E04"/>
    <w:rsid w:val="00B62C38"/>
    <w:rsid w:val="00B90295"/>
    <w:rsid w:val="00C7236C"/>
    <w:rsid w:val="00CE1303"/>
    <w:rsid w:val="00D265F9"/>
    <w:rsid w:val="00D42F97"/>
    <w:rsid w:val="00D73EB0"/>
    <w:rsid w:val="00FC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0B96F-8AA1-034E-85DE-0599BC45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BBA"/>
    <w:pPr>
      <w:spacing w:after="160" w:line="254" w:lineRule="auto"/>
    </w:pPr>
    <w:rPr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D5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B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Style1">
    <w:name w:val="Style1"/>
    <w:basedOn w:val="a"/>
    <w:rsid w:val="000D5BBA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3OsnText">
    <w:name w:val="3_OsnText"/>
    <w:basedOn w:val="a"/>
    <w:rsid w:val="000D5BBA"/>
    <w:pPr>
      <w:spacing w:after="0" w:line="312" w:lineRule="auto"/>
      <w:ind w:firstLine="288"/>
      <w:jc w:val="both"/>
    </w:pPr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paragraph" w:styleId="a3">
    <w:name w:val="List Paragraph"/>
    <w:basedOn w:val="a"/>
    <w:uiPriority w:val="34"/>
    <w:qFormat/>
    <w:rsid w:val="000D5B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43609"/>
    <w:rPr>
      <w:color w:val="808080"/>
    </w:rPr>
  </w:style>
  <w:style w:type="paragraph" w:customStyle="1" w:styleId="western">
    <w:name w:val="western"/>
    <w:basedOn w:val="a"/>
    <w:rsid w:val="0006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Hyperlink"/>
    <w:basedOn w:val="a0"/>
    <w:uiPriority w:val="99"/>
    <w:unhideWhenUsed/>
    <w:rsid w:val="00061B94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061B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ідзаголовок Знак"/>
    <w:basedOn w:val="a0"/>
    <w:link w:val="a6"/>
    <w:uiPriority w:val="11"/>
    <w:rsid w:val="00061B94"/>
    <w:rPr>
      <w:rFonts w:eastAsiaTheme="minorEastAsia"/>
      <w:color w:val="5A5A5A" w:themeColor="text1" w:themeTint="A5"/>
      <w:spacing w:val="15"/>
      <w:sz w:val="22"/>
      <w:szCs w:val="22"/>
      <w:lang w:val="uk-UA"/>
    </w:rPr>
  </w:style>
  <w:style w:type="paragraph" w:styleId="a8">
    <w:name w:val="Normal (Web)"/>
    <w:basedOn w:val="a"/>
    <w:uiPriority w:val="99"/>
    <w:semiHidden/>
    <w:unhideWhenUsed/>
    <w:rsid w:val="00D7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9">
    <w:name w:val="Strong"/>
    <w:basedOn w:val="a0"/>
    <w:uiPriority w:val="22"/>
    <w:qFormat/>
    <w:rsid w:val="00D73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oleObject" Target="embeddings/oleObject2.bin"/><Relationship Id="rId5" Type="http://schemas.openxmlformats.org/officeDocument/2006/relationships/chart" Target="charts/chart1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\kn_47\2%20&#1089;&#1077;&#1084;&#1077;&#1089;&#1090;&#1088;\&#1054;&#1041;&#1046;\&#1056;&#1086;&#1079;&#1088;&#1072;&#1093;&#1091;&#1085;&#1082;&#1086;&#1074;&#1072;-&#1058;&#1072;&#1073;&#1083;&#1080;&#1094;&#111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\kn_47\2%20&#1089;&#1077;&#1084;&#1077;&#1089;&#1090;&#1088;\&#1054;&#1041;&#1046;\&#1056;&#1086;&#1079;&#1088;&#1072;&#1093;&#1091;&#1085;&#1082;&#1086;&#1074;&#1072;-&#1058;&#1072;&#1073;&#1083;&#1080;&#1094;&#111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\kn_47\2%20&#1089;&#1077;&#1084;&#1077;&#1089;&#1090;&#1088;\&#1054;&#1041;&#1046;\&#1056;&#1086;&#1079;&#1088;&#1072;&#1093;&#1091;&#1085;&#1082;&#1086;&#1074;&#1072;-&#1058;&#1072;&#1073;&#1083;&#1080;&#1094;&#111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Коефіцієнт частоти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Коефіцієнт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Sheet1!$A$1:$A$9</c:f>
              <c:numCache>
                <c:formatCode>General</c:formatCode>
                <c:ptCount val="9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</c:numCache>
            </c:numRef>
          </c:cat>
          <c:val>
            <c:numRef>
              <c:f>Sheet1!$B$1:$B$9</c:f>
              <c:numCache>
                <c:formatCode>General</c:formatCode>
                <c:ptCount val="9"/>
                <c:pt idx="0">
                  <c:v>25.714285714285715</c:v>
                </c:pt>
                <c:pt idx="1">
                  <c:v>12</c:v>
                </c:pt>
                <c:pt idx="2">
                  <c:v>15.037593984962406</c:v>
                </c:pt>
                <c:pt idx="3">
                  <c:v>1.639344262295082</c:v>
                </c:pt>
                <c:pt idx="4">
                  <c:v>11.578947368421053</c:v>
                </c:pt>
                <c:pt idx="5">
                  <c:v>11.111111111111111</c:v>
                </c:pt>
                <c:pt idx="6">
                  <c:v>50</c:v>
                </c:pt>
                <c:pt idx="7">
                  <c:v>5</c:v>
                </c:pt>
                <c:pt idx="8">
                  <c:v>29.411764705882351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4A0-FA47-8CF5-38E25CCB1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548944"/>
        <c:axId val="211546224"/>
      </c:lineChart>
      <c:catAx>
        <c:axId val="211548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11546224"/>
        <c:crosses val="autoZero"/>
        <c:auto val="1"/>
        <c:lblAlgn val="ctr"/>
        <c:lblOffset val="100"/>
        <c:noMultiLvlLbl val="0"/>
      </c:catAx>
      <c:valAx>
        <c:axId val="21154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1154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Коефіцієнт важкості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Коефіцієнт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Sheet1!$G$1:$G$9</c:f>
              <c:numCache>
                <c:formatCode>General</c:formatCode>
                <c:ptCount val="9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</c:numCache>
            </c:numRef>
          </c:cat>
          <c:val>
            <c:numRef>
              <c:f>Sheet1!$H$1:$H$9</c:f>
              <c:numCache>
                <c:formatCode>General</c:formatCode>
                <c:ptCount val="9"/>
                <c:pt idx="0">
                  <c:v>4.1111111111111107</c:v>
                </c:pt>
                <c:pt idx="1">
                  <c:v>29.333333333333332</c:v>
                </c:pt>
                <c:pt idx="2">
                  <c:v>50</c:v>
                </c:pt>
                <c:pt idx="3">
                  <c:v>280</c:v>
                </c:pt>
                <c:pt idx="4">
                  <c:v>10.636363636363637</c:v>
                </c:pt>
                <c:pt idx="5">
                  <c:v>48</c:v>
                </c:pt>
                <c:pt idx="6">
                  <c:v>28.888888888888889</c:v>
                </c:pt>
                <c:pt idx="7">
                  <c:v>100</c:v>
                </c:pt>
                <c:pt idx="8">
                  <c:v>7.4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E342-314C-B5E5-419D0DD3AB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906832"/>
        <c:axId val="208909008"/>
      </c:lineChart>
      <c:catAx>
        <c:axId val="20890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8909008"/>
        <c:crosses val="autoZero"/>
        <c:auto val="1"/>
        <c:lblAlgn val="ctr"/>
        <c:lblOffset val="100"/>
        <c:noMultiLvlLbl val="0"/>
      </c:catAx>
      <c:valAx>
        <c:axId val="20890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890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Коефіцієнт загальний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Коефіцієнт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Sheet1!$M$1:$M$9</c:f>
              <c:numCache>
                <c:formatCode>General</c:formatCode>
                <c:ptCount val="9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</c:numCache>
            </c:numRef>
          </c:cat>
          <c:val>
            <c:numRef>
              <c:f>Sheet1!$N$1:$N$9</c:f>
              <c:numCache>
                <c:formatCode>General</c:formatCode>
                <c:ptCount val="9"/>
                <c:pt idx="0">
                  <c:v>105.71428571428571</c:v>
                </c:pt>
                <c:pt idx="1">
                  <c:v>352</c:v>
                </c:pt>
                <c:pt idx="2">
                  <c:v>751.87969924812035</c:v>
                </c:pt>
                <c:pt idx="3">
                  <c:v>459.01639344262298</c:v>
                </c:pt>
                <c:pt idx="4">
                  <c:v>123.15789473684211</c:v>
                </c:pt>
                <c:pt idx="5">
                  <c:v>533.33333333333326</c:v>
                </c:pt>
                <c:pt idx="6">
                  <c:v>1444.4444444444446</c:v>
                </c:pt>
                <c:pt idx="7">
                  <c:v>500</c:v>
                </c:pt>
                <c:pt idx="8">
                  <c:v>217.64705882352942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4A4-4840-91A2-B7E4CACB87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909552"/>
        <c:axId val="208902480"/>
      </c:lineChart>
      <c:catAx>
        <c:axId val="20890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8902480"/>
        <c:crosses val="autoZero"/>
        <c:auto val="1"/>
        <c:lblAlgn val="ctr"/>
        <c:lblOffset val="100"/>
        <c:noMultiLvlLbl val="0"/>
      </c:catAx>
      <c:valAx>
        <c:axId val="20890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8909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5106</Words>
  <Characters>2911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Олег Шандра</cp:lastModifiedBy>
  <cp:revision>5</cp:revision>
  <dcterms:created xsi:type="dcterms:W3CDTF">2019-03-26T17:59:00Z</dcterms:created>
  <dcterms:modified xsi:type="dcterms:W3CDTF">2019-03-26T19:21:00Z</dcterms:modified>
</cp:coreProperties>
</file>