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rFonts w:ascii="Arial" w:cs="Arial" w:eastAsia="Arial" w:hAnsi="Arial"/>
          <w:b/>
          <w:bCs/>
          <w:color w:val="2D6A8F"/>
          <w:sz w:val="28"/>
          <w:szCs w:val="28"/>
        </w:rPr>
        <w:t xml:space="preserve">RESEARCH PROPOSAL</w:t>
      </w:r>
    </w:p>
    <w:p>
      <w:pPr>
        <w:spacing w:after="400"/>
        <w:jc w:val="center"/>
      </w:pPr>
      <w:r>
        <w:rPr>
          <w:rFonts w:ascii="Arial" w:cs="Arial" w:eastAsia="Arial" w:hAnsi="Arial"/>
          <w:b/>
          <w:bCs/>
          <w:color w:val="1B3A4B"/>
          <w:sz w:val="48"/>
          <w:szCs w:val="48"/>
        </w:rPr>
        <w:t xml:space="preserve">Evaluating the Economic Impact of a
Junk Fee Ban in Chicago</w:t>
      </w:r>
    </w:p>
    <w:p>
      <w:pPr>
        <w:pBdr>
          <w:bottom w:val="single" w:color="1B3A4B" w:sz="6" w:space="1"/>
        </w:pBdr>
        <w:spacing w:after="200"/>
        <w:jc w:val="center"/>
      </w:pPr>
      <w:r>
        <w:rPr>
          <w:rFonts w:ascii="Arial" w:cs="Arial" w:eastAsia="Arial" w:hAnsi="Arial"/>
          <w:color w:val="666666"/>
          <w:sz w:val="28"/>
          <w:szCs w:val="28"/>
        </w:rPr>
        <w:t xml:space="preserve">Research Design and Econometric Model</w:t>
      </w:r>
    </w:p>
    <w:p>
      <w:pPr>
        <w:spacing w:before="1600"/>
      </w:pPr>
    </w:p>
    <w:p>
      <w:pPr>
        <w:jc w:val="center"/>
      </w:pPr>
      <w:r>
        <w:rPr>
          <w:rFonts w:ascii="Arial" w:cs="Arial" w:eastAsia="Arial" w:hAnsi="Arial"/>
          <w:color w:val="666666"/>
          <w:sz w:val="24"/>
          <w:szCs w:val="24"/>
        </w:rPr>
        <w:t xml:space="preserve">Prepared for the Office of the Mayor and Chief of Policy</w:t>
      </w:r>
    </w:p>
    <w:p>
      <w:pPr>
        <w:jc w:val="center"/>
      </w:pPr>
      <w:r>
        <w:rPr>
          <w:rFonts w:ascii="Arial" w:cs="Arial" w:eastAsia="Arial" w:hAnsi="Arial"/>
          <w:color w:val="666666"/>
          <w:sz w:val="24"/>
          <w:szCs w:val="24"/>
        </w:rPr>
        <w:t xml:space="preserve">City of Chicago</w:t>
      </w:r>
    </w:p>
    <w:p>
      <w:pPr>
        <w:spacing w:before="400"/>
      </w:pPr>
    </w:p>
    <w:p>
      <w:pPr>
        <w:jc w:val="center"/>
      </w:pPr>
      <w:r>
        <w:rPr>
          <w:rFonts w:ascii="Arial" w:cs="Arial" w:eastAsia="Arial" w:hAnsi="Arial"/>
          <w:color w:val="999999"/>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Problem Statement</w:t>
      </w:r>
    </w:p>
    <w:p>
      <w:pPr>
        <w:spacing w:after="200"/>
      </w:pPr>
      <w:r>
        <w:rPr>
          <w:rFonts w:ascii="Arial" w:cs="Arial" w:eastAsia="Arial" w:hAnsi="Arial"/>
          <w:sz w:val="24"/>
          <w:szCs w:val="24"/>
        </w:rPr>
        <w:t xml:space="preserve">The City of Chicago is considering a junk fee ban ordinance that would prohibit or cap non-rent charges imposed on residential tenants — including application fees, administrative fees, move-in fees, amenity fees, and other mandatory charges that inflate the true cost of renting.</w:t>
      </w:r>
      <w:r>
        <w:rPr>
          <w:rFonts w:ascii="Arial" w:cs="Arial" w:eastAsia="Arial" w:hAnsi="Arial"/>
          <w:sz w:val="24"/>
          <w:szCs w:val="24"/>
        </w:rPr>
        <w:t xml:space="preserve"> This study proposes a rigorous framework for evaluating whether such a ban would produce net economic benefits for Chicago renters, or whether landlord behavioral responses would offset or negate those benefits.</w:t>
      </w:r>
    </w:p>
    <w:p>
      <w:pPr>
        <w:spacing w:after="200"/>
      </w:pPr>
      <w:r>
        <w:rPr>
          <w:rFonts w:ascii="Arial" w:cs="Arial" w:eastAsia="Arial" w:hAnsi="Arial"/>
          <w:sz w:val="24"/>
          <w:szCs w:val="24"/>
        </w:rPr>
        <w:t xml:space="preserve">The core analytical challenge is the </w:t>
      </w:r>
      <w:r>
        <w:rPr>
          <w:rFonts w:ascii="Arial" w:cs="Arial" w:eastAsia="Arial" w:hAnsi="Arial"/>
          <w:i/>
          <w:iCs/>
          <w:sz w:val="24"/>
          <w:szCs w:val="24"/>
        </w:rPr>
        <w:t xml:space="preserve">waterbed effect</w:t>
      </w:r>
      <w:r>
        <w:rPr>
          <w:rFonts w:ascii="Arial" w:cs="Arial" w:eastAsia="Arial" w:hAnsi="Arial"/>
          <w:sz w:val="24"/>
          <w:szCs w:val="24"/>
        </w:rPr>
        <w:t xml:space="preserve">: when one revenue channel (fees) is restricted, landlords may compensate through another (base rent), leaving total renter costs unchanged. This study is designed to isolate and measure that effect, along with broader market consequences.</w:t>
      </w:r>
    </w:p>
    <w:p>
      <w:pPr>
        <w:spacing w:after="200"/>
      </w:pPr>
      <w:r>
        <w:rPr>
          <w:rFonts w:ascii="Arial" w:cs="Arial" w:eastAsia="Arial" w:hAnsi="Arial"/>
          <w:sz w:val="24"/>
          <w:szCs w:val="24"/>
        </w:rPr>
        <w:t xml:space="preserve">Context: an estimated 60% of renters nationally pay at least one junk fee</w:t>
      </w:r>
      <w:r>
        <w:rPr>
          <w:rFonts w:ascii="Arial" w:cs="Arial" w:eastAsia="Arial" w:hAnsi="Arial"/>
          <w:i/>
          <w:iCs/>
          <w:color w:val="1A6B8A"/>
          <w:sz w:val="20"/>
          <w:szCs w:val="20"/>
        </w:rPr>
        <w:t xml:space="preserve"> (Zillow, 2025)</w:t>
      </w:r>
      <w:r>
        <w:rPr>
          <w:rFonts w:ascii="Arial" w:cs="Arial" w:eastAsia="Arial" w:hAnsi="Arial"/>
          <w:sz w:val="24"/>
          <w:szCs w:val="24"/>
        </w:rPr>
        <w:t xml:space="preserve">; Chicago’s vacancy rate sits at 4.7–4.9%</w:t>
      </w:r>
      <w:r>
        <w:rPr>
          <w:rFonts w:ascii="Arial" w:cs="Arial" w:eastAsia="Arial" w:hAnsi="Arial"/>
          <w:i/>
          <w:iCs/>
          <w:color w:val="1A6B8A"/>
          <w:sz w:val="20"/>
          <w:szCs w:val="20"/>
        </w:rPr>
        <w:t xml:space="preserve"> (CRE Consult, 2025)</w:t>
      </w:r>
      <w:r>
        <w:rPr>
          <w:rFonts w:ascii="Arial" w:cs="Arial" w:eastAsia="Arial" w:hAnsi="Arial"/>
          <w:sz w:val="24"/>
          <w:szCs w:val="24"/>
        </w:rPr>
        <w:t xml:space="preserve">; effective rents rose 5.5% year-over-year</w:t>
      </w:r>
      <w:r>
        <w:rPr>
          <w:rFonts w:ascii="Arial" w:cs="Arial" w:eastAsia="Arial" w:hAnsi="Arial"/>
          <w:i/>
          <w:iCs/>
          <w:color w:val="1A6B8A"/>
          <w:sz w:val="20"/>
          <w:szCs w:val="20"/>
        </w:rPr>
        <w:t xml:space="preserve"> (CRE Consult, 2025)</w:t>
      </w:r>
      <w:r>
        <w:rPr>
          <w:rFonts w:ascii="Arial" w:cs="Arial" w:eastAsia="Arial" w:hAnsi="Arial"/>
          <w:sz w:val="24"/>
          <w:szCs w:val="24"/>
        </w:rPr>
        <w:t xml:space="preserve">; and non-refundable move-in fees of $425–$700 have largely replaced regulated security deposits.</w:t>
      </w:r>
      <w:r>
        <w:rPr>
          <w:rFonts w:ascii="Arial" w:cs="Arial" w:eastAsia="Arial" w:hAnsi="Arial"/>
          <w:i/>
          <w:iCs/>
          <w:color w:val="1A6B8A"/>
          <w:sz w:val="20"/>
          <w:szCs w:val="20"/>
        </w:rPr>
        <w:t xml:space="preserve"> (Block Club Chicago, Apr 2025; Luxury Living Chicago, 2025)</w:t>
      </w:r>
    </w:p>
    <w:p>
      <w:r>
        <w:br w:type="page"/>
      </w:r>
    </w:p>
    <w:p>
      <w:pPr>
        <w:pStyle w:val="Heading1"/>
      </w:pPr>
      <w:r>
        <w:rPr>
          <w:rFonts w:ascii="Arial" w:cs="Arial" w:eastAsia="Arial" w:hAnsi="Arial"/>
        </w:rPr>
        <w:t xml:space="preserve">2. Research Questions</w:t>
      </w:r>
    </w:p>
    <w:p>
      <w:pPr>
        <w:spacing w:after="200"/>
      </w:pPr>
      <w:r>
        <w:rPr>
          <w:rFonts w:ascii="Arial" w:cs="Arial" w:eastAsia="Arial" w:hAnsi="Arial"/>
          <w:sz w:val="24"/>
          <w:szCs w:val="24"/>
        </w:rPr>
        <w:t xml:space="preserve">The study addresses five questions, each linked to specific measurable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00"/>
        <w:gridCol w:w="4660"/>
      </w:tblGrid>
      <w:tr>
        <w:tc>
          <w:tcPr>
            <w:tcW w:type="dxa" w:w="6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1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Research Question</w:t>
            </w:r>
          </w:p>
        </w:tc>
        <w:tc>
          <w:tcPr>
            <w:tcW w:type="dxa" w:w="466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Variables Required</w:t>
            </w:r>
          </w:p>
        </w:tc>
      </w:tr>
      <w:tr>
        <w:tc>
          <w:tcPr>
            <w:tcW w:type="dxa" w:w="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1</w:t>
            </w:r>
          </w:p>
        </w:tc>
        <w:tc>
          <w:tcPr>
            <w:tcW w:type="dxa" w:w="4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Does a junk fee ban reduce total housing costs for renters, or do landlords offset it by raising base rent?</w:t>
            </w:r>
          </w:p>
        </w:tc>
        <w:tc>
          <w:tcPr>
            <w:tcW w:type="dxa" w:w="4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Total Cost of Renting (TCR), Base Rent, Total Fee Burden (TFB), Rent Absorption Rate</w:t>
            </w:r>
          </w:p>
        </w:tc>
      </w:tr>
      <w:tr>
        <w:tc>
          <w:tcPr>
            <w:tcW w:type="dxa" w:w="6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2</w:t>
            </w:r>
          </w:p>
        </w:tc>
        <w:tc>
          <w:tcPr>
            <w:tcW w:type="dxa" w:w="4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How do landlords behaviorally respond: fee substitution, service cuts, market exit, condo conversion?</w:t>
            </w:r>
          </w:p>
        </w:tc>
        <w:tc>
          <w:tcPr>
            <w:tcW w:type="dxa" w:w="46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New Fee Introduction Rate, Maintenance Expenditure/Unit, Condo Conversion Rate, Rental Unit Supply, Amenity Index</w:t>
            </w:r>
          </w:p>
        </w:tc>
      </w:tr>
      <w:tr>
        <w:tc>
          <w:tcPr>
            <w:tcW w:type="dxa" w:w="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3</w:t>
            </w:r>
          </w:p>
        </w:tc>
        <w:tc>
          <w:tcPr>
            <w:tcW w:type="dxa" w:w="4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Does the ban improve rental market efficiency and transparency?</w:t>
            </w:r>
          </w:p>
        </w:tc>
        <w:tc>
          <w:tcPr>
            <w:tcW w:type="dxa" w:w="4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Price Dispersion Index, Fee Transparency Score, Days to Lease, Application Volume/Renter</w:t>
            </w:r>
          </w:p>
        </w:tc>
      </w:tr>
      <w:tr>
        <w:tc>
          <w:tcPr>
            <w:tcW w:type="dxa" w:w="6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4</w:t>
            </w:r>
          </w:p>
        </w:tc>
        <w:tc>
          <w:tcPr>
            <w:tcW w:type="dxa" w:w="4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Who benefits and who is harmed, across income, race, and neighborhood?</w:t>
            </w:r>
          </w:p>
        </w:tc>
        <w:tc>
          <w:tcPr>
            <w:tcW w:type="dxa" w:w="46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Fee Burden by Income Quintile, Fee Burden by Race/Ethnicity, Neighborhood Fee Disparity Index, Low-Income Unit Access</w:t>
            </w:r>
          </w:p>
        </w:tc>
      </w:tr>
      <w:tr>
        <w:tc>
          <w:tcPr>
            <w:tcW w:type="dxa" w:w="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5</w:t>
            </w:r>
          </w:p>
        </w:tc>
        <w:tc>
          <w:tcPr>
            <w:tcW w:type="dxa" w:w="4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What are the long-run effects on housing supply and investment?</w:t>
            </w:r>
          </w:p>
        </w:tc>
        <w:tc>
          <w:tcPr>
            <w:tcW w:type="dxa" w:w="4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Building Permits, Multifamily Starts, Property Maintenance Investment, Landlord Market Exit Rate</w:t>
            </w:r>
          </w:p>
        </w:tc>
      </w:tr>
    </w:tbl>
    <w:p>
      <w:r>
        <w:br w:type="page"/>
      </w:r>
    </w:p>
    <w:p>
      <w:pPr>
        <w:pStyle w:val="Heading1"/>
      </w:pPr>
      <w:r>
        <w:rPr>
          <w:rFonts w:ascii="Arial" w:cs="Arial" w:eastAsia="Arial" w:hAnsi="Arial"/>
        </w:rPr>
        <w:t xml:space="preserve">3. Variable Specification</w:t>
      </w:r>
    </w:p>
    <w:p>
      <w:pPr>
        <w:pStyle w:val="Heading2"/>
      </w:pPr>
      <w:r>
        <w:rPr>
          <w:rFonts w:ascii="Arial" w:cs="Arial" w:eastAsia="Arial" w:hAnsi="Arial"/>
        </w:rPr>
        <w:t xml:space="preserve">3.1 Primary Dependent Variables</w:t>
      </w:r>
    </w:p>
    <w:p>
      <w:pPr>
        <w:spacing w:after="200"/>
      </w:pPr>
      <w:r>
        <w:rPr>
          <w:rFonts w:ascii="Arial" w:cs="Arial" w:eastAsia="Arial" w:hAnsi="Arial"/>
          <w:sz w:val="24"/>
          <w:szCs w:val="24"/>
        </w:rPr>
        <w:t xml:space="preserve">These are the outcome variables the model estimates the policy effect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Unit of Measurement</w:t>
            </w:r>
          </w:p>
        </w:tc>
        <w:tc>
          <w:tcPr>
            <w:tcW w:type="dxa" w:w="196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Total Cost of Renting (TCR)</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Base rent + all mandatory fees + all standard optional fees, annualized</w:t>
            </w:r>
          </w:p>
        </w:tc>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$/month per unit</w:t>
            </w:r>
          </w:p>
        </w:tc>
        <w:tc>
          <w:tcPr>
            <w:tcW w:type="dxa" w:w="1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Listing scrapes + lease audits</w:t>
            </w:r>
          </w:p>
        </w:tc>
      </w:tr>
      <w:tr>
        <w:tc>
          <w:tcPr>
            <w:tcW w:type="dxa" w:w="2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Base Rent</w:t>
            </w:r>
          </w:p>
        </w:tc>
        <w:tc>
          <w:tcPr>
            <w:tcW w:type="dxa" w:w="3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Listed monthly rent before any additional fees</w:t>
            </w:r>
          </w:p>
        </w:tc>
        <w:tc>
          <w:tcPr>
            <w:tcW w:type="dxa" w:w="20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$/month per unit</w:t>
            </w:r>
          </w:p>
        </w:tc>
        <w:tc>
          <w:tcPr>
            <w:tcW w:type="dxa" w:w="19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Zillow, Apartments.com, CoStar</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Total Fee Burden (TFB)</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Sum of all non-rent charges: application, move-in, admin, pet, amenity, parking, trash, convenience, utility pass-throughs</w:t>
            </w:r>
          </w:p>
        </w:tc>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$/year per lease</w:t>
            </w:r>
          </w:p>
        </w:tc>
        <w:tc>
          <w:tcPr>
            <w:tcW w:type="dxa" w:w="1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Lease audits, renter surveys</w:t>
            </w:r>
          </w:p>
        </w:tc>
      </w:tr>
      <w:tr>
        <w:tc>
          <w:tcPr>
            <w:tcW w:type="dxa" w:w="2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Fee-to-Rent Ratio</w:t>
            </w:r>
          </w:p>
        </w:tc>
        <w:tc>
          <w:tcPr>
            <w:tcW w:type="dxa" w:w="3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TFB ÷ (Base Rent × 12)</w:t>
            </w:r>
          </w:p>
        </w:tc>
        <w:tc>
          <w:tcPr>
            <w:tcW w:type="dxa" w:w="20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Ratio (0–1)</w:t>
            </w:r>
          </w:p>
        </w:tc>
        <w:tc>
          <w:tcPr>
            <w:tcW w:type="dxa" w:w="19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Calculated</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Rent Absorption Rate</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(Δ Base Rent) ÷ (Δ Fees Banned); measures pass-through</w:t>
            </w:r>
          </w:p>
        </w:tc>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Ratio (0 = no pass-through, 1 = full)</w:t>
            </w:r>
          </w:p>
        </w:tc>
        <w:tc>
          <w:tcPr>
            <w:tcW w:type="dxa" w:w="1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Pre/post regression</w:t>
            </w:r>
          </w:p>
        </w:tc>
      </w:tr>
      <w:tr>
        <w:tc>
          <w:tcPr>
            <w:tcW w:type="dxa" w:w="2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Upfront Move-In Cost</w:t>
            </w:r>
          </w:p>
        </w:tc>
        <w:tc>
          <w:tcPr>
            <w:tcW w:type="dxa" w:w="3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Cash required before occupancy: 1st month + deposits + app fee + move-in fee + admin fees</w:t>
            </w:r>
          </w:p>
        </w:tc>
        <w:tc>
          <w:tcPr>
            <w:tcW w:type="dxa" w:w="20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 per lease event</w:t>
            </w:r>
          </w:p>
        </w:tc>
        <w:tc>
          <w:tcPr>
            <w:tcW w:type="dxa" w:w="19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Lease audits, surveys</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Housing Cost Burden</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 of household income on total housing costs</w:t>
            </w:r>
          </w:p>
        </w:tc>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 of income</w:t>
            </w:r>
          </w:p>
        </w:tc>
        <w:tc>
          <w:tcPr>
            <w:tcW w:type="dxa" w:w="1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ACS + renter surveys</w:t>
            </w:r>
          </w:p>
        </w:tc>
      </w:tr>
    </w:tbl>
    <w:p>
      <w:r>
        <w:br w:type="page"/>
      </w:r>
    </w:p>
    <w:p>
      <w:pPr>
        <w:pStyle w:val="Heading2"/>
      </w:pPr>
      <w:r>
        <w:rPr>
          <w:rFonts w:ascii="Arial" w:cs="Arial" w:eastAsia="Arial" w:hAnsi="Arial"/>
        </w:rPr>
        <w:t xml:space="preserve">3.2 Landlord and Supply-Side Response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8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96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Base Rent Adjustment</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Δ in advertised base rent post-ban, controlling for market trends</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Monthly</w:t>
            </w:r>
          </w:p>
        </w:tc>
        <w:tc>
          <w:tcPr>
            <w:tcW w:type="dxa" w:w="1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Zillow, CoStar</w:t>
            </w:r>
          </w:p>
        </w:tc>
      </w:tr>
      <w:tr>
        <w:tc>
          <w:tcPr>
            <w:tcW w:type="dxa" w:w="24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New Fee Introduction Rate</w:t>
            </w:r>
          </w:p>
        </w:tc>
        <w:tc>
          <w:tcPr>
            <w:tcW w:type="dxa" w:w="3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Count and value of new non-rent charges created post-ban</w:t>
            </w:r>
          </w:p>
        </w:tc>
        <w:tc>
          <w:tcPr>
            <w:tcW w:type="dxa" w:w="18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Quarterly</w:t>
            </w:r>
          </w:p>
        </w:tc>
        <w:tc>
          <w:tcPr>
            <w:tcW w:type="dxa" w:w="19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Lease audits</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Rental Unit Supply</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Total available rental units on market</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Monthly</w:t>
            </w:r>
          </w:p>
        </w:tc>
        <w:tc>
          <w:tcPr>
            <w:tcW w:type="dxa" w:w="1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CoStar, MLS</w:t>
            </w:r>
          </w:p>
        </w:tc>
      </w:tr>
      <w:tr>
        <w:tc>
          <w:tcPr>
            <w:tcW w:type="dxa" w:w="24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Vacancy Rate</w:t>
            </w:r>
          </w:p>
        </w:tc>
        <w:tc>
          <w:tcPr>
            <w:tcW w:type="dxa" w:w="3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 of rental units unoccupied</w:t>
            </w:r>
          </w:p>
        </w:tc>
        <w:tc>
          <w:tcPr>
            <w:tcW w:type="dxa" w:w="18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Monthly</w:t>
            </w:r>
          </w:p>
        </w:tc>
        <w:tc>
          <w:tcPr>
            <w:tcW w:type="dxa" w:w="19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CoStar, Census</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Landlord Market Exit Rate</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Units converted to condos, removed, or left vacant</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Annually</w:t>
            </w:r>
          </w:p>
        </w:tc>
        <w:tc>
          <w:tcPr>
            <w:tcW w:type="dxa" w:w="1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Cook County Assessor</w:t>
            </w:r>
          </w:p>
        </w:tc>
      </w:tr>
      <w:tr>
        <w:tc>
          <w:tcPr>
            <w:tcW w:type="dxa" w:w="24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Maintenance Investment</w:t>
            </w:r>
          </w:p>
        </w:tc>
        <w:tc>
          <w:tcPr>
            <w:tcW w:type="dxa" w:w="3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Capital expenditure and maintenance spending per unit</w:t>
            </w:r>
          </w:p>
        </w:tc>
        <w:tc>
          <w:tcPr>
            <w:tcW w:type="dxa" w:w="18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Annually</w:t>
            </w:r>
          </w:p>
        </w:tc>
        <w:tc>
          <w:tcPr>
            <w:tcW w:type="dxa" w:w="19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Landlord surveys, inspection data</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Building Permit Activity</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New multifamily construction permits</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Monthly</w:t>
            </w:r>
          </w:p>
        </w:tc>
        <w:tc>
          <w:tcPr>
            <w:tcW w:type="dxa" w:w="1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Chicago Building Dept</w:t>
            </w:r>
          </w:p>
        </w:tc>
      </w:tr>
      <w:tr>
        <w:tc>
          <w:tcPr>
            <w:tcW w:type="dxa" w:w="24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Condo Conversion Rate</w:t>
            </w:r>
          </w:p>
        </w:tc>
        <w:tc>
          <w:tcPr>
            <w:tcW w:type="dxa" w:w="3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Rental buildings converting to condo ownership</w:t>
            </w:r>
          </w:p>
        </w:tc>
        <w:tc>
          <w:tcPr>
            <w:tcW w:type="dxa" w:w="18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Annually</w:t>
            </w:r>
          </w:p>
        </w:tc>
        <w:tc>
          <w:tcPr>
            <w:tcW w:type="dxa" w:w="19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Cook County Recorder</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Amenity Reduction</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Changes in amenities offered post-ban</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Annually</w:t>
            </w:r>
          </w:p>
        </w:tc>
        <w:tc>
          <w:tcPr>
            <w:tcW w:type="dxa" w:w="1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Listing comparison, tenant surveys</w:t>
            </w:r>
          </w:p>
        </w:tc>
      </w:tr>
      <w:tr>
        <w:tc>
          <w:tcPr>
            <w:tcW w:type="dxa" w:w="24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Small vs. Large Landlord Impact</w:t>
            </w:r>
          </w:p>
        </w:tc>
        <w:tc>
          <w:tcPr>
            <w:tcW w:type="dxa" w:w="3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Differential outcomes for &lt;6 unit vs. corporate owners</w:t>
            </w:r>
          </w:p>
        </w:tc>
        <w:tc>
          <w:tcPr>
            <w:tcW w:type="dxa" w:w="18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Annually</w:t>
            </w:r>
          </w:p>
        </w:tc>
        <w:tc>
          <w:tcPr>
            <w:tcW w:type="dxa" w:w="19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Assessor + landlord surveys</w:t>
            </w:r>
          </w:p>
        </w:tc>
      </w:tr>
    </w:tbl>
    <w:p>
      <w:r>
        <w:br w:type="page"/>
      </w:r>
    </w:p>
    <w:p>
      <w:pPr>
        <w:pStyle w:val="Heading2"/>
      </w:pPr>
      <w:r>
        <w:rPr>
          <w:rFonts w:ascii="Arial" w:cs="Arial" w:eastAsia="Arial" w:hAnsi="Arial"/>
        </w:rPr>
        <w:t xml:space="preserve">3.3 Market Efficiency and Equity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8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96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Price Dispersion Index</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Variance in TCR for comparable units across listings</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Quarterly</w:t>
            </w:r>
          </w:p>
        </w:tc>
        <w:tc>
          <w:tcPr>
            <w:tcW w:type="dxa" w:w="1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Listing scrapes + hedonic regression</w:t>
            </w:r>
          </w:p>
        </w:tc>
      </w:tr>
      <w:tr>
        <w:tc>
          <w:tcPr>
            <w:tcW w:type="dxa" w:w="24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Fee Transparency Score</w:t>
            </w:r>
          </w:p>
        </w:tc>
        <w:tc>
          <w:tcPr>
            <w:tcW w:type="dxa" w:w="3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 of TCR disclosed in initial listing vs. discovered at signing</w:t>
            </w:r>
          </w:p>
        </w:tc>
        <w:tc>
          <w:tcPr>
            <w:tcW w:type="dxa" w:w="18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Per listing</w:t>
            </w:r>
          </w:p>
        </w:tc>
        <w:tc>
          <w:tcPr>
            <w:tcW w:type="dxa" w:w="19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Listing scrape vs. lease audit</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Days to Lease</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Time from first search to signed lease</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Per event</w:t>
            </w:r>
          </w:p>
        </w:tc>
        <w:tc>
          <w:tcPr>
            <w:tcW w:type="dxa" w:w="1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Renter surveys</w:t>
            </w:r>
          </w:p>
        </w:tc>
      </w:tr>
      <w:tr>
        <w:tc>
          <w:tcPr>
            <w:tcW w:type="dxa" w:w="24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Lease Renewal Rate</w:t>
            </w:r>
          </w:p>
        </w:tc>
        <w:tc>
          <w:tcPr>
            <w:tcW w:type="dxa" w:w="3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 of tenants renewing vs. moving</w:t>
            </w:r>
          </w:p>
        </w:tc>
        <w:tc>
          <w:tcPr>
            <w:tcW w:type="dxa" w:w="18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Annually</w:t>
            </w:r>
          </w:p>
        </w:tc>
        <w:tc>
          <w:tcPr>
            <w:tcW w:type="dxa" w:w="19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Landlord data, surveys</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Eviction Filing Rate</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Filings per 1,000 rental units</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Monthly</w:t>
            </w:r>
          </w:p>
        </w:tc>
        <w:tc>
          <w:tcPr>
            <w:tcW w:type="dxa" w:w="1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Cook County Circuit Court</w:t>
            </w:r>
          </w:p>
        </w:tc>
      </w:tr>
      <w:tr>
        <w:tc>
          <w:tcPr>
            <w:tcW w:type="dxa" w:w="24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Fee Burden by Income Quintile</w:t>
            </w:r>
          </w:p>
        </w:tc>
        <w:tc>
          <w:tcPr>
            <w:tcW w:type="dxa" w:w="3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TFB as % of income, by household income quintile</w:t>
            </w:r>
          </w:p>
        </w:tc>
        <w:tc>
          <w:tcPr>
            <w:tcW w:type="dxa" w:w="18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Annually</w:t>
            </w:r>
          </w:p>
        </w:tc>
        <w:tc>
          <w:tcPr>
            <w:tcW w:type="dxa" w:w="19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ACS + surveys</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Fee Burden by Race/Ethnicity</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TFB differences across groups, controlling for income and location</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Annually</w:t>
            </w:r>
          </w:p>
        </w:tc>
        <w:tc>
          <w:tcPr>
            <w:tcW w:type="dxa" w:w="1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ACS + surveys</w:t>
            </w:r>
          </w:p>
        </w:tc>
      </w:tr>
      <w:tr>
        <w:tc>
          <w:tcPr>
            <w:tcW w:type="dxa" w:w="24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Neighborhood Fee Disparity</w:t>
            </w:r>
          </w:p>
        </w:tc>
        <w:tc>
          <w:tcPr>
            <w:tcW w:type="dxa" w:w="32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Ratio of avg fees in highest-fee vs. lowest-fee neighborhoods</w:t>
            </w:r>
          </w:p>
        </w:tc>
        <w:tc>
          <w:tcPr>
            <w:tcW w:type="dxa" w:w="18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Quarterly</w:t>
            </w:r>
          </w:p>
        </w:tc>
        <w:tc>
          <w:tcPr>
            <w:tcW w:type="dxa" w:w="19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Listing data</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Displacement Risk Index</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Composite: eviction + rent increase + fee burden + cost burden</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Annually</w:t>
            </w:r>
          </w:p>
        </w:tc>
        <w:tc>
          <w:tcPr>
            <w:tcW w:type="dxa" w:w="1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Multi-source</w:t>
            </w:r>
          </w:p>
        </w:tc>
      </w:tr>
    </w:tbl>
    <w:p>
      <w:r>
        <w:br w:type="page"/>
      </w:r>
    </w:p>
    <w:p>
      <w:pPr>
        <w:pStyle w:val="Heading2"/>
      </w:pPr>
      <w:r>
        <w:rPr>
          <w:rFonts w:ascii="Arial" w:cs="Arial" w:eastAsia="Arial" w:hAnsi="Arial"/>
        </w:rPr>
        <w:t xml:space="preserve">3.4 Control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60"/>
        <w:gridCol w:w="3100"/>
      </w:tblGrid>
      <w:tr>
        <w:tc>
          <w:tcPr>
            <w:tcW w:type="dxa" w:w="24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Control Variable</w:t>
            </w:r>
          </w:p>
        </w:tc>
        <w:tc>
          <w:tcPr>
            <w:tcW w:type="dxa" w:w="386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CPI (Chicago metro)</w:t>
            </w:r>
          </w:p>
        </w:tc>
        <w:tc>
          <w:tcPr>
            <w:tcW w:type="dxa" w:w="38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Control for general inflation</w:t>
            </w:r>
          </w:p>
        </w:tc>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BLS</w:t>
            </w:r>
          </w:p>
        </w:tc>
      </w:tr>
      <w:tr>
        <w:tc>
          <w:tcPr>
            <w:tcW w:type="dxa" w:w="24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Interest Rates</w:t>
            </w:r>
          </w:p>
        </w:tc>
        <w:tc>
          <w:tcPr>
            <w:tcW w:type="dxa" w:w="38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Mortgage and federal funds rate affect landlord costs and investment</w:t>
            </w:r>
          </w:p>
        </w:tc>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Federal Reserve</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Unemployment Rate</w:t>
            </w:r>
          </w:p>
        </w:tc>
        <w:tc>
          <w:tcPr>
            <w:tcW w:type="dxa" w:w="38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Labor market conditions affect housing demand</w:t>
            </w:r>
          </w:p>
        </w:tc>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BLS</w:t>
            </w:r>
          </w:p>
        </w:tc>
      </w:tr>
      <w:tr>
        <w:tc>
          <w:tcPr>
            <w:tcW w:type="dxa" w:w="24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Population Change</w:t>
            </w:r>
          </w:p>
        </w:tc>
        <w:tc>
          <w:tcPr>
            <w:tcW w:type="dxa" w:w="38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Migration affects demand independently of policy</w:t>
            </w:r>
          </w:p>
        </w:tc>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Census, ACS</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New Housing Completions</w:t>
            </w:r>
          </w:p>
        </w:tc>
        <w:tc>
          <w:tcPr>
            <w:tcW w:type="dxa" w:w="38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Supply-side changes unrelated to fee ban</w:t>
            </w:r>
          </w:p>
        </w:tc>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CoStar, City of Chicago</w:t>
            </w:r>
          </w:p>
        </w:tc>
      </w:tr>
      <w:tr>
        <w:tc>
          <w:tcPr>
            <w:tcW w:type="dxa" w:w="24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Property Tax Changes</w:t>
            </w:r>
          </w:p>
        </w:tc>
        <w:tc>
          <w:tcPr>
            <w:tcW w:type="dxa" w:w="38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Cook County reassessments change landlord costs</w:t>
            </w:r>
          </w:p>
        </w:tc>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Cook County Assessor</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Insurance Cost Index</w:t>
            </w:r>
          </w:p>
        </w:tc>
        <w:tc>
          <w:tcPr>
            <w:tcW w:type="dxa" w:w="38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Rising insurance costs affect landlord pricing</w:t>
            </w:r>
          </w:p>
        </w:tc>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NAIC, landlord surveys</w:t>
            </w:r>
          </w:p>
        </w:tc>
      </w:tr>
      <w:tr>
        <w:tc>
          <w:tcPr>
            <w:tcW w:type="dxa" w:w="24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Unit Characteristics</w:t>
            </w:r>
          </w:p>
        </w:tc>
        <w:tc>
          <w:tcPr>
            <w:tcW w:type="dxa" w:w="38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Bedrooms, sq ft, age, amenities, floor</w:t>
            </w:r>
          </w:p>
        </w:tc>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Listing data</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Seasonal Dummies</w:t>
            </w:r>
          </w:p>
        </w:tc>
        <w:tc>
          <w:tcPr>
            <w:tcW w:type="dxa" w:w="38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Rental market seasonality</w:t>
            </w:r>
          </w:p>
        </w:tc>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Standard</w:t>
            </w:r>
          </w:p>
        </w:tc>
      </w:tr>
      <w:tr>
        <w:tc>
          <w:tcPr>
            <w:tcW w:type="dxa" w:w="24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Neighborhood Fixed Effects</w:t>
            </w:r>
          </w:p>
        </w:tc>
        <w:tc>
          <w:tcPr>
            <w:tcW w:type="dxa" w:w="38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Absorb time-invariant neighborhood differences</w:t>
            </w:r>
          </w:p>
        </w:tc>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City of Chicago community areas</w:t>
            </w:r>
          </w:p>
        </w:tc>
      </w:tr>
    </w:tbl>
    <w:p>
      <w:r>
        <w:br w:type="page"/>
      </w:r>
    </w:p>
    <w:p>
      <w:pPr>
        <w:pStyle w:val="Heading1"/>
      </w:pPr>
      <w:r>
        <w:rPr>
          <w:rFonts w:ascii="Arial" w:cs="Arial" w:eastAsia="Arial" w:hAnsi="Arial"/>
        </w:rPr>
        <w:t xml:space="preserve">4. Econometric Model</w:t>
      </w:r>
    </w:p>
    <w:p>
      <w:pPr>
        <w:pStyle w:val="Heading2"/>
      </w:pPr>
      <w:r>
        <w:rPr>
          <w:rFonts w:ascii="Arial" w:cs="Arial" w:eastAsia="Arial" w:hAnsi="Arial"/>
        </w:rPr>
        <w:t xml:space="preserve">4.1 Primary Model: Difference-in-Differences (DiD)</w:t>
      </w:r>
    </w:p>
    <w:p>
      <w:pPr>
        <w:spacing w:after="200"/>
      </w:pPr>
      <w:r>
        <w:rPr>
          <w:rFonts w:ascii="Arial" w:cs="Arial" w:eastAsia="Arial" w:hAnsi="Arial"/>
          <w:sz w:val="24"/>
          <w:szCs w:val="24"/>
        </w:rPr>
        <w:t xml:space="preserve">If the ordinance applies to buildings above a unit threshold (as is common in rental regulation), it creates a natural experiment: buildings above the threshold are treated (subject to the ban) while smaller buildings below the threshold serve as the control group. The baseline specification is:</w:t>
      </w:r>
    </w:p>
    <w:p>
      <w:pPr>
        <w:shd w:fill="F0F0F0" w:val="clear"/>
        <w:spacing w:after="160" w:before="160"/>
        <w:jc w:val="center"/>
      </w:pPr>
      <w:r>
        <w:rPr>
          <w:rFonts w:ascii="Courier New" w:cs="Courier New" w:eastAsia="Courier New" w:hAnsi="Courier New"/>
          <w:i/>
          <w:iCs/>
          <w:color w:val="1B3A4B"/>
          <w:sz w:val="22"/>
          <w:szCs w:val="22"/>
        </w:rPr>
        <w:t xml:space="preserve">Y_it = α + β₁(Treat_i) + β₂(Post_t) + β₃(Treat_i × Post_t) + X_it’γ + δ_i + θ_t + ε_it</w:t>
      </w:r>
    </w:p>
    <w:p>
      <w:pPr>
        <w:spacing w:after="200"/>
      </w:pPr>
      <w:r>
        <w:rPr>
          <w:rFonts w:ascii="Arial" w:cs="Arial" w:eastAsia="Arial" w:hAnsi="Arial"/>
          <w:sz w:val="24"/>
          <w:szCs w:val="24"/>
        </w:rPr>
        <w:t xml:space="preserve">Where:</w:t>
      </w:r>
    </w:p>
    <w:p>
      <w:pPr>
        <w:pStyle w:val="ListParagraph"/>
        <w:numPr>
          <w:ilvl w:val="0"/>
          <w:numId w:val="2"/>
        </w:numPr>
        <w:spacing w:after="120"/>
      </w:pPr>
      <w:r>
        <w:rPr>
          <w:rFonts w:ascii="Arial" w:cs="Arial" w:eastAsia="Arial" w:hAnsi="Arial"/>
          <w:b/>
          <w:bCs/>
          <w:sz w:val="24"/>
          <w:szCs w:val="24"/>
        </w:rPr>
        <w:t xml:space="preserve">Y_it</w:t>
      </w:r>
      <w:r>
        <w:rPr>
          <w:rFonts w:ascii="Arial" w:cs="Arial" w:eastAsia="Arial" w:hAnsi="Arial"/>
          <w:sz w:val="24"/>
          <w:szCs w:val="24"/>
        </w:rPr>
        <w:t xml:space="preserve"> = outcome variable (TCR, base rent, TFB, fee-to-rent ratio, vacancy, etc.) for property i in period t</w:t>
      </w:r>
    </w:p>
    <w:p>
      <w:pPr>
        <w:pStyle w:val="ListParagraph"/>
        <w:numPr>
          <w:ilvl w:val="0"/>
          <w:numId w:val="2"/>
        </w:numPr>
        <w:spacing w:after="120"/>
      </w:pPr>
      <w:r>
        <w:rPr>
          <w:rFonts w:ascii="Arial" w:cs="Arial" w:eastAsia="Arial" w:hAnsi="Arial"/>
          <w:b/>
          <w:bCs/>
          <w:sz w:val="24"/>
          <w:szCs w:val="24"/>
        </w:rPr>
        <w:t xml:space="preserve">Treat_i</w:t>
      </w:r>
      <w:r>
        <w:rPr>
          <w:rFonts w:ascii="Arial" w:cs="Arial" w:eastAsia="Arial" w:hAnsi="Arial"/>
          <w:sz w:val="24"/>
          <w:szCs w:val="24"/>
        </w:rPr>
        <w:t xml:space="preserve"> = 1 if property is subject to the ban (above the unit threshold); 0 if exempt</w:t>
      </w:r>
    </w:p>
    <w:p>
      <w:pPr>
        <w:pStyle w:val="ListParagraph"/>
        <w:numPr>
          <w:ilvl w:val="0"/>
          <w:numId w:val="2"/>
        </w:numPr>
        <w:spacing w:after="120"/>
      </w:pPr>
      <w:r>
        <w:rPr>
          <w:rFonts w:ascii="Arial" w:cs="Arial" w:eastAsia="Arial" w:hAnsi="Arial"/>
          <w:b/>
          <w:bCs/>
          <w:sz w:val="24"/>
          <w:szCs w:val="24"/>
        </w:rPr>
        <w:t xml:space="preserve">Post_t</w:t>
      </w:r>
      <w:r>
        <w:rPr>
          <w:rFonts w:ascii="Arial" w:cs="Arial" w:eastAsia="Arial" w:hAnsi="Arial"/>
          <w:sz w:val="24"/>
          <w:szCs w:val="24"/>
        </w:rPr>
        <w:t xml:space="preserve"> = 1 for periods after the ordinance takes effect; 0 for pre-policy periods</w:t>
      </w:r>
    </w:p>
    <w:p>
      <w:pPr>
        <w:pStyle w:val="ListParagraph"/>
        <w:numPr>
          <w:ilvl w:val="0"/>
          <w:numId w:val="2"/>
        </w:numPr>
        <w:spacing w:after="120"/>
      </w:pPr>
      <w:r>
        <w:rPr>
          <w:rFonts w:ascii="Arial" w:cs="Arial" w:eastAsia="Arial" w:hAnsi="Arial"/>
          <w:b/>
          <w:bCs/>
          <w:sz w:val="24"/>
          <w:szCs w:val="24"/>
        </w:rPr>
        <w:t xml:space="preserve">β₃</w:t>
      </w:r>
      <w:r>
        <w:rPr>
          <w:rFonts w:ascii="Arial" w:cs="Arial" w:eastAsia="Arial" w:hAnsi="Arial"/>
          <w:sz w:val="24"/>
          <w:szCs w:val="24"/>
        </w:rPr>
        <w:t xml:space="preserve"> = the causal parameter of interest. This is the average treatment effect of the ban on the outcome, net of time trends and fixed differences between treatment and control groups</w:t>
      </w:r>
    </w:p>
    <w:p>
      <w:pPr>
        <w:pStyle w:val="ListParagraph"/>
        <w:numPr>
          <w:ilvl w:val="0"/>
          <w:numId w:val="2"/>
        </w:numPr>
        <w:spacing w:after="120"/>
      </w:pPr>
      <w:r>
        <w:rPr>
          <w:rFonts w:ascii="Arial" w:cs="Arial" w:eastAsia="Arial" w:hAnsi="Arial"/>
          <w:b/>
          <w:bCs/>
          <w:sz w:val="24"/>
          <w:szCs w:val="24"/>
        </w:rPr>
        <w:t xml:space="preserve">X_it</w:t>
      </w:r>
      <w:r>
        <w:rPr>
          <w:rFonts w:ascii="Arial" w:cs="Arial" w:eastAsia="Arial" w:hAnsi="Arial"/>
          <w:sz w:val="24"/>
          <w:szCs w:val="24"/>
        </w:rPr>
        <w:t xml:space="preserve"> = vector of time-varying controls: CPI, interest rates, unemployment, unit characteristics, property tax changes</w:t>
      </w:r>
    </w:p>
    <w:p>
      <w:pPr>
        <w:pStyle w:val="ListParagraph"/>
        <w:numPr>
          <w:ilvl w:val="0"/>
          <w:numId w:val="2"/>
        </w:numPr>
        <w:spacing w:after="120"/>
      </w:pPr>
      <w:r>
        <w:rPr>
          <w:rFonts w:ascii="Arial" w:cs="Arial" w:eastAsia="Arial" w:hAnsi="Arial"/>
          <w:b/>
          <w:bCs/>
          <w:sz w:val="24"/>
          <w:szCs w:val="24"/>
        </w:rPr>
        <w:t xml:space="preserve">δ_i</w:t>
      </w:r>
      <w:r>
        <w:rPr>
          <w:rFonts w:ascii="Arial" w:cs="Arial" w:eastAsia="Arial" w:hAnsi="Arial"/>
          <w:sz w:val="24"/>
          <w:szCs w:val="24"/>
        </w:rPr>
        <w:t xml:space="preserve"> = property fixed effects, absorbing all time-invariant differences between properties (location, age, size, ownership type)</w:t>
      </w:r>
    </w:p>
    <w:p>
      <w:pPr>
        <w:pStyle w:val="ListParagraph"/>
        <w:numPr>
          <w:ilvl w:val="0"/>
          <w:numId w:val="2"/>
        </w:numPr>
        <w:spacing w:after="120"/>
      </w:pPr>
      <w:r>
        <w:rPr>
          <w:rFonts w:ascii="Arial" w:cs="Arial" w:eastAsia="Arial" w:hAnsi="Arial"/>
          <w:b/>
          <w:bCs/>
          <w:sz w:val="24"/>
          <w:szCs w:val="24"/>
        </w:rPr>
        <w:t xml:space="preserve">θ_t</w:t>
      </w:r>
      <w:r>
        <w:rPr>
          <w:rFonts w:ascii="Arial" w:cs="Arial" w:eastAsia="Arial" w:hAnsi="Arial"/>
          <w:sz w:val="24"/>
          <w:szCs w:val="24"/>
        </w:rPr>
        <w:t xml:space="preserve"> = time fixed effects (month or quarter dummies), absorbing shocks common to all properties in a given period</w:t>
      </w:r>
    </w:p>
    <w:p>
      <w:pPr>
        <w:pStyle w:val="ListParagraph"/>
        <w:numPr>
          <w:ilvl w:val="0"/>
          <w:numId w:val="2"/>
        </w:numPr>
        <w:spacing w:after="120"/>
      </w:pPr>
      <w:r>
        <w:rPr>
          <w:rFonts w:ascii="Arial" w:cs="Arial" w:eastAsia="Arial" w:hAnsi="Arial"/>
          <w:b/>
          <w:bCs/>
          <w:sz w:val="24"/>
          <w:szCs w:val="24"/>
        </w:rPr>
        <w:t xml:space="preserve">ε_it</w:t>
      </w:r>
      <w:r>
        <w:rPr>
          <w:rFonts w:ascii="Arial" w:cs="Arial" w:eastAsia="Arial" w:hAnsi="Arial"/>
          <w:sz w:val="24"/>
          <w:szCs w:val="24"/>
        </w:rPr>
        <w:t xml:space="preserve"> = error term, clustered at the property level to account for serial correlation within properties</w:t>
      </w:r>
    </w:p>
    <w:p>
      <w:pPr>
        <w:spacing w:after="200"/>
      </w:pPr>
      <w:r>
        <w:rPr>
          <w:rFonts w:ascii="Arial" w:cs="Arial" w:eastAsia="Arial" w:hAnsi="Arial"/>
          <w:sz w:val="24"/>
          <w:szCs w:val="24"/>
        </w:rPr>
        <w:t xml:space="preserve">The model is estimated separately for each primary outcome (TCR, base rent, TFB). The waterbed effect is measured by comparing the magnitude of β₃ when Y = base rent versus Y = total fee burden. If |β₃(base rent)| ≈ |β₃(TFB)|, the pass-through is complete and the ban is cosmetic.</w:t>
      </w:r>
    </w:p>
    <w:p>
      <w:pPr>
        <w:spacing w:after="200"/>
      </w:pPr>
      <w:r>
        <w:rPr>
          <w:rFonts w:ascii="Arial" w:cs="Arial" w:eastAsia="Arial" w:hAnsi="Arial"/>
          <w:b/>
          <w:bCs/>
          <w:sz w:val="24"/>
          <w:szCs w:val="24"/>
        </w:rPr>
        <w:t xml:space="preserve">Identifying assumption: </w:t>
      </w:r>
      <w:r>
        <w:rPr>
          <w:rFonts w:ascii="Arial" w:cs="Arial" w:eastAsia="Arial" w:hAnsi="Arial"/>
          <w:sz w:val="24"/>
          <w:szCs w:val="24"/>
        </w:rPr>
        <w:t xml:space="preserve">Parallel trends. Absent the ban, treated and control properties would have followed the same outcome trajectory. This is tested empirically in the event study specification below.</w:t>
      </w:r>
    </w:p>
    <w:p>
      <w:pPr>
        <w:pStyle w:val="Heading2"/>
      </w:pPr>
      <w:r>
        <w:rPr>
          <w:rFonts w:ascii="Arial" w:cs="Arial" w:eastAsia="Arial" w:hAnsi="Arial"/>
        </w:rPr>
        <w:t xml:space="preserve">4.2 Event Study Specification</w:t>
      </w:r>
    </w:p>
    <w:p>
      <w:pPr>
        <w:spacing w:after="200"/>
      </w:pPr>
      <w:r>
        <w:rPr>
          <w:rFonts w:ascii="Arial" w:cs="Arial" w:eastAsia="Arial" w:hAnsi="Arial"/>
          <w:sz w:val="24"/>
          <w:szCs w:val="24"/>
        </w:rPr>
        <w:t xml:space="preserve">To test the parallel trends assumption and to observe how the treatment effect evolves over time, we estimate:</w:t>
      </w:r>
    </w:p>
    <w:p>
      <w:pPr>
        <w:shd w:fill="F0F0F0" w:val="clear"/>
        <w:spacing w:after="160" w:before="160"/>
        <w:jc w:val="center"/>
      </w:pPr>
      <w:r>
        <w:rPr>
          <w:rFonts w:ascii="Courier New" w:cs="Courier New" w:eastAsia="Courier New" w:hAnsi="Courier New"/>
          <w:i/>
          <w:iCs/>
          <w:color w:val="1B3A4B"/>
          <w:sz w:val="22"/>
          <w:szCs w:val="22"/>
        </w:rPr>
        <w:t xml:space="preserve">Y_it = α + Σ_k β_k(Treat_i × 1{t = k}) + X_it’γ + δ_i + θ_t + ε_it</w:t>
      </w:r>
    </w:p>
    <w:p>
      <w:pPr>
        <w:spacing w:after="200"/>
      </w:pPr>
      <w:r>
        <w:rPr>
          <w:rFonts w:ascii="Arial" w:cs="Arial" w:eastAsia="Arial" w:hAnsi="Arial"/>
          <w:sz w:val="24"/>
          <w:szCs w:val="24"/>
        </w:rPr>
        <w:t xml:space="preserve">Where k indexes time periods relative to the policy date (k = −12, −11, …, −1, 0, +1, +2, …, +36 months). The period k = −1 is the reference (omitted). The pre-treatment coefficients (β_k for k &lt; 0) should be statistically indistinguishable from zero if parallel trends holds. The post-treatment coefficients (β_k for k ≥ 0) trace out the dynamic causal effect: whether it is immediate, gradual, growing, or fading.</w:t>
      </w:r>
    </w:p>
    <w:p>
      <w:pPr>
        <w:pStyle w:val="Heading2"/>
      </w:pPr>
      <w:r>
        <w:rPr>
          <w:rFonts w:ascii="Arial" w:cs="Arial" w:eastAsia="Arial" w:hAnsi="Arial"/>
        </w:rPr>
        <w:t xml:space="preserve">4.3 Regression Discontinuity Design (RDD)</w:t>
      </w:r>
    </w:p>
    <w:p>
      <w:pPr>
        <w:spacing w:after="200"/>
      </w:pPr>
      <w:r>
        <w:rPr>
          <w:rFonts w:ascii="Arial" w:cs="Arial" w:eastAsia="Arial" w:hAnsi="Arial"/>
          <w:sz w:val="24"/>
          <w:szCs w:val="24"/>
        </w:rPr>
        <w:t xml:space="preserve">If the ordinance uses a unit-count threshold for applicability, this provides a sharp discontinuity for causal inference. The specification is:</w:t>
      </w:r>
    </w:p>
    <w:p>
      <w:pPr>
        <w:shd w:fill="F0F0F0" w:val="clear"/>
        <w:spacing w:after="160" w:before="160"/>
        <w:jc w:val="center"/>
      </w:pPr>
      <w:r>
        <w:rPr>
          <w:rFonts w:ascii="Courier New" w:cs="Courier New" w:eastAsia="Courier New" w:hAnsi="Courier New"/>
          <w:i/>
          <w:iCs/>
          <w:color w:val="1B3A4B"/>
          <w:sz w:val="22"/>
          <w:szCs w:val="22"/>
        </w:rPr>
        <w:t xml:space="preserve">Y_i = α + τD_i + f(X_i − c) + D_i × g(X_i − c) + W_i’γ + ε_i</w:t>
      </w:r>
    </w:p>
    <w:p>
      <w:pPr>
        <w:spacing w:after="200"/>
      </w:pPr>
      <w:r>
        <w:rPr>
          <w:rFonts w:ascii="Arial" w:cs="Arial" w:eastAsia="Arial" w:hAnsi="Arial"/>
          <w:sz w:val="24"/>
          <w:szCs w:val="24"/>
        </w:rPr>
        <w:t xml:space="preserve">Where:</w:t>
      </w:r>
    </w:p>
    <w:p>
      <w:pPr>
        <w:pStyle w:val="ListParagraph"/>
        <w:numPr>
          <w:ilvl w:val="0"/>
          <w:numId w:val="2"/>
        </w:numPr>
        <w:spacing w:after="120"/>
      </w:pPr>
      <w:r>
        <w:rPr>
          <w:rFonts w:ascii="Arial" w:cs="Arial" w:eastAsia="Arial" w:hAnsi="Arial"/>
          <w:b/>
          <w:bCs/>
          <w:sz w:val="24"/>
          <w:szCs w:val="24"/>
        </w:rPr>
        <w:t xml:space="preserve">X_i</w:t>
      </w:r>
      <w:r>
        <w:rPr>
          <w:rFonts w:ascii="Arial" w:cs="Arial" w:eastAsia="Arial" w:hAnsi="Arial"/>
          <w:sz w:val="24"/>
          <w:szCs w:val="24"/>
        </w:rPr>
        <w:t xml:space="preserve"> = number of units in building i (the running variable)</w:t>
      </w:r>
    </w:p>
    <w:p>
      <w:pPr>
        <w:pStyle w:val="ListParagraph"/>
        <w:numPr>
          <w:ilvl w:val="0"/>
          <w:numId w:val="2"/>
        </w:numPr>
        <w:spacing w:after="120"/>
      </w:pPr>
      <w:r>
        <w:rPr>
          <w:rFonts w:ascii="Arial" w:cs="Arial" w:eastAsia="Arial" w:hAnsi="Arial"/>
          <w:b/>
          <w:bCs/>
          <w:sz w:val="24"/>
          <w:szCs w:val="24"/>
        </w:rPr>
        <w:t xml:space="preserve">c = 6.5</w:t>
      </w:r>
      <w:r>
        <w:rPr>
          <w:rFonts w:ascii="Arial" w:cs="Arial" w:eastAsia="Arial" w:hAnsi="Arial"/>
          <w:sz w:val="24"/>
          <w:szCs w:val="24"/>
        </w:rPr>
        <w:t xml:space="preserve"> (the cutoff; D_i = 1 if X_i ≥ 7)</w:t>
      </w:r>
    </w:p>
    <w:p>
      <w:pPr>
        <w:pStyle w:val="ListParagraph"/>
        <w:numPr>
          <w:ilvl w:val="0"/>
          <w:numId w:val="2"/>
        </w:numPr>
        <w:spacing w:after="120"/>
      </w:pPr>
      <w:r>
        <w:rPr>
          <w:rFonts w:ascii="Arial" w:cs="Arial" w:eastAsia="Arial" w:hAnsi="Arial"/>
          <w:b/>
          <w:bCs/>
          <w:sz w:val="24"/>
          <w:szCs w:val="24"/>
        </w:rPr>
        <w:t xml:space="preserve">τ</w:t>
      </w:r>
      <w:r>
        <w:rPr>
          <w:rFonts w:ascii="Arial" w:cs="Arial" w:eastAsia="Arial" w:hAnsi="Arial"/>
          <w:sz w:val="24"/>
          <w:szCs w:val="24"/>
        </w:rPr>
        <w:t xml:space="preserve"> = the local average treatment effect (LATE) at the discontinuity</w:t>
      </w:r>
    </w:p>
    <w:p>
      <w:pPr>
        <w:pStyle w:val="ListParagraph"/>
        <w:numPr>
          <w:ilvl w:val="0"/>
          <w:numId w:val="2"/>
        </w:numPr>
        <w:spacing w:after="120"/>
      </w:pPr>
      <w:r>
        <w:rPr>
          <w:rFonts w:ascii="Arial" w:cs="Arial" w:eastAsia="Arial" w:hAnsi="Arial"/>
          <w:b/>
          <w:bCs/>
          <w:sz w:val="24"/>
          <w:szCs w:val="24"/>
        </w:rPr>
        <w:t xml:space="preserve">f(·), g(·)</w:t>
      </w:r>
      <w:r>
        <w:rPr>
          <w:rFonts w:ascii="Arial" w:cs="Arial" w:eastAsia="Arial" w:hAnsi="Arial"/>
          <w:sz w:val="24"/>
          <w:szCs w:val="24"/>
        </w:rPr>
        <w:t xml:space="preserve"> = local polynomial functions (linear baseline, quadratic robustness check)</w:t>
      </w:r>
    </w:p>
    <w:p>
      <w:pPr>
        <w:pStyle w:val="ListParagraph"/>
        <w:numPr>
          <w:ilvl w:val="0"/>
          <w:numId w:val="2"/>
        </w:numPr>
        <w:spacing w:after="120"/>
      </w:pPr>
      <w:r>
        <w:rPr>
          <w:rFonts w:ascii="Arial" w:cs="Arial" w:eastAsia="Arial" w:hAnsi="Arial"/>
          <w:b/>
          <w:bCs/>
          <w:sz w:val="24"/>
          <w:szCs w:val="24"/>
        </w:rPr>
        <w:t xml:space="preserve">W_i</w:t>
      </w:r>
      <w:r>
        <w:rPr>
          <w:rFonts w:ascii="Arial" w:cs="Arial" w:eastAsia="Arial" w:hAnsi="Arial"/>
          <w:sz w:val="24"/>
          <w:szCs w:val="24"/>
        </w:rPr>
        <w:t xml:space="preserve"> = covariates (neighborhood, unit characteristics)</w:t>
      </w:r>
    </w:p>
    <w:p>
      <w:pPr>
        <w:spacing w:after="200"/>
      </w:pPr>
      <w:r>
        <w:rPr>
          <w:rFonts w:ascii="Arial" w:cs="Arial" w:eastAsia="Arial" w:hAnsi="Arial"/>
          <w:sz w:val="24"/>
          <w:szCs w:val="24"/>
        </w:rPr>
        <w:t xml:space="preserve">Bandwidth is selected using the Calonico-Cattaneo-Titiunik (CCT) optimal bandwidth selector. A McCrary density test checks for manipulation at the threshold (landlords restructuring buildings to fall below the cutoff and avoid regulation).</w:t>
      </w:r>
    </w:p>
    <w:p>
      <w:pPr>
        <w:spacing w:after="200"/>
      </w:pPr>
      <w:r>
        <w:rPr>
          <w:rFonts w:ascii="Arial" w:cs="Arial" w:eastAsia="Arial" w:hAnsi="Arial"/>
          <w:sz w:val="24"/>
          <w:szCs w:val="24"/>
        </w:rPr>
        <w:t xml:space="preserve">The RDD estimates the effect only for buildings near the threshold and is not generalizable to the full market. Its value is as a clean causal test of whether the policy discontinuity itself changes outcomes.</w:t>
      </w:r>
    </w:p>
    <w:p>
      <w:pPr>
        <w:pStyle w:val="Heading2"/>
      </w:pPr>
      <w:r>
        <w:rPr>
          <w:rFonts w:ascii="Arial" w:cs="Arial" w:eastAsia="Arial" w:hAnsi="Arial"/>
        </w:rPr>
        <w:t xml:space="preserve">4.4 Synthetic Control Method</w:t>
      </w:r>
    </w:p>
    <w:p>
      <w:pPr>
        <w:spacing w:after="200"/>
      </w:pPr>
      <w:r>
        <w:rPr>
          <w:rFonts w:ascii="Arial" w:cs="Arial" w:eastAsia="Arial" w:hAnsi="Arial"/>
          <w:sz w:val="24"/>
          <w:szCs w:val="24"/>
        </w:rPr>
        <w:t xml:space="preserve">To estimate the aggregate, city-wide effect, we construct a synthetic Chicago from a weighted combination of comparison metros that did not implement a junk fee ban:</w:t>
      </w:r>
    </w:p>
    <w:p>
      <w:pPr>
        <w:spacing w:after="200"/>
      </w:pPr>
      <w:r>
        <w:rPr>
          <w:rFonts w:ascii="Arial" w:cs="Arial" w:eastAsia="Arial" w:hAnsi="Arial"/>
          <w:b/>
          <w:bCs/>
          <w:sz w:val="24"/>
          <w:szCs w:val="24"/>
        </w:rPr>
        <w:t xml:space="preserve">Donor pool: </w:t>
      </w:r>
      <w:r>
        <w:rPr>
          <w:rFonts w:ascii="Arial" w:cs="Arial" w:eastAsia="Arial" w:hAnsi="Arial"/>
          <w:sz w:val="24"/>
          <w:szCs w:val="24"/>
        </w:rPr>
        <w:t xml:space="preserve">Milwaukee, Indianapolis, Minneapolis, Columbus, Detroit, St. Louis, Kansas City, Cincinnati.</w:t>
      </w:r>
    </w:p>
    <w:p>
      <w:pPr>
        <w:spacing w:after="200"/>
      </w:pPr>
      <w:r>
        <w:rPr>
          <w:rFonts w:ascii="Arial" w:cs="Arial" w:eastAsia="Arial" w:hAnsi="Arial"/>
          <w:b/>
          <w:bCs/>
          <w:sz w:val="24"/>
          <w:szCs w:val="24"/>
        </w:rPr>
        <w:t xml:space="preserve">Matching variables (pre-treatment): </w:t>
      </w:r>
      <w:r>
        <w:rPr>
          <w:rFonts w:ascii="Arial" w:cs="Arial" w:eastAsia="Arial" w:hAnsi="Arial"/>
          <w:sz w:val="24"/>
          <w:szCs w:val="24"/>
        </w:rPr>
        <w:t xml:space="preserve">Average rent level, rent growth rate, vacancy rate, new construction pipeline, population growth, median household income, renter share of households.</w:t>
      </w:r>
    </w:p>
    <w:p>
      <w:pPr>
        <w:spacing w:after="200"/>
      </w:pPr>
      <w:r>
        <w:rPr>
          <w:rFonts w:ascii="Arial" w:cs="Arial" w:eastAsia="Arial" w:hAnsi="Arial"/>
          <w:sz w:val="24"/>
          <w:szCs w:val="24"/>
        </w:rPr>
        <w:t xml:space="preserve">The synthetic control is the weighted average of donor cities that minimizes the pre-treatment prediction error for Chicago’s outcome trajectory. Post-treatment divergence between real Chicago and synthetic Chicago is attributed to the policy.</w:t>
      </w:r>
    </w:p>
    <w:p>
      <w:pPr>
        <w:spacing w:after="200"/>
      </w:pPr>
      <w:r>
        <w:rPr>
          <w:rFonts w:ascii="Arial" w:cs="Arial" w:eastAsia="Arial" w:hAnsi="Arial"/>
          <w:b/>
          <w:bCs/>
          <w:sz w:val="24"/>
          <w:szCs w:val="24"/>
        </w:rPr>
        <w:t xml:space="preserve">Inference: </w:t>
      </w:r>
      <w:r>
        <w:rPr>
          <w:rFonts w:ascii="Arial" w:cs="Arial" w:eastAsia="Arial" w:hAnsi="Arial"/>
          <w:sz w:val="24"/>
          <w:szCs w:val="24"/>
        </w:rPr>
        <w:t xml:space="preserve">Permutation-based. We apply the method to each donor city (as if it were treated) and compare the real Chicago effect to the distribution of placebo effects. Statistical significance is assessed using the post/pre mean squared prediction error (MSPE) ratio. A p-value is computed as the rank of Chicago’s MSPE ratio among all units.</w:t>
      </w:r>
    </w:p>
    <w:p>
      <w:pPr>
        <w:pStyle w:val="Heading2"/>
      </w:pPr>
      <w:r>
        <w:rPr>
          <w:rFonts w:ascii="Arial" w:cs="Arial" w:eastAsia="Arial" w:hAnsi="Arial"/>
        </w:rPr>
        <w:t xml:space="preserve">4.5 Hedonic Pricing Model</w:t>
      </w:r>
    </w:p>
    <w:p>
      <w:pPr>
        <w:spacing w:after="200"/>
      </w:pPr>
      <w:r>
        <w:rPr>
          <w:rFonts w:ascii="Arial" w:cs="Arial" w:eastAsia="Arial" w:hAnsi="Arial"/>
          <w:sz w:val="24"/>
          <w:szCs w:val="24"/>
        </w:rPr>
        <w:t xml:space="preserve">To decompose rent into its component parts and measure fee capitalization into base rent:</w:t>
      </w:r>
    </w:p>
    <w:p>
      <w:pPr>
        <w:shd w:fill="F0F0F0" w:val="clear"/>
        <w:spacing w:after="160" w:before="160"/>
        <w:jc w:val="center"/>
      </w:pPr>
      <w:r>
        <w:rPr>
          <w:rFonts w:ascii="Courier New" w:cs="Courier New" w:eastAsia="Courier New" w:hAnsi="Courier New"/>
          <w:i/>
          <w:iCs/>
          <w:color w:val="1B3A4B"/>
          <w:sz w:val="22"/>
          <w:szCs w:val="22"/>
        </w:rPr>
        <w:t xml:space="preserve">ln(Rent_i) = α + Σ_j β_j(Char_ij) + γ(Fees_i) + δ(Neighborhood_i) + θ(Time_t) + ε_i</w:t>
      </w:r>
    </w:p>
    <w:p>
      <w:pPr>
        <w:spacing w:after="200"/>
      </w:pPr>
      <w:r>
        <w:rPr>
          <w:rFonts w:ascii="Arial" w:cs="Arial" w:eastAsia="Arial" w:hAnsi="Arial"/>
          <w:sz w:val="24"/>
          <w:szCs w:val="24"/>
        </w:rPr>
        <w:t xml:space="preserve">Where Char_ij are unit characteristics (bedrooms, square footage, age, floor, amenities). The coefficient γ captures the relationship between fee levels and base rent. If γ shifts post-ban (estimated via interaction with Post_t), this indicates capitalization of fees into rent.</w:t>
      </w:r>
    </w:p>
    <w:p>
      <w:pPr>
        <w:pStyle w:val="Heading2"/>
      </w:pPr>
      <w:r>
        <w:rPr>
          <w:rFonts w:ascii="Arial" w:cs="Arial" w:eastAsia="Arial" w:hAnsi="Arial"/>
        </w:rPr>
        <w:t xml:space="preserve">4.6 Quantile Regression</w:t>
      </w:r>
    </w:p>
    <w:p>
      <w:pPr>
        <w:spacing w:after="200"/>
      </w:pPr>
      <w:r>
        <w:rPr>
          <w:rFonts w:ascii="Arial" w:cs="Arial" w:eastAsia="Arial" w:hAnsi="Arial"/>
          <w:sz w:val="24"/>
          <w:szCs w:val="24"/>
        </w:rPr>
        <w:t xml:space="preserve">To estimate distributional effects across the rent spectrum:</w:t>
      </w:r>
    </w:p>
    <w:p>
      <w:pPr>
        <w:shd w:fill="F0F0F0" w:val="clear"/>
        <w:spacing w:after="160" w:before="160"/>
        <w:jc w:val="center"/>
      </w:pPr>
      <w:r>
        <w:rPr>
          <w:rFonts w:ascii="Courier New" w:cs="Courier New" w:eastAsia="Courier New" w:hAnsi="Courier New"/>
          <w:i/>
          <w:iCs/>
          <w:color w:val="1B3A4B"/>
          <w:sz w:val="22"/>
          <w:szCs w:val="22"/>
        </w:rPr>
        <w:t xml:space="preserve">Q_τ(Y_i | X_i) = X_i’β(τ)    for τ ∈ {0.10, 0.25, 0.50, 0.75, 0.90}</w:t>
      </w:r>
    </w:p>
    <w:p>
      <w:pPr>
        <w:spacing w:after="200"/>
      </w:pPr>
      <w:r>
        <w:rPr>
          <w:rFonts w:ascii="Arial" w:cs="Arial" w:eastAsia="Arial" w:hAnsi="Arial"/>
          <w:sz w:val="24"/>
          <w:szCs w:val="24"/>
        </w:rPr>
        <w:t xml:space="preserve">This estimates the treatment effect at the 10th, 25th, 50th, 75th, and 90th percentile of the rent distribution. If β(τ) varies significantly across quantiles, the ban has heterogeneous effects. Combined with the DiD framework, this tests whether the policy is progressive (larger benefits at lower rent levels) or regressive.</w:t>
      </w:r>
    </w:p>
    <w:p>
      <w:pPr>
        <w:pStyle w:val="Heading2"/>
      </w:pPr>
      <w:r>
        <w:rPr>
          <w:rFonts w:ascii="Arial" w:cs="Arial" w:eastAsia="Arial" w:hAnsi="Arial"/>
        </w:rPr>
        <w:t xml:space="preserve">4.7 Instrumental Variables (2SLS)</w:t>
      </w:r>
    </w:p>
    <w:p>
      <w:pPr>
        <w:spacing w:after="200"/>
      </w:pPr>
      <w:r>
        <w:rPr>
          <w:rFonts w:ascii="Arial" w:cs="Arial" w:eastAsia="Arial" w:hAnsi="Arial"/>
          <w:sz w:val="24"/>
          <w:szCs w:val="24"/>
        </w:rPr>
        <w:t xml:space="preserve">Fee levels and rent are simultaneously determined (endogenous). To isolate the causal effect of fee changes on total cost:</w:t>
      </w:r>
    </w:p>
    <w:p>
      <w:pPr>
        <w:shd w:fill="F0F0F0" w:val="clear"/>
        <w:spacing w:after="160" w:before="160"/>
        <w:jc w:val="center"/>
      </w:pPr>
      <w:r>
        <w:rPr>
          <w:rFonts w:ascii="Arial" w:cs="Arial" w:eastAsia="Arial" w:hAnsi="Arial"/>
          <w:b/>
          <w:bCs/>
          <w:color w:val="666666"/>
          <w:sz w:val="20"/>
          <w:szCs w:val="20"/>
        </w:rPr>
        <w:t xml:space="preserve">First stage:  </w:t>
      </w:r>
      <w:r>
        <w:rPr>
          <w:rFonts w:ascii="Courier New" w:cs="Courier New" w:eastAsia="Courier New" w:hAnsi="Courier New"/>
          <w:i/>
          <w:iCs/>
          <w:color w:val="1B3A4B"/>
          <w:sz w:val="22"/>
          <w:szCs w:val="22"/>
        </w:rPr>
        <w:t xml:space="preserve">Fees_i = π₀ + π₁(Ban_i) + X_i’π₂ + v_i</w:t>
      </w:r>
    </w:p>
    <w:p>
      <w:pPr>
        <w:shd w:fill="F0F0F0" w:val="clear"/>
        <w:spacing w:after="160" w:before="160"/>
        <w:jc w:val="center"/>
      </w:pPr>
      <w:r>
        <w:rPr>
          <w:rFonts w:ascii="Arial" w:cs="Arial" w:eastAsia="Arial" w:hAnsi="Arial"/>
          <w:b/>
          <w:bCs/>
          <w:color w:val="666666"/>
          <w:sz w:val="20"/>
          <w:szCs w:val="20"/>
        </w:rPr>
        <w:t xml:space="preserve">Second stage:  </w:t>
      </w:r>
      <w:r>
        <w:rPr>
          <w:rFonts w:ascii="Courier New" w:cs="Courier New" w:eastAsia="Courier New" w:hAnsi="Courier New"/>
          <w:i/>
          <w:iCs/>
          <w:color w:val="1B3A4B"/>
          <w:sz w:val="22"/>
          <w:szCs w:val="22"/>
        </w:rPr>
        <w:t xml:space="preserve">TCR_i = β₀ + β₁(F̂ees_i) + X_i’β₂ + u_i</w:t>
      </w:r>
    </w:p>
    <w:p>
      <w:pPr>
        <w:spacing w:after="200"/>
      </w:pPr>
      <w:r>
        <w:rPr>
          <w:rFonts w:ascii="Arial" w:cs="Arial" w:eastAsia="Arial" w:hAnsi="Arial"/>
          <w:sz w:val="24"/>
          <w:szCs w:val="24"/>
        </w:rPr>
        <w:t xml:space="preserve">The instrument is the policy itself (Ban_i), which is exogenous to individual landlord-tenant bargaining. Diagnostic tests: first-stage F-statistic &gt; 10 (Stock-Yogo threshold for weak instruments), Hausman test for endogeneity, and if multiple instruments are available, the Sargan/Hansen J-test for overidentification.</w:t>
      </w:r>
    </w:p>
    <w:p>
      <w:r>
        <w:br w:type="page"/>
      </w:r>
    </w:p>
    <w:p>
      <w:pPr>
        <w:pStyle w:val="Heading1"/>
      </w:pPr>
      <w:r>
        <w:rPr>
          <w:rFonts w:ascii="Arial" w:cs="Arial" w:eastAsia="Arial" w:hAnsi="Arial"/>
        </w:rPr>
        <w:t xml:space="preserve">5. Identification Strategy and Validity</w:t>
      </w:r>
    </w:p>
    <w:p>
      <w:pPr>
        <w:pStyle w:val="Heading2"/>
      </w:pPr>
      <w:r>
        <w:rPr>
          <w:rFonts w:ascii="Arial" w:cs="Arial" w:eastAsia="Arial" w:hAnsi="Arial"/>
        </w:rPr>
        <w:t xml:space="preserve">5.1 Internal Validity</w:t>
      </w:r>
    </w:p>
    <w:p>
      <w:pPr>
        <w:pStyle w:val="ListParagraph"/>
        <w:numPr>
          <w:ilvl w:val="0"/>
          <w:numId w:val="2"/>
        </w:numPr>
        <w:spacing w:after="120"/>
      </w:pPr>
      <w:r>
        <w:rPr>
          <w:rFonts w:ascii="Arial" w:cs="Arial" w:eastAsia="Arial" w:hAnsi="Arial"/>
          <w:b/>
          <w:bCs/>
          <w:sz w:val="24"/>
          <w:szCs w:val="24"/>
        </w:rPr>
        <w:t xml:space="preserve">Parallel trends (DiD): </w:t>
      </w:r>
      <w:r>
        <w:rPr>
          <w:rFonts w:ascii="Arial" w:cs="Arial" w:eastAsia="Arial" w:hAnsi="Arial"/>
          <w:sz w:val="24"/>
          <w:szCs w:val="24"/>
        </w:rPr>
        <w:t xml:space="preserve">Tested via event study pre-treatment coefficients. If β_k ≈ 0 for all k &lt; 0, the assumption holds.</w:t>
      </w:r>
    </w:p>
    <w:p>
      <w:pPr>
        <w:pStyle w:val="ListParagraph"/>
        <w:numPr>
          <w:ilvl w:val="0"/>
          <w:numId w:val="2"/>
        </w:numPr>
        <w:spacing w:after="120"/>
      </w:pPr>
      <w:r>
        <w:rPr>
          <w:rFonts w:ascii="Arial" w:cs="Arial" w:eastAsia="Arial" w:hAnsi="Arial"/>
          <w:b/>
          <w:bCs/>
          <w:sz w:val="24"/>
          <w:szCs w:val="24"/>
        </w:rPr>
        <w:t xml:space="preserve">No manipulation (RDD): </w:t>
      </w:r>
      <w:r>
        <w:rPr>
          <w:rFonts w:ascii="Arial" w:cs="Arial" w:eastAsia="Arial" w:hAnsi="Arial"/>
          <w:sz w:val="24"/>
          <w:szCs w:val="24"/>
        </w:rPr>
        <w:t xml:space="preserve">McCrary density test at the unit threshold. If landlords strategically restructure to avoid regulation, the density will show a discontinuity.</w:t>
      </w:r>
    </w:p>
    <w:p>
      <w:pPr>
        <w:pStyle w:val="ListParagraph"/>
        <w:numPr>
          <w:ilvl w:val="0"/>
          <w:numId w:val="2"/>
        </w:numPr>
        <w:spacing w:after="120"/>
      </w:pPr>
      <w:r>
        <w:rPr>
          <w:rFonts w:ascii="Arial" w:cs="Arial" w:eastAsia="Arial" w:hAnsi="Arial"/>
          <w:b/>
          <w:bCs/>
          <w:sz w:val="24"/>
          <w:szCs w:val="24"/>
        </w:rPr>
        <w:t xml:space="preserve">No anticipation: </w:t>
      </w:r>
      <w:r>
        <w:rPr>
          <w:rFonts w:ascii="Arial" w:cs="Arial" w:eastAsia="Arial" w:hAnsi="Arial"/>
          <w:sz w:val="24"/>
          <w:szCs w:val="24"/>
        </w:rPr>
        <w:t xml:space="preserve">If landlords pre-adjust rents before the ordinance takes effect, treatment effects will appear in the pre-period. The event study detects this.</w:t>
      </w:r>
    </w:p>
    <w:p>
      <w:pPr>
        <w:pStyle w:val="ListParagraph"/>
        <w:numPr>
          <w:ilvl w:val="0"/>
          <w:numId w:val="2"/>
        </w:numPr>
        <w:spacing w:after="120"/>
      </w:pPr>
      <w:r>
        <w:rPr>
          <w:rFonts w:ascii="Arial" w:cs="Arial" w:eastAsia="Arial" w:hAnsi="Arial"/>
          <w:b/>
          <w:bCs/>
          <w:sz w:val="24"/>
          <w:szCs w:val="24"/>
        </w:rPr>
        <w:t xml:space="preserve">SUTVA (no spillovers): </w:t>
      </w:r>
      <w:r>
        <w:rPr>
          <w:rFonts w:ascii="Arial" w:cs="Arial" w:eastAsia="Arial" w:hAnsi="Arial"/>
          <w:sz w:val="24"/>
          <w:szCs w:val="24"/>
        </w:rPr>
        <w:t xml:space="preserve">If the ban on regulated buildings changes demand for exempt buildings, the control group is contaminated. We test for this by examining whether control-group outcomes shift at the policy date.</w:t>
      </w:r>
    </w:p>
    <w:p>
      <w:pPr>
        <w:pStyle w:val="Heading2"/>
      </w:pPr>
      <w:r>
        <w:rPr>
          <w:rFonts w:ascii="Arial" w:cs="Arial" w:eastAsia="Arial" w:hAnsi="Arial"/>
        </w:rPr>
        <w:t xml:space="preserve">5.2 Robustness Tests</w:t>
      </w:r>
    </w:p>
    <w:p>
      <w:pPr>
        <w:pStyle w:val="ListParagraph"/>
        <w:numPr>
          <w:ilvl w:val="0"/>
          <w:numId w:val="3"/>
        </w:numPr>
        <w:spacing w:after="120"/>
      </w:pPr>
      <w:r>
        <w:rPr>
          <w:rFonts w:ascii="Arial" w:cs="Arial" w:eastAsia="Arial" w:hAnsi="Arial"/>
          <w:b/>
          <w:bCs/>
          <w:sz w:val="24"/>
          <w:szCs w:val="24"/>
        </w:rPr>
        <w:t xml:space="preserve">Placebo DiD: </w:t>
      </w:r>
      <w:r>
        <w:rPr>
          <w:rFonts w:ascii="Arial" w:cs="Arial" w:eastAsia="Arial" w:hAnsi="Arial"/>
          <w:sz w:val="24"/>
          <w:szCs w:val="24"/>
        </w:rPr>
        <w:t xml:space="preserve">Estimate the model on pre-ban periods where no effect should exist. A significant β₃ in the placebo period indicates the model is misspecified.</w:t>
      </w:r>
    </w:p>
    <w:p>
      <w:pPr>
        <w:pStyle w:val="ListParagraph"/>
        <w:numPr>
          <w:ilvl w:val="0"/>
          <w:numId w:val="3"/>
        </w:numPr>
        <w:spacing w:after="120"/>
      </w:pPr>
      <w:r>
        <w:rPr>
          <w:rFonts w:ascii="Arial" w:cs="Arial" w:eastAsia="Arial" w:hAnsi="Arial"/>
          <w:b/>
          <w:bCs/>
          <w:sz w:val="24"/>
          <w:szCs w:val="24"/>
        </w:rPr>
        <w:t xml:space="preserve">Bandwidth sensitivity (RDD): </w:t>
      </w:r>
      <w:r>
        <w:rPr>
          <w:rFonts w:ascii="Arial" w:cs="Arial" w:eastAsia="Arial" w:hAnsi="Arial"/>
          <w:sz w:val="24"/>
          <w:szCs w:val="24"/>
        </w:rPr>
        <w:t xml:space="preserve">Re-estimate with 0.5×, 0.75×, 1.5×, and 2× the optimal CCT bandwidth.</w:t>
      </w:r>
    </w:p>
    <w:p>
      <w:pPr>
        <w:pStyle w:val="ListParagraph"/>
        <w:numPr>
          <w:ilvl w:val="0"/>
          <w:numId w:val="3"/>
        </w:numPr>
        <w:spacing w:after="120"/>
      </w:pPr>
      <w:r>
        <w:rPr>
          <w:rFonts w:ascii="Arial" w:cs="Arial" w:eastAsia="Arial" w:hAnsi="Arial"/>
          <w:b/>
          <w:bCs/>
          <w:sz w:val="24"/>
          <w:szCs w:val="24"/>
        </w:rPr>
        <w:t xml:space="preserve">Leave-one-out (synthetic control): </w:t>
      </w:r>
      <w:r>
        <w:rPr>
          <w:rFonts w:ascii="Arial" w:cs="Arial" w:eastAsia="Arial" w:hAnsi="Arial"/>
          <w:sz w:val="24"/>
          <w:szCs w:val="24"/>
        </w:rPr>
        <w:t xml:space="preserve">Drop each donor city and re-estimate. Results should not depend on a single comparison city.</w:t>
      </w:r>
    </w:p>
    <w:p>
      <w:pPr>
        <w:pStyle w:val="ListParagraph"/>
        <w:numPr>
          <w:ilvl w:val="0"/>
          <w:numId w:val="3"/>
        </w:numPr>
        <w:spacing w:after="120"/>
      </w:pPr>
      <w:r>
        <w:rPr>
          <w:rFonts w:ascii="Arial" w:cs="Arial" w:eastAsia="Arial" w:hAnsi="Arial"/>
          <w:b/>
          <w:bCs/>
          <w:sz w:val="24"/>
          <w:szCs w:val="24"/>
        </w:rPr>
        <w:t xml:space="preserve">Alternative control groups: </w:t>
      </w:r>
      <w:r>
        <w:rPr>
          <w:rFonts w:ascii="Arial" w:cs="Arial" w:eastAsia="Arial" w:hAnsi="Arial"/>
          <w:sz w:val="24"/>
          <w:szCs w:val="24"/>
        </w:rPr>
        <w:t xml:space="preserve">Suburban Cook County, collar counties (DuPage, Lake, Will, Kane) as additional DiD controls.</w:t>
      </w:r>
    </w:p>
    <w:p>
      <w:pPr>
        <w:pStyle w:val="ListParagraph"/>
        <w:numPr>
          <w:ilvl w:val="0"/>
          <w:numId w:val="3"/>
        </w:numPr>
        <w:spacing w:after="120"/>
      </w:pPr>
      <w:r>
        <w:rPr>
          <w:rFonts w:ascii="Arial" w:cs="Arial" w:eastAsia="Arial" w:hAnsi="Arial"/>
          <w:b/>
          <w:bCs/>
          <w:sz w:val="24"/>
          <w:szCs w:val="24"/>
        </w:rPr>
        <w:t xml:space="preserve">Falsification tests: </w:t>
      </w:r>
      <w:r>
        <w:rPr>
          <w:rFonts w:ascii="Arial" w:cs="Arial" w:eastAsia="Arial" w:hAnsi="Arial"/>
          <w:sz w:val="24"/>
          <w:szCs w:val="24"/>
        </w:rPr>
        <w:t xml:space="preserve">Estimate the model on outcomes the ban should not affect (commercial rents, owner-occupied home prices). Significant effects suggest confounding.</w:t>
      </w:r>
    </w:p>
    <w:p>
      <w:pPr>
        <w:pStyle w:val="ListParagraph"/>
        <w:numPr>
          <w:ilvl w:val="0"/>
          <w:numId w:val="3"/>
        </w:numPr>
        <w:spacing w:after="120"/>
      </w:pPr>
      <w:r>
        <w:rPr>
          <w:rFonts w:ascii="Arial" w:cs="Arial" w:eastAsia="Arial" w:hAnsi="Arial"/>
          <w:b/>
          <w:bCs/>
          <w:sz w:val="24"/>
          <w:szCs w:val="24"/>
        </w:rPr>
        <w:t xml:space="preserve">Functional form: </w:t>
      </w:r>
      <w:r>
        <w:rPr>
          <w:rFonts w:ascii="Arial" w:cs="Arial" w:eastAsia="Arial" w:hAnsi="Arial"/>
          <w:sz w:val="24"/>
          <w:szCs w:val="24"/>
        </w:rPr>
        <w:t xml:space="preserve">Linear, log-linear, and polynomial specifications to ensure results are not an artifact of functional assumptions.</w:t>
      </w:r>
    </w:p>
    <w:p>
      <w:pPr>
        <w:pStyle w:val="ListParagraph"/>
        <w:numPr>
          <w:ilvl w:val="0"/>
          <w:numId w:val="3"/>
        </w:numPr>
        <w:spacing w:after="120"/>
      </w:pPr>
      <w:r>
        <w:rPr>
          <w:rFonts w:ascii="Arial" w:cs="Arial" w:eastAsia="Arial" w:hAnsi="Arial"/>
          <w:b/>
          <w:bCs/>
          <w:sz w:val="24"/>
          <w:szCs w:val="24"/>
        </w:rPr>
        <w:t xml:space="preserve">Spatial standard errors: </w:t>
      </w:r>
      <w:r>
        <w:rPr>
          <w:rFonts w:ascii="Arial" w:cs="Arial" w:eastAsia="Arial" w:hAnsi="Arial"/>
          <w:sz w:val="24"/>
          <w:szCs w:val="24"/>
        </w:rPr>
        <w:t xml:space="preserve">Conley HAC standard errors to account for spatial correlation between nearby properties.</w:t>
      </w:r>
    </w:p>
    <w:p>
      <w:pPr>
        <w:pStyle w:val="ListParagraph"/>
        <w:numPr>
          <w:ilvl w:val="0"/>
          <w:numId w:val="3"/>
        </w:numPr>
        <w:spacing w:after="120"/>
      </w:pPr>
      <w:r>
        <w:rPr>
          <w:rFonts w:ascii="Arial" w:cs="Arial" w:eastAsia="Arial" w:hAnsi="Arial"/>
          <w:b/>
          <w:bCs/>
          <w:sz w:val="24"/>
          <w:szCs w:val="24"/>
        </w:rPr>
        <w:t xml:space="preserve">Wild cluster bootstrap: </w:t>
      </w:r>
      <w:r>
        <w:rPr>
          <w:rFonts w:ascii="Arial" w:cs="Arial" w:eastAsia="Arial" w:hAnsi="Arial"/>
          <w:sz w:val="24"/>
          <w:szCs w:val="24"/>
        </w:rPr>
        <w:t xml:space="preserve">For inference robustness when the number of clusters is small.</w:t>
      </w:r>
    </w:p>
    <w:p>
      <w:pPr>
        <w:pStyle w:val="ListParagraph"/>
        <w:numPr>
          <w:ilvl w:val="0"/>
          <w:numId w:val="3"/>
        </w:numPr>
        <w:spacing w:after="120"/>
      </w:pPr>
      <w:r>
        <w:rPr>
          <w:rFonts w:ascii="Arial" w:cs="Arial" w:eastAsia="Arial" w:hAnsi="Arial"/>
          <w:b/>
          <w:bCs/>
          <w:sz w:val="24"/>
          <w:szCs w:val="24"/>
        </w:rPr>
        <w:t xml:space="preserve">Multiple hypothesis correction: </w:t>
      </w:r>
      <w:r>
        <w:rPr>
          <w:rFonts w:ascii="Arial" w:cs="Arial" w:eastAsia="Arial" w:hAnsi="Arial"/>
          <w:sz w:val="24"/>
          <w:szCs w:val="24"/>
        </w:rPr>
        <w:t xml:space="preserve">Benjamini-Hochberg procedure to control the false discovery rate across the 5 research questions.</w:t>
      </w:r>
    </w:p>
    <w:p>
      <w:pPr>
        <w:pStyle w:val="Heading2"/>
      </w:pPr>
      <w:r>
        <w:rPr>
          <w:rFonts w:ascii="Arial" w:cs="Arial" w:eastAsia="Arial" w:hAnsi="Arial"/>
        </w:rPr>
        <w:t xml:space="preserve">5.3 Power Analysis</w:t>
      </w:r>
    </w:p>
    <w:p>
      <w:pPr>
        <w:spacing w:after="200"/>
      </w:pPr>
      <w:r>
        <w:rPr>
          <w:rFonts w:ascii="Arial" w:cs="Arial" w:eastAsia="Arial" w:hAnsi="Arial"/>
          <w:sz w:val="24"/>
          <w:szCs w:val="24"/>
        </w:rPr>
        <w:t xml:space="preserve">With approximately 50,000 rental units in Chicago, monthly observations over a 48-month window (12 pre + 36 post), and an intra-cluster correlation of 0.05–0.15:</w:t>
      </w:r>
    </w:p>
    <w:p>
      <w:pPr>
        <w:pStyle w:val="ListParagraph"/>
        <w:numPr>
          <w:ilvl w:val="0"/>
          <w:numId w:val="2"/>
        </w:numPr>
        <w:spacing w:after="120"/>
      </w:pPr>
      <w:r>
        <w:rPr>
          <w:rFonts w:ascii="Arial" w:cs="Arial" w:eastAsia="Arial" w:hAnsi="Arial"/>
          <w:b/>
          <w:bCs/>
          <w:sz w:val="24"/>
          <w:szCs w:val="24"/>
        </w:rPr>
        <w:t xml:space="preserve">DiD: </w:t>
      </w:r>
      <w:r>
        <w:rPr>
          <w:rFonts w:ascii="Arial" w:cs="Arial" w:eastAsia="Arial" w:hAnsi="Arial"/>
          <w:sz w:val="24"/>
          <w:szCs w:val="24"/>
        </w:rPr>
        <w:t xml:space="preserve">Minimum detectable effect of $30–$50/month in total cost at 80% power, α = 0.05.</w:t>
      </w:r>
    </w:p>
    <w:p>
      <w:pPr>
        <w:pStyle w:val="ListParagraph"/>
        <w:numPr>
          <w:ilvl w:val="0"/>
          <w:numId w:val="2"/>
        </w:numPr>
        <w:spacing w:after="120"/>
      </w:pPr>
      <w:r>
        <w:rPr>
          <w:rFonts w:ascii="Arial" w:cs="Arial" w:eastAsia="Arial" w:hAnsi="Arial"/>
          <w:b/>
          <w:bCs/>
          <w:sz w:val="24"/>
          <w:szCs w:val="24"/>
        </w:rPr>
        <w:t xml:space="preserve">RDD: </w:t>
      </w:r>
      <w:r>
        <w:rPr>
          <w:rFonts w:ascii="Arial" w:cs="Arial" w:eastAsia="Arial" w:hAnsi="Arial"/>
          <w:sz w:val="24"/>
          <w:szCs w:val="24"/>
        </w:rPr>
        <w:t xml:space="preserve">Minimum detectable effect of $75–$150/month at the discontinuity (fewer observations near threshold).</w:t>
      </w:r>
    </w:p>
    <w:p>
      <w:pPr>
        <w:pStyle w:val="ListParagraph"/>
        <w:numPr>
          <w:ilvl w:val="0"/>
          <w:numId w:val="2"/>
        </w:numPr>
        <w:spacing w:after="120"/>
      </w:pPr>
      <w:r>
        <w:rPr>
          <w:rFonts w:ascii="Arial" w:cs="Arial" w:eastAsia="Arial" w:hAnsi="Arial"/>
          <w:b/>
          <w:bCs/>
          <w:sz w:val="24"/>
          <w:szCs w:val="24"/>
        </w:rPr>
        <w:t xml:space="preserve">Renter surveys: </w:t>
      </w:r>
      <w:r>
        <w:rPr>
          <w:rFonts w:ascii="Arial" w:cs="Arial" w:eastAsia="Arial" w:hAnsi="Arial"/>
          <w:sz w:val="24"/>
          <w:szCs w:val="24"/>
        </w:rPr>
        <w:t xml:space="preserve">2,000+ respondents per wave detects a 5 percentage-point difference in cost burden across income quintiles.</w:t>
      </w:r>
    </w:p>
    <w:p>
      <w:pPr>
        <w:pStyle w:val="ListParagraph"/>
        <w:numPr>
          <w:ilvl w:val="0"/>
          <w:numId w:val="2"/>
        </w:numPr>
        <w:spacing w:after="120"/>
      </w:pPr>
      <w:r>
        <w:rPr>
          <w:rFonts w:ascii="Arial" w:cs="Arial" w:eastAsia="Arial" w:hAnsi="Arial"/>
          <w:b/>
          <w:bCs/>
          <w:sz w:val="24"/>
          <w:szCs w:val="24"/>
        </w:rPr>
        <w:t xml:space="preserve">Landlord surveys: </w:t>
      </w:r>
      <w:r>
        <w:rPr>
          <w:rFonts w:ascii="Arial" w:cs="Arial" w:eastAsia="Arial" w:hAnsi="Arial"/>
          <w:sz w:val="24"/>
          <w:szCs w:val="24"/>
        </w:rPr>
        <w:t xml:space="preserve">300+ respondents per wave detects a 10 percentage-point difference in behavioral response rates between small and large landlords.</w:t>
      </w:r>
    </w:p>
    <w:p>
      <w:pPr>
        <w:spacing w:after="200"/>
      </w:pPr>
      <w:r>
        <w:rPr>
          <w:rFonts w:ascii="Arial" w:cs="Arial" w:eastAsia="Arial" w:hAnsi="Arial"/>
          <w:sz w:val="24"/>
          <w:szCs w:val="24"/>
        </w:rPr>
        <w:t xml:space="preserve">Subgroup analyses (by neighborhood, income quintile, property type) require larger samples or accept wider confidence intervals. The study is designed to be adequately powered for the primary DiD estimates and directionally informative for subgroups.</w:t>
      </w:r>
    </w:p>
    <w:p>
      <w:pPr>
        <w:pStyle w:val="Heading2"/>
      </w:pPr>
      <w:r>
        <w:rPr>
          <w:rFonts w:ascii="Arial" w:cs="Arial" w:eastAsia="Arial" w:hAnsi="Arial"/>
        </w:rPr>
        <w:t xml:space="preserve">5.4 External Validity</w:t>
      </w:r>
    </w:p>
    <w:p>
      <w:pPr>
        <w:spacing w:after="200"/>
      </w:pPr>
      <w:r>
        <w:rPr>
          <w:rFonts w:ascii="Arial" w:cs="Arial" w:eastAsia="Arial" w:hAnsi="Arial"/>
          <w:sz w:val="24"/>
          <w:szCs w:val="24"/>
        </w:rPr>
        <w:t xml:space="preserve">Results will be directly applicable to Chicago’s regulatory and market context. Generalizability to other cities depends on similarity in: vacancy rates, landlord market structure, existing fee regulation, and tenant legal protections. The synthetic control analysis provides a partial bridge to other metros.</w:t>
      </w:r>
    </w:p>
    <w:p>
      <w:r>
        <w:br w:type="page"/>
      </w:r>
    </w:p>
    <w:p>
      <w:pPr>
        <w:pStyle w:val="Heading1"/>
      </w:pPr>
      <w:r>
        <w:rPr>
          <w:rFonts w:ascii="Arial" w:cs="Arial" w:eastAsia="Arial" w:hAnsi="Arial"/>
        </w:rPr>
        <w:t xml:space="preserve">6. Data Collection Plan</w:t>
      </w:r>
    </w:p>
    <w:p>
      <w:pPr>
        <w:pStyle w:val="Heading2"/>
      </w:pPr>
      <w:r>
        <w:rPr>
          <w:rFonts w:ascii="Arial" w:cs="Arial" w:eastAsia="Arial" w:hAnsi="Arial"/>
        </w:rPr>
        <w:t xml:space="preserve">6.1 Baseline Period (Pre-Ordinance)</w:t>
      </w:r>
    </w:p>
    <w:p>
      <w:pPr>
        <w:pStyle w:val="ListParagraph"/>
        <w:numPr>
          <w:ilvl w:val="0"/>
          <w:numId w:val="3"/>
        </w:numPr>
        <w:spacing w:after="120"/>
      </w:pPr>
      <w:r>
        <w:rPr>
          <w:rFonts w:ascii="Arial" w:cs="Arial" w:eastAsia="Arial" w:hAnsi="Arial"/>
          <w:b/>
          <w:bCs/>
          <w:sz w:val="24"/>
          <w:szCs w:val="24"/>
        </w:rPr>
        <w:t xml:space="preserve">Automated listing scrapes (weekly): </w:t>
      </w:r>
      <w:r>
        <w:rPr>
          <w:rFonts w:ascii="Arial" w:cs="Arial" w:eastAsia="Arial" w:hAnsi="Arial"/>
          <w:sz w:val="24"/>
          <w:szCs w:val="24"/>
        </w:rPr>
        <w:t xml:space="preserve">Zillow, Apartments.com, RentCafe, Craigslist, Facebook Marketplace. Capture: listed rent, all disclosed fees, unit characteristics, neighborhood, property size.</w:t>
      </w:r>
    </w:p>
    <w:p>
      <w:pPr>
        <w:pStyle w:val="ListParagraph"/>
        <w:numPr>
          <w:ilvl w:val="0"/>
          <w:numId w:val="3"/>
        </w:numPr>
        <w:spacing w:after="120"/>
      </w:pPr>
      <w:r>
        <w:rPr>
          <w:rFonts w:ascii="Arial" w:cs="Arial" w:eastAsia="Arial" w:hAnsi="Arial"/>
          <w:b/>
          <w:bCs/>
          <w:sz w:val="24"/>
          <w:szCs w:val="24"/>
        </w:rPr>
        <w:t xml:space="preserve">Lease audits (500+ leases): </w:t>
      </w:r>
      <w:r>
        <w:rPr>
          <w:rFonts w:ascii="Arial" w:cs="Arial" w:eastAsia="Arial" w:hAnsi="Arial"/>
          <w:sz w:val="24"/>
          <w:szCs w:val="24"/>
        </w:rPr>
        <w:t xml:space="preserve">Through legal aid orgs, tenant advocacy groups, willing landlords. Document every fee in the actual lease.</w:t>
      </w:r>
    </w:p>
    <w:p>
      <w:pPr>
        <w:pStyle w:val="ListParagraph"/>
        <w:numPr>
          <w:ilvl w:val="0"/>
          <w:numId w:val="3"/>
        </w:numPr>
        <w:spacing w:after="120"/>
      </w:pPr>
      <w:r>
        <w:rPr>
          <w:rFonts w:ascii="Arial" w:cs="Arial" w:eastAsia="Arial" w:hAnsi="Arial"/>
          <w:b/>
          <w:bCs/>
          <w:sz w:val="24"/>
          <w:szCs w:val="24"/>
        </w:rPr>
        <w:t xml:space="preserve">Renter survey baseline (2,000+ respondents): </w:t>
      </w:r>
      <w:r>
        <w:rPr>
          <w:rFonts w:ascii="Arial" w:cs="Arial" w:eastAsia="Arial" w:hAnsi="Arial"/>
          <w:sz w:val="24"/>
          <w:szCs w:val="24"/>
        </w:rPr>
        <w:t xml:space="preserve">Stratified by income, neighborhood, and property type. Measure: current fee burden, awareness, housing cost burden.</w:t>
      </w:r>
    </w:p>
    <w:p>
      <w:pPr>
        <w:pStyle w:val="ListParagraph"/>
        <w:numPr>
          <w:ilvl w:val="0"/>
          <w:numId w:val="3"/>
        </w:numPr>
        <w:spacing w:after="120"/>
      </w:pPr>
      <w:r>
        <w:rPr>
          <w:rFonts w:ascii="Arial" w:cs="Arial" w:eastAsia="Arial" w:hAnsi="Arial"/>
          <w:b/>
          <w:bCs/>
          <w:sz w:val="24"/>
          <w:szCs w:val="24"/>
        </w:rPr>
        <w:t xml:space="preserve">Landlord survey baseline (300+ respondents): </w:t>
      </w:r>
      <w:r>
        <w:rPr>
          <w:rFonts w:ascii="Arial" w:cs="Arial" w:eastAsia="Arial" w:hAnsi="Arial"/>
          <w:sz w:val="24"/>
          <w:szCs w:val="24"/>
        </w:rPr>
        <w:t xml:space="preserve">Fee revenue as % of total, cost structure, stated intentions regarding the new law.</w:t>
      </w:r>
    </w:p>
    <w:p>
      <w:pPr>
        <w:pStyle w:val="Heading2"/>
      </w:pPr>
      <w:r>
        <w:rPr>
          <w:rFonts w:ascii="Arial" w:cs="Arial" w:eastAsia="Arial" w:hAnsi="Arial"/>
        </w:rPr>
        <w:t xml:space="preserve">6.2 Post-Policy Monitoring (36 Months Post-Enactment)</w:t>
      </w:r>
    </w:p>
    <w:p>
      <w:pPr>
        <w:spacing w:after="200"/>
      </w:pPr>
      <w:r>
        <w:rPr>
          <w:rFonts w:ascii="Arial" w:cs="Arial" w:eastAsia="Arial" w:hAnsi="Arial"/>
          <w:sz w:val="24"/>
          <w:szCs w:val="24"/>
        </w:rPr>
        <w:t xml:space="preserve">Same data streams continue at the same frequency. Additional tracking: new fee categories, amenity changes, service quality indicators, building permit activity, eviction filings, condo conversion filings.</w:t>
      </w:r>
    </w:p>
    <w:p>
      <w:pPr>
        <w:spacing w:after="200"/>
      </w:pPr>
      <w:r>
        <w:rPr>
          <w:rFonts w:ascii="Arial" w:cs="Arial" w:eastAsia="Arial" w:hAnsi="Arial"/>
          <w:sz w:val="24"/>
          <w:szCs w:val="24"/>
        </w:rPr>
        <w:t xml:space="preserve">Renter and landlord surveys repeated at 6-month, 12-month, 24-month, and 36-month intervals.</w:t>
      </w:r>
    </w:p>
    <w:p>
      <w:pPr>
        <w:pStyle w:val="Heading2"/>
      </w:pPr>
      <w:r>
        <w:rPr>
          <w:rFonts w:ascii="Arial" w:cs="Arial" w:eastAsia="Arial" w:hAnsi="Arial"/>
        </w:rPr>
        <w:t xml:space="preserve">6.3 Required Data Partnerships</w:t>
      </w:r>
    </w:p>
    <w:p>
      <w:pPr>
        <w:pStyle w:val="ListParagraph"/>
        <w:numPr>
          <w:ilvl w:val="0"/>
          <w:numId w:val="2"/>
        </w:numPr>
        <w:spacing w:after="120"/>
      </w:pPr>
      <w:r>
        <w:rPr>
          <w:rFonts w:ascii="Arial" w:cs="Arial" w:eastAsia="Arial" w:hAnsi="Arial"/>
          <w:sz w:val="24"/>
          <w:szCs w:val="24"/>
        </w:rPr>
        <w:t xml:space="preserve">Zillow — proprietary listing and search data</w:t>
      </w:r>
    </w:p>
    <w:p>
      <w:pPr>
        <w:pStyle w:val="ListParagraph"/>
        <w:numPr>
          <w:ilvl w:val="0"/>
          <w:numId w:val="2"/>
        </w:numPr>
        <w:spacing w:after="120"/>
      </w:pPr>
      <w:r>
        <w:rPr>
          <w:rFonts w:ascii="Arial" w:cs="Arial" w:eastAsia="Arial" w:hAnsi="Arial"/>
          <w:sz w:val="24"/>
          <w:szCs w:val="24"/>
        </w:rPr>
        <w:t xml:space="preserve">CoStar — commercial rental market data, vacancy, rents</w:t>
      </w:r>
    </w:p>
    <w:p>
      <w:pPr>
        <w:pStyle w:val="ListParagraph"/>
        <w:numPr>
          <w:ilvl w:val="0"/>
          <w:numId w:val="2"/>
        </w:numPr>
        <w:spacing w:after="120"/>
      </w:pPr>
      <w:r>
        <w:rPr>
          <w:rFonts w:ascii="Arial" w:cs="Arial" w:eastAsia="Arial" w:hAnsi="Arial"/>
          <w:sz w:val="24"/>
          <w:szCs w:val="24"/>
        </w:rPr>
        <w:t xml:space="preserve">Cook County Circuit Court — eviction filings</w:t>
      </w:r>
    </w:p>
    <w:p>
      <w:pPr>
        <w:pStyle w:val="ListParagraph"/>
        <w:numPr>
          <w:ilvl w:val="0"/>
          <w:numId w:val="2"/>
        </w:numPr>
        <w:spacing w:after="120"/>
      </w:pPr>
      <w:r>
        <w:rPr>
          <w:rFonts w:ascii="Arial" w:cs="Arial" w:eastAsia="Arial" w:hAnsi="Arial"/>
          <w:sz w:val="24"/>
          <w:szCs w:val="24"/>
        </w:rPr>
        <w:t xml:space="preserve">Cook County Assessor — property ownership, conversions, assessed values</w:t>
      </w:r>
    </w:p>
    <w:p>
      <w:pPr>
        <w:pStyle w:val="ListParagraph"/>
        <w:numPr>
          <w:ilvl w:val="0"/>
          <w:numId w:val="2"/>
        </w:numPr>
        <w:spacing w:after="120"/>
      </w:pPr>
      <w:r>
        <w:rPr>
          <w:rFonts w:ascii="Arial" w:cs="Arial" w:eastAsia="Arial" w:hAnsi="Arial"/>
          <w:sz w:val="24"/>
          <w:szCs w:val="24"/>
        </w:rPr>
        <w:t xml:space="preserve">City of Chicago Department of Buildings — permit data</w:t>
      </w:r>
    </w:p>
    <w:p>
      <w:pPr>
        <w:pStyle w:val="ListParagraph"/>
        <w:numPr>
          <w:ilvl w:val="0"/>
          <w:numId w:val="2"/>
        </w:numPr>
        <w:spacing w:after="120"/>
      </w:pPr>
      <w:r>
        <w:rPr>
          <w:rFonts w:ascii="Arial" w:cs="Arial" w:eastAsia="Arial" w:hAnsi="Arial"/>
          <w:sz w:val="24"/>
          <w:szCs w:val="24"/>
        </w:rPr>
        <w:t xml:space="preserve">Legal aid organizations — lease documents, case data</w:t>
      </w:r>
    </w:p>
    <w:p>
      <w:r>
        <w:br w:type="page"/>
      </w:r>
    </w:p>
    <w:p>
      <w:pPr>
        <w:pStyle w:val="Heading1"/>
      </w:pPr>
      <w:r>
        <w:rPr>
          <w:rFonts w:ascii="Arial" w:cs="Arial" w:eastAsia="Arial" w:hAnsi="Arial"/>
        </w:rPr>
        <w:t xml:space="preserve">7. Study Timeline</w:t>
      </w:r>
    </w:p>
    <w:p>
      <w:pPr>
        <w:pStyle w:val="ListParagraph"/>
        <w:numPr>
          <w:ilvl w:val="0"/>
          <w:numId w:val="2"/>
        </w:numPr>
        <w:spacing w:after="120"/>
      </w:pPr>
      <w:r>
        <w:rPr>
          <w:rFonts w:ascii="Arial" w:cs="Arial" w:eastAsia="Arial" w:hAnsi="Arial"/>
          <w:b/>
          <w:bCs/>
          <w:sz w:val="24"/>
          <w:szCs w:val="24"/>
        </w:rPr>
        <w:t xml:space="preserve">Pre-enactment (12+ months): </w:t>
      </w:r>
      <w:r>
        <w:rPr>
          <w:rFonts w:ascii="Arial" w:cs="Arial" w:eastAsia="Arial" w:hAnsi="Arial"/>
          <w:sz w:val="24"/>
          <w:szCs w:val="24"/>
        </w:rPr>
        <w:t xml:space="preserve">Baseline data collection. Launch listing scrape infrastructure, conduct baseline surveys, begin lease audit program. The longer the baseline, the stronger the parallel trends evidence.</w:t>
      </w:r>
    </w:p>
    <w:p>
      <w:pPr>
        <w:pStyle w:val="ListParagraph"/>
        <w:numPr>
          <w:ilvl w:val="0"/>
          <w:numId w:val="2"/>
        </w:numPr>
        <w:spacing w:after="120"/>
      </w:pPr>
      <w:r>
        <w:rPr>
          <w:rFonts w:ascii="Arial" w:cs="Arial" w:eastAsia="Arial" w:hAnsi="Arial"/>
          <w:b/>
          <w:bCs/>
          <w:sz w:val="24"/>
          <w:szCs w:val="24"/>
        </w:rPr>
        <w:t xml:space="preserve">6 months post-enactment: </w:t>
      </w:r>
      <w:r>
        <w:rPr>
          <w:rFonts w:ascii="Arial" w:cs="Arial" w:eastAsia="Arial" w:hAnsi="Arial"/>
          <w:sz w:val="24"/>
          <w:szCs w:val="24"/>
        </w:rPr>
        <w:t xml:space="preserve">Interim report — early signals on base rent adjustment, fee substitution, renter experience.</w:t>
      </w:r>
    </w:p>
    <w:p>
      <w:pPr>
        <w:pStyle w:val="ListParagraph"/>
        <w:numPr>
          <w:ilvl w:val="0"/>
          <w:numId w:val="2"/>
        </w:numPr>
        <w:spacing w:after="120"/>
      </w:pPr>
      <w:r>
        <w:rPr>
          <w:rFonts w:ascii="Arial" w:cs="Arial" w:eastAsia="Arial" w:hAnsi="Arial"/>
          <w:b/>
          <w:bCs/>
          <w:sz w:val="24"/>
          <w:szCs w:val="24"/>
        </w:rPr>
        <w:t xml:space="preserve">12 months post-enactment: </w:t>
      </w:r>
      <w:r>
        <w:rPr>
          <w:rFonts w:ascii="Arial" w:cs="Arial" w:eastAsia="Arial" w:hAnsi="Arial"/>
          <w:sz w:val="24"/>
          <w:szCs w:val="24"/>
        </w:rPr>
        <w:t xml:space="preserve">Main findings report — preliminary DiD estimates, RDD results, first synthetic control estimates.</w:t>
      </w:r>
    </w:p>
    <w:p>
      <w:pPr>
        <w:pStyle w:val="ListParagraph"/>
        <w:numPr>
          <w:ilvl w:val="0"/>
          <w:numId w:val="2"/>
        </w:numPr>
        <w:spacing w:after="120"/>
      </w:pPr>
      <w:r>
        <w:rPr>
          <w:rFonts w:ascii="Arial" w:cs="Arial" w:eastAsia="Arial" w:hAnsi="Arial"/>
          <w:b/>
          <w:bCs/>
          <w:sz w:val="24"/>
          <w:szCs w:val="24"/>
        </w:rPr>
        <w:t xml:space="preserve">24 months post-enactment: </w:t>
      </w:r>
      <w:r>
        <w:rPr>
          <w:rFonts w:ascii="Arial" w:cs="Arial" w:eastAsia="Arial" w:hAnsi="Arial"/>
          <w:sz w:val="24"/>
          <w:szCs w:val="24"/>
        </w:rPr>
        <w:t xml:space="preserve">Medium-term report — supply effects, maintenance trends, neighborhood-level equity analysis.</w:t>
      </w:r>
    </w:p>
    <w:p>
      <w:pPr>
        <w:pStyle w:val="ListParagraph"/>
        <w:numPr>
          <w:ilvl w:val="0"/>
          <w:numId w:val="2"/>
        </w:numPr>
        <w:spacing w:after="120"/>
      </w:pPr>
      <w:r>
        <w:rPr>
          <w:rFonts w:ascii="Arial" w:cs="Arial" w:eastAsia="Arial" w:hAnsi="Arial"/>
          <w:b/>
          <w:bCs/>
          <w:sz w:val="24"/>
          <w:szCs w:val="24"/>
        </w:rPr>
        <w:t xml:space="preserve">36 months post-enactment: </w:t>
      </w:r>
      <w:r>
        <w:rPr>
          <w:rFonts w:ascii="Arial" w:cs="Arial" w:eastAsia="Arial" w:hAnsi="Arial"/>
          <w:sz w:val="24"/>
          <w:szCs w:val="24"/>
        </w:rPr>
        <w:t xml:space="preserve">Final comprehensive report — long-run equilibrium effects, full model estimates, policy recommendations.</w:t>
      </w:r>
    </w:p>
    <w:p>
      <w:r>
        <w:br w:type="page"/>
      </w:r>
    </w:p>
    <w:p>
      <w:pPr>
        <w:pStyle w:val="Heading1"/>
      </w:pPr>
      <w:r>
        <w:rPr>
          <w:rFonts w:ascii="Arial" w:cs="Arial" w:eastAsia="Arial" w:hAnsi="Arial"/>
        </w:rPr>
        <w:t xml:space="preserve">8. Resource Requirements</w:t>
      </w:r>
    </w:p>
    <w:p>
      <w:pPr>
        <w:pStyle w:val="ListParagraph"/>
        <w:numPr>
          <w:ilvl w:val="0"/>
          <w:numId w:val="2"/>
        </w:numPr>
        <w:spacing w:after="120"/>
      </w:pPr>
      <w:r>
        <w:rPr>
          <w:rFonts w:ascii="Arial" w:cs="Arial" w:eastAsia="Arial" w:hAnsi="Arial"/>
          <w:b/>
          <w:bCs/>
          <w:sz w:val="24"/>
          <w:szCs w:val="24"/>
        </w:rPr>
        <w:t xml:space="preserve">Principal Investigator: </w:t>
      </w:r>
      <w:r>
        <w:rPr>
          <w:rFonts w:ascii="Arial" w:cs="Arial" w:eastAsia="Arial" w:hAnsi="Arial"/>
          <w:sz w:val="24"/>
          <w:szCs w:val="24"/>
        </w:rPr>
        <w:t xml:space="preserve">Senior housing economist, 50% time, 3 years.</w:t>
      </w:r>
    </w:p>
    <w:p>
      <w:pPr>
        <w:pStyle w:val="ListParagraph"/>
        <w:numPr>
          <w:ilvl w:val="0"/>
          <w:numId w:val="2"/>
        </w:numPr>
        <w:spacing w:after="120"/>
      </w:pPr>
      <w:r>
        <w:rPr>
          <w:rFonts w:ascii="Arial" w:cs="Arial" w:eastAsia="Arial" w:hAnsi="Arial"/>
          <w:b/>
          <w:bCs/>
          <w:sz w:val="24"/>
          <w:szCs w:val="24"/>
        </w:rPr>
        <w:t xml:space="preserve">Research team: </w:t>
      </w:r>
      <w:r>
        <w:rPr>
          <w:rFonts w:ascii="Arial" w:cs="Arial" w:eastAsia="Arial" w:hAnsi="Arial"/>
          <w:sz w:val="24"/>
          <w:szCs w:val="24"/>
        </w:rPr>
        <w:t xml:space="preserve">2–3 full-time research analysts for data collection, cleaning, and analysis.</w:t>
      </w:r>
    </w:p>
    <w:p>
      <w:pPr>
        <w:pStyle w:val="ListParagraph"/>
        <w:numPr>
          <w:ilvl w:val="0"/>
          <w:numId w:val="2"/>
        </w:numPr>
        <w:spacing w:after="120"/>
      </w:pPr>
      <w:r>
        <w:rPr>
          <w:rFonts w:ascii="Arial" w:cs="Arial" w:eastAsia="Arial" w:hAnsi="Arial"/>
          <w:b/>
          <w:bCs/>
          <w:sz w:val="24"/>
          <w:szCs w:val="24"/>
        </w:rPr>
        <w:t xml:space="preserve">Survey administration: </w:t>
      </w:r>
      <w:r>
        <w:rPr>
          <w:rFonts w:ascii="Arial" w:cs="Arial" w:eastAsia="Arial" w:hAnsi="Arial"/>
          <w:sz w:val="24"/>
          <w:szCs w:val="24"/>
        </w:rPr>
        <w:t xml:space="preserve">University survey center or research firm (4 waves, 2,000+ renters + 300+ landlords each).</w:t>
      </w:r>
    </w:p>
    <w:p>
      <w:pPr>
        <w:pStyle w:val="ListParagraph"/>
        <w:numPr>
          <w:ilvl w:val="0"/>
          <w:numId w:val="2"/>
        </w:numPr>
        <w:spacing w:after="120"/>
      </w:pPr>
      <w:r>
        <w:rPr>
          <w:rFonts w:ascii="Arial" w:cs="Arial" w:eastAsia="Arial" w:hAnsi="Arial"/>
          <w:b/>
          <w:bCs/>
          <w:sz w:val="24"/>
          <w:szCs w:val="24"/>
        </w:rPr>
        <w:t xml:space="preserve">Data infrastructure: </w:t>
      </w:r>
      <w:r>
        <w:rPr>
          <w:rFonts w:ascii="Arial" w:cs="Arial" w:eastAsia="Arial" w:hAnsi="Arial"/>
          <w:sz w:val="24"/>
          <w:szCs w:val="24"/>
        </w:rPr>
        <w:t xml:space="preserve">Listing scrape platform, secure data storage, Stata/R licenses.</w:t>
      </w:r>
    </w:p>
    <w:p>
      <w:pPr>
        <w:pStyle w:val="ListParagraph"/>
        <w:numPr>
          <w:ilvl w:val="0"/>
          <w:numId w:val="2"/>
        </w:numPr>
        <w:spacing w:after="120"/>
      </w:pPr>
      <w:r>
        <w:rPr>
          <w:rFonts w:ascii="Arial" w:cs="Arial" w:eastAsia="Arial" w:hAnsi="Arial"/>
          <w:b/>
          <w:bCs/>
          <w:sz w:val="24"/>
          <w:szCs w:val="24"/>
        </w:rPr>
        <w:t xml:space="preserve">Legal analysis: </w:t>
      </w:r>
      <w:r>
        <w:rPr>
          <w:rFonts w:ascii="Arial" w:cs="Arial" w:eastAsia="Arial" w:hAnsi="Arial"/>
          <w:sz w:val="24"/>
          <w:szCs w:val="24"/>
        </w:rPr>
        <w:t xml:space="preserve">Housing law expert for lease audits and regulatory interpretation (part-time).</w:t>
      </w:r>
    </w:p>
    <w:p>
      <w:pPr>
        <w:pStyle w:val="ListParagraph"/>
        <w:numPr>
          <w:ilvl w:val="0"/>
          <w:numId w:val="2"/>
        </w:numPr>
        <w:spacing w:after="120"/>
      </w:pPr>
      <w:r>
        <w:rPr>
          <w:rFonts w:ascii="Arial" w:cs="Arial" w:eastAsia="Arial" w:hAnsi="Arial"/>
          <w:b/>
          <w:bCs/>
          <w:sz w:val="24"/>
          <w:szCs w:val="24"/>
        </w:rPr>
        <w:t xml:space="preserve">Academic partnership: </w:t>
      </w:r>
      <w:r>
        <w:rPr>
          <w:rFonts w:ascii="Arial" w:cs="Arial" w:eastAsia="Arial" w:hAnsi="Arial"/>
          <w:sz w:val="24"/>
          <w:szCs w:val="24"/>
        </w:rPr>
        <w:t xml:space="preserve">UChicago, Northwestern, UIC, or DePaul for rigor and credibility.</w:t>
      </w:r>
    </w:p>
    <w:p>
      <w:pPr>
        <w:pStyle w:val="ListParagraph"/>
        <w:numPr>
          <w:ilvl w:val="0"/>
          <w:numId w:val="2"/>
        </w:numPr>
        <w:spacing w:after="120"/>
      </w:pPr>
      <w:r>
        <w:rPr>
          <w:rFonts w:ascii="Arial" w:cs="Arial" w:eastAsia="Arial" w:hAnsi="Arial"/>
          <w:b/>
          <w:bCs/>
          <w:sz w:val="24"/>
          <w:szCs w:val="24"/>
        </w:rPr>
        <w:t xml:space="preserve">Potential funding: </w:t>
      </w:r>
      <w:r>
        <w:rPr>
          <w:rFonts w:ascii="Arial" w:cs="Arial" w:eastAsia="Arial" w:hAnsi="Arial"/>
          <w:sz w:val="24"/>
          <w:szCs w:val="24"/>
        </w:rPr>
        <w:t xml:space="preserve">City of Chicago Dept of Housing, MacArthur Foundation, Robert Wood Johnson Foundation, HUD research grants.</w:t>
      </w:r>
    </w:p>
    <w:p>
      <w:r>
        <w:br w:type="page"/>
      </w:r>
    </w:p>
    <w:p>
      <w:pPr>
        <w:pStyle w:val="Heading1"/>
      </w:pPr>
      <w:r>
        <w:rPr>
          <w:rFonts w:ascii="Arial" w:cs="Arial" w:eastAsia="Arial" w:hAnsi="Arial"/>
        </w:rPr>
        <w:t xml:space="preserve">9. Decision Matrix: What-If Scenarios and Policy Responses</w:t>
      </w:r>
    </w:p>
    <w:p>
      <w:pPr>
        <w:spacing w:after="200"/>
      </w:pPr>
      <w:r>
        <w:rPr>
          <w:rFonts w:ascii="Arial" w:cs="Arial" w:eastAsia="Arial" w:hAnsi="Arial"/>
          <w:sz w:val="24"/>
          <w:szCs w:val="24"/>
        </w:rPr>
        <w:t xml:space="preserve">This study is not designed to produce a single yes-or-no verdict on the junk fee ban. It is designed to produce a decision matrix: under each empirically measured scenario, what is the appropriate policy response? The table below maps potential findings to concrete actions.</w:t>
      </w:r>
    </w:p>
    <w:p>
      <w:pPr>
        <w:spacing w:after="200"/>
      </w:pPr>
      <w:r>
        <w:rPr>
          <w:rFonts w:ascii="Arial" w:cs="Arial" w:eastAsia="Arial" w:hAnsi="Arial"/>
          <w:sz w:val="24"/>
          <w:szCs w:val="24"/>
        </w:rPr>
        <w:t xml:space="preserve">Each row corresponds to a distinct empirical outcome that the econometric models above are designed to detect and quantify. The policy responses are not recommendations — they are conditional frameworks that connect evidence to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If We Find…</w:t>
            </w:r>
          </w:p>
        </w:tc>
        <w:tc>
          <w:tcPr>
            <w:tcW w:type="dxa" w:w="310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Policy Response</w:t>
            </w:r>
          </w:p>
        </w:tc>
        <w:tc>
          <w:tcPr>
            <w:tcW w:type="dxa" w:w="3160"/>
            <w:tcBorders>
              <w:top w:val="single" w:color="BBBBBB" w:sz="1"/>
              <w:left w:val="single" w:color="BBBBBB" w:sz="1"/>
              <w:bottom w:val="single" w:color="BBBBBB" w:sz="1"/>
              <w:right w:val="single" w:color="BBBBBB"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Waterbed effect &lt; 50%
Net renter savings are real</w:t>
            </w:r>
          </w:p>
        </w:tc>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Maintain or strengthen the ban</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The policy is working as intended. Consider extending to all property sizes.</w:t>
            </w:r>
          </w:p>
        </w:tc>
      </w:tr>
      <w:tr>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Waterbed effect 50–80%
Partial pass-through</w:t>
            </w:r>
          </w:p>
        </w:tc>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Pair with rent stabilization</w:t>
            </w:r>
          </w:p>
        </w:tc>
        <w:tc>
          <w:tcPr>
            <w:tcW w:type="dxa" w:w="31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The ban alone is insufficient. Cap base rent increases to prevent cost-shifting.</w:t>
            </w:r>
          </w:p>
        </w:tc>
      </w:tr>
      <w:tr>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Waterbed effect &gt; 80%
Nearly full pass-through</w:t>
            </w:r>
          </w:p>
        </w:tc>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Reconsider or redesign the ban</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The ban is cosmetic. Alternative approaches needed (e.g., total-cost caps, fee caps rather than bans).</w:t>
            </w:r>
          </w:p>
        </w:tc>
      </w:tr>
      <w:tr>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Fee substitution is rampant
New fees replace banned ones</w:t>
            </w:r>
          </w:p>
        </w:tc>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Broaden ban to all mandatory non-rent charges</w:t>
            </w:r>
          </w:p>
        </w:tc>
        <w:tc>
          <w:tcPr>
            <w:tcW w:type="dxa" w:w="31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The current ban’s language is too narrow. Needs catch-all provisions.</w:t>
            </w:r>
          </w:p>
        </w:tc>
      </w:tr>
      <w:tr>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Small landlord exit increases
Supply contracts</w:t>
            </w:r>
          </w:p>
        </w:tc>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Add small-landlord exemptions or transition support</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Protect supply by exempting or subsidizing landlords below a revenue/unit threshold.</w:t>
            </w:r>
          </w:p>
        </w:tc>
      </w:tr>
      <w:tr>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Benefits concentrate in high-rent areas
Equity gap persists</w:t>
            </w:r>
          </w:p>
        </w:tc>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Add targeted measures for low-income neighborhoods</w:t>
            </w:r>
          </w:p>
        </w:tc>
        <w:tc>
          <w:tcPr>
            <w:tcW w:type="dxa" w:w="31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Complement the ban with vouchers, direct assistance, or neighborhood-specific enforcement.</w:t>
            </w:r>
          </w:p>
        </w:tc>
      </w:tr>
      <w:tr>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Housing supply declines long-run
Permits and starts drop</w:t>
            </w:r>
          </w:p>
        </w:tc>
        <w:tc>
          <w:tcPr>
            <w:tcW w:type="dxa" w:w="3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Pair with supply-side incentives</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Permit streamlining, tax abatements for new rental construction, density bonuses.</w:t>
            </w:r>
          </w:p>
        </w:tc>
      </w:tr>
      <w:tr>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Market transparency improves significantly
Even if cost savings are modest</w:t>
            </w:r>
          </w:p>
        </w:tc>
        <w:tc>
          <w:tcPr>
            <w:tcW w:type="dxa" w:w="310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Maintain the ban on transparency grounds alone</w:t>
            </w:r>
          </w:p>
        </w:tc>
        <w:tc>
          <w:tcPr>
            <w:tcW w:type="dxa" w:w="3160"/>
            <w:tcBorders>
              <w:top w:val="single" w:color="BBBBBB" w:sz="1"/>
              <w:left w:val="single" w:color="BBBBBB" w:sz="1"/>
              <w:bottom w:val="single" w:color="BBBBBB" w:sz="1"/>
              <w:right w:val="single" w:color="BBBBBB" w:sz="1"/>
            </w:tcBorders>
            <w:shd w:fill="EDF3F7" w:val="clear"/>
            <w:tcMar>
              <w:top w:type="dxa" w:w="60"/>
              <w:left w:type="dxa" w:w="120"/>
              <w:bottom w:type="dxa" w:w="60"/>
              <w:right w:type="dxa" w:w="120"/>
            </w:tcMar>
          </w:tcPr>
          <w:p>
            <w:r>
              <w:rPr>
                <w:rFonts w:ascii="Arial" w:cs="Arial" w:eastAsia="Arial" w:hAnsi="Arial"/>
                <w:sz w:val="20"/>
                <w:szCs w:val="20"/>
              </w:rPr>
              <w:t xml:space="preserve">Even if renters don’t save much money, a more efficient market is independently valuable.</w:t>
            </w:r>
          </w:p>
        </w:tc>
      </w:tr>
    </w:tbl>
    <w:p>
      <w:pPr>
        <w:spacing w:after="200"/>
      </w:pPr>
      <w:r>
        <w:rPr>
          <w:rFonts w:ascii="Arial" w:cs="Arial" w:eastAsia="Arial" w:hAnsi="Arial"/>
          <w:sz w:val="24"/>
          <w:szCs w:val="24"/>
        </w:rPr>
        <w:t xml:space="preserve"/>
      </w:r>
    </w:p>
    <w:p>
      <w:pPr>
        <w:pStyle w:val="Heading2"/>
      </w:pPr>
      <w:r>
        <w:rPr>
          <w:rFonts w:ascii="Arial" w:cs="Arial" w:eastAsia="Arial" w:hAnsi="Arial"/>
        </w:rPr>
        <w:t xml:space="preserve">9.1 Scenario Interactions</w:t>
      </w:r>
    </w:p>
    <w:p>
      <w:pPr>
        <w:spacing w:after="200"/>
      </w:pPr>
      <w:r>
        <w:rPr>
          <w:rFonts w:ascii="Arial" w:cs="Arial" w:eastAsia="Arial" w:hAnsi="Arial"/>
          <w:sz w:val="24"/>
          <w:szCs w:val="24"/>
        </w:rPr>
        <w:t xml:space="preserve">These scenarios are not mutually exclusive. The study may find, for example, that the waterbed effect is moderate (50–80%) AND fee substitution is occurring AND benefits concentrate in high-rent neighborhoods. In that case, the appropriate policy response would combine elements from multiple rows: pair the ban with rent stabilization, broaden the fee definition, and add targeted measures for low-income areas.</w:t>
      </w:r>
    </w:p>
    <w:p>
      <w:pPr>
        <w:spacing w:after="200"/>
      </w:pPr>
      <w:r>
        <w:rPr>
          <w:rFonts w:ascii="Arial" w:cs="Arial" w:eastAsia="Arial" w:hAnsi="Arial"/>
          <w:sz w:val="24"/>
          <w:szCs w:val="24"/>
        </w:rPr>
        <w:t xml:space="preserve">The interim reports at 6, 12, and 24 months will present preliminary findings against this matrix so that policymakers can begin calibrating responses before the final 36-month analysis is complete.</w:t>
      </w:r>
    </w:p>
    <w:p>
      <w:pPr>
        <w:pStyle w:val="Heading2"/>
      </w:pPr>
      <w:r>
        <w:rPr>
          <w:rFonts w:ascii="Arial" w:cs="Arial" w:eastAsia="Arial" w:hAnsi="Arial"/>
        </w:rPr>
        <w:t xml:space="preserve">9.2 Decision Thresholds</w:t>
      </w:r>
    </w:p>
    <w:p>
      <w:pPr>
        <w:spacing w:after="200"/>
      </w:pPr>
      <w:r>
        <w:rPr>
          <w:rFonts w:ascii="Arial" w:cs="Arial" w:eastAsia="Arial" w:hAnsi="Arial"/>
          <w:sz w:val="24"/>
          <w:szCs w:val="24"/>
        </w:rPr>
        <w:t xml:space="preserve">For each scenario, the study will report point estimates with confidence intervals. The decision thresholds above (e.g., 50%, 80%) are starting points for discussion with the Mayor’s office and Chief of Policy. Before the study launches, we recommend a stakeholder session to calibrate these thresholds based on the city’s policy priorities and risk tolerance.</w:t>
      </w:r>
    </w:p>
    <w:p>
      <w:pPr>
        <w:spacing w:after="200"/>
      </w:pPr>
      <w:r>
        <w:rPr>
          <w:rFonts w:ascii="Arial" w:cs="Arial" w:eastAsia="Arial" w:hAnsi="Arial"/>
          <w:sz w:val="24"/>
          <w:szCs w:val="24"/>
        </w:rPr>
        <w:t xml:space="preserve">The goal is to ensure that when findings arrive, the policy response is pre-committed and evidence-driven rather than reactive and political.</w:t>
      </w:r>
    </w:p>
    <w:p>
      <w:r>
        <w:br w:type="page"/>
      </w:r>
    </w:p>
    <w:p>
      <w:pPr>
        <w:pStyle w:val="Heading1"/>
      </w:pPr>
      <w:r>
        <w:rPr>
          <w:rFonts w:ascii="Arial" w:cs="Arial" w:eastAsia="Arial" w:hAnsi="Arial"/>
        </w:rPr>
        <w:t xml:space="preserve">References</w:t>
      </w:r>
    </w:p>
    <w:p>
      <w:pPr>
        <w:spacing w:after="200"/>
      </w:pPr>
      <w:r>
        <w:rPr>
          <w:rFonts w:ascii="Arial" w:cs="Arial" w:eastAsia="Arial" w:hAnsi="Arial"/>
          <w:sz w:val="24"/>
          <w:szCs w:val="24"/>
        </w:rPr>
        <w:t xml:space="preserve">Abadie, A. “Using Synthetic Controls: Feasibility, Data Requirements, and Methodological Aspects.” Journal of Economic Literature, 2021.</w:t>
      </w:r>
    </w:p>
    <w:p>
      <w:pPr>
        <w:spacing w:after="200"/>
      </w:pPr>
      <w:r>
        <w:rPr>
          <w:rFonts w:ascii="Arial" w:cs="Arial" w:eastAsia="Arial" w:hAnsi="Arial"/>
          <w:sz w:val="24"/>
          <w:szCs w:val="24"/>
        </w:rPr>
        <w:t xml:space="preserve">Block Club Chicago. “Chicago Landlords Are Charging Hundreds In Move-In Fees.” April 2025.</w:t>
      </w:r>
    </w:p>
    <w:p>
      <w:pPr>
        <w:spacing w:after="200"/>
      </w:pPr>
      <w:r>
        <w:rPr>
          <w:rFonts w:ascii="Arial" w:cs="Arial" w:eastAsia="Arial" w:hAnsi="Arial"/>
          <w:sz w:val="24"/>
          <w:szCs w:val="24"/>
        </w:rPr>
        <w:t xml:space="preserve">Calonico, S., Cattaneo, M., and Titiunik, R. “Robust Nonparametric Confidence Intervals for Regression-Discontinuity Designs.” Econometrica, 2014.</w:t>
      </w:r>
    </w:p>
    <w:p>
      <w:pPr>
        <w:spacing w:after="200"/>
      </w:pPr>
      <w:r>
        <w:rPr>
          <w:rFonts w:ascii="Arial" w:cs="Arial" w:eastAsia="Arial" w:hAnsi="Arial"/>
          <w:sz w:val="24"/>
          <w:szCs w:val="24"/>
        </w:rPr>
        <w:t xml:space="preserve">Child Poverty Action Lab. “Role of Junk Fees in the Dallas Rental Housing Market.” 2024.</w:t>
      </w:r>
    </w:p>
    <w:p>
      <w:pPr>
        <w:spacing w:after="200"/>
      </w:pPr>
      <w:r>
        <w:rPr>
          <w:rFonts w:ascii="Arial" w:cs="Arial" w:eastAsia="Arial" w:hAnsi="Arial"/>
          <w:sz w:val="24"/>
          <w:szCs w:val="24"/>
        </w:rPr>
        <w:t xml:space="preserve">CRE Consult. “Chicago Rental Market 2025: Why Rents Are Soaring.” 2025.</w:t>
      </w:r>
    </w:p>
    <w:p>
      <w:pPr>
        <w:spacing w:after="200"/>
      </w:pPr>
      <w:r>
        <w:rPr>
          <w:rFonts w:ascii="Arial" w:cs="Arial" w:eastAsia="Arial" w:hAnsi="Arial"/>
          <w:sz w:val="24"/>
          <w:szCs w:val="24"/>
        </w:rPr>
        <w:t xml:space="preserve">CRE Consult. “Chicago Apartment Market 2025: Low Supply, High Demand.” 2025.</w:t>
      </w:r>
    </w:p>
    <w:p>
      <w:pPr>
        <w:spacing w:after="200"/>
      </w:pPr>
      <w:r>
        <w:rPr>
          <w:rFonts w:ascii="Arial" w:cs="Arial" w:eastAsia="Arial" w:hAnsi="Arial"/>
          <w:sz w:val="24"/>
          <w:szCs w:val="24"/>
        </w:rPr>
        <w:t xml:space="preserve">Diamond, R., McQuade, T., and Qian, F. “The Effects of Rent Control Expansion on Tenants, Landlords, and Inequality.” NBER Working Paper 24181.</w:t>
      </w:r>
    </w:p>
    <w:p>
      <w:pPr>
        <w:spacing w:after="200"/>
      </w:pPr>
      <w:r>
        <w:rPr>
          <w:rFonts w:ascii="Arial" w:cs="Arial" w:eastAsia="Arial" w:hAnsi="Arial"/>
          <w:sz w:val="24"/>
          <w:szCs w:val="24"/>
        </w:rPr>
        <w:t xml:space="preserve">City of Chicago. Proposed Junk Fee Ban Ordinance (under consideration). 2026.</w:t>
      </w:r>
    </w:p>
    <w:p>
      <w:pPr>
        <w:spacing w:after="200"/>
      </w:pPr>
      <w:r>
        <w:rPr>
          <w:rFonts w:ascii="Arial" w:cs="Arial" w:eastAsia="Arial" w:hAnsi="Arial"/>
          <w:sz w:val="24"/>
          <w:szCs w:val="24"/>
        </w:rPr>
        <w:t xml:space="preserve">Imbens, G. and Lemieux, T. “Regression Discontinuity Designs: A Guide to Practice.” Journal of Econometrics, 2008.</w:t>
      </w:r>
    </w:p>
    <w:p>
      <w:pPr>
        <w:spacing w:after="200"/>
      </w:pPr>
      <w:r>
        <w:rPr>
          <w:rFonts w:ascii="Arial" w:cs="Arial" w:eastAsia="Arial" w:hAnsi="Arial"/>
          <w:sz w:val="24"/>
          <w:szCs w:val="24"/>
        </w:rPr>
        <w:t xml:space="preserve">Lee, D. and Lemieux, T. “Regression Discontinuity Designs in Economics.” Journal of Economic Literature, 2010.</w:t>
      </w:r>
    </w:p>
    <w:p>
      <w:pPr>
        <w:spacing w:after="200"/>
      </w:pPr>
      <w:r>
        <w:rPr>
          <w:rFonts w:ascii="Arial" w:cs="Arial" w:eastAsia="Arial" w:hAnsi="Arial"/>
          <w:sz w:val="24"/>
          <w:szCs w:val="24"/>
        </w:rPr>
        <w:t xml:space="preserve">Luxury Living Chicago. “Average Move-In Fee in Chicago.” 2025.</w:t>
      </w:r>
    </w:p>
    <w:p>
      <w:pPr>
        <w:spacing w:after="200"/>
      </w:pPr>
      <w:r>
        <w:rPr>
          <w:rFonts w:ascii="Arial" w:cs="Arial" w:eastAsia="Arial" w:hAnsi="Arial"/>
          <w:sz w:val="24"/>
          <w:szCs w:val="24"/>
        </w:rPr>
        <w:t xml:space="preserve">McCrary, J. “Manipulation of the Running Variable in the Regression Discontinuity Design.” Journal of Econometrics, 2008.</w:t>
      </w:r>
    </w:p>
    <w:p>
      <w:pPr>
        <w:spacing w:after="200"/>
      </w:pPr>
      <w:r>
        <w:rPr>
          <w:rFonts w:ascii="Arial" w:cs="Arial" w:eastAsia="Arial" w:hAnsi="Arial"/>
          <w:sz w:val="24"/>
          <w:szCs w:val="24"/>
        </w:rPr>
        <w:t xml:space="preserve">National Consumer Law Center. “Too Damn High: How Junk Fees Add to Skyrocketing Rents.” March 2023.</w:t>
      </w:r>
    </w:p>
    <w:p>
      <w:pPr>
        <w:spacing w:after="200"/>
      </w:pPr>
      <w:r>
        <w:rPr>
          <w:rFonts w:ascii="Arial" w:cs="Arial" w:eastAsia="Arial" w:hAnsi="Arial"/>
          <w:sz w:val="24"/>
          <w:szCs w:val="24"/>
        </w:rPr>
        <w:t xml:space="preserve">National Consumer Law Center. “What the Heck, Dude!: How States Can Fight Rental Housing Junk Fees.” September 2024.</w:t>
      </w:r>
    </w:p>
    <w:p>
      <w:pPr>
        <w:spacing w:after="200"/>
      </w:pPr>
      <w:r>
        <w:rPr>
          <w:rFonts w:ascii="Arial" w:cs="Arial" w:eastAsia="Arial" w:hAnsi="Arial"/>
          <w:sz w:val="24"/>
          <w:szCs w:val="24"/>
        </w:rPr>
        <w:t xml:space="preserve">Stock, J. and Yogo, M. “Testing for Weak Instruments in Linear IV Regression.” 2005.</w:t>
      </w:r>
    </w:p>
    <w:p>
      <w:pPr>
        <w:spacing w:after="200"/>
      </w:pPr>
      <w:r>
        <w:rPr>
          <w:rFonts w:ascii="Arial" w:cs="Arial" w:eastAsia="Arial" w:hAnsi="Arial"/>
          <w:sz w:val="24"/>
          <w:szCs w:val="24"/>
        </w:rPr>
        <w:t xml:space="preserve">Zillow. “Consumer Housing Trends Report.” 2024–2025.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Research Proposal: Junk Fee Ban — Research Design &amp;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4B"/>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D6A8F"/>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B3A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2026-04-08T18:15:54.580Z</dcterms:created>
  <dcterms:modified xsi:type="dcterms:W3CDTF">2026-04-08T18:15:54.580Z</dcterms:modified>
</cp:coreProperties>
</file>

<file path=docProps/custom.xml><?xml version="1.0" encoding="utf-8"?>
<Properties xmlns="http://schemas.openxmlformats.org/officeDocument/2006/custom-properties" xmlns:vt="http://schemas.openxmlformats.org/officeDocument/2006/docPropsVTypes"/>
</file>