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2D6A8F"/>
          <w:sz w:val="28"/>
          <w:szCs w:val="28"/>
        </w:rPr>
        <w:t xml:space="preserve">RESEARCH SKETCH</w:t>
      </w:r>
    </w:p>
    <w:p>
      <w:pPr>
        <w:spacing w:after="400"/>
        <w:jc w:val="center"/>
      </w:pPr>
      <w:r>
        <w:rPr>
          <w:rFonts w:ascii="Arial" w:cs="Arial" w:eastAsia="Arial" w:hAnsi="Arial"/>
          <w:b/>
          <w:bCs/>
          <w:color w:val="1B3A4B"/>
          <w:sz w:val="48"/>
          <w:szCs w:val="48"/>
        </w:rPr>
        <w:t xml:space="preserve">If Chicago Bans Junk Fees,
What Happens Next?</w:t>
      </w:r>
    </w:p>
    <w:p>
      <w:pPr>
        <w:pBdr>
          <w:bottom w:val="single" w:color="1B3A4B" w:sz="6" w:space="1"/>
        </w:pBdr>
        <w:spacing w:after="200"/>
        <w:jc w:val="center"/>
      </w:pPr>
      <w:r>
        <w:rPr>
          <w:rFonts w:ascii="Arial" w:cs="Arial" w:eastAsia="Arial" w:hAnsi="Arial"/>
          <w:color w:val="666666"/>
          <w:sz w:val="28"/>
          <w:szCs w:val="28"/>
        </w:rPr>
        <w:t xml:space="preserve">A Plan for Finding Out Before We Find Out the Hard Way</w:t>
      </w:r>
    </w:p>
    <w:p>
      <w:pPr>
        <w:spacing w:before="1600"/>
      </w:pPr>
    </w:p>
    <w:p>
      <w:pPr>
        <w:jc w:val="center"/>
      </w:pPr>
      <w:r>
        <w:rPr>
          <w:rFonts w:ascii="Arial" w:cs="Arial" w:eastAsia="Arial" w:hAnsi="Arial"/>
          <w:color w:val="666666"/>
          <w:sz w:val="24"/>
          <w:szCs w:val="24"/>
        </w:rPr>
        <w:t xml:space="preserve">Prepared for the Office of the Mayor and Chief of Policy</w:t>
      </w:r>
    </w:p>
    <w:p>
      <w:pPr>
        <w:jc w:val="center"/>
      </w:pPr>
      <w:r>
        <w:rPr>
          <w:rFonts w:ascii="Arial" w:cs="Arial" w:eastAsia="Arial" w:hAnsi="Arial"/>
          <w:color w:val="666666"/>
          <w:sz w:val="24"/>
          <w:szCs w:val="24"/>
        </w:rPr>
        <w:t xml:space="preserve">City of Chicago</w:t>
      </w:r>
    </w:p>
    <w:p>
      <w:pPr>
        <w:spacing w:before="400"/>
      </w:pPr>
    </w:p>
    <w:p>
      <w:pPr>
        <w:jc w:val="center"/>
      </w:pPr>
      <w:r>
        <w:rPr>
          <w:rFonts w:ascii="Arial" w:cs="Arial" w:eastAsia="Arial" w:hAnsi="Arial"/>
          <w:color w:val="999999"/>
          <w:sz w:val="22"/>
          <w:szCs w:val="22"/>
        </w:rPr>
        <w:t xml:space="preserve">April 2026</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1. What’s Happening to Chicago Renters Right Now</w:t>
      </w:r>
    </w:p>
    <w:p>
      <w:pPr>
        <w:spacing w:after="200"/>
      </w:pPr>
      <w:r>
        <w:rPr>
          <w:rFonts w:ascii="Arial" w:cs="Arial" w:eastAsia="Arial" w:hAnsi="Arial"/>
          <w:sz w:val="24"/>
          <w:szCs w:val="24"/>
        </w:rPr>
        <w:t xml:space="preserve">Chicago renters are getting hit with fees on top of fees before they even move in. Application fees of $50–$100 per application — and most renters apply to multiple units. Non-refundable move-in fees of $425–$700 that have quietly replaced security deposits. Administrative fees, amenity fees, trash fees, pest control fees, convenience fees — charges that didn’t exist ten years ago and that renters often don’t see until they’re signing the lease.</w:t>
      </w:r>
    </w:p>
    <w:p>
      <w:pPr>
        <w:spacing w:after="200"/>
      </w:pPr>
      <w:r>
        <w:rPr>
          <w:rFonts w:ascii="Arial" w:cs="Arial" w:eastAsia="Arial" w:hAnsi="Arial"/>
          <w:sz w:val="24"/>
          <w:szCs w:val="24"/>
        </w:rPr>
        <w:t xml:space="preserve">On the South and West sides, these fees can add $1,000–$2,000 to the upfront cost of renting, on top of first month’s rent. For a family already stretched, that’s the difference between getting housed and staying in an unstable situation.</w:t>
      </w:r>
    </w:p>
    <w:p>
      <w:pPr>
        <w:spacing w:after="200"/>
      </w:pPr>
      <w:r>
        <w:rPr>
          <w:rFonts w:ascii="Arial" w:cs="Arial" w:eastAsia="Arial" w:hAnsi="Arial"/>
          <w:sz w:val="24"/>
          <w:szCs w:val="24"/>
        </w:rPr>
        <w:t xml:space="preserve">A junk fee ban would put money directly back in renters’ pockets. </w:t>
      </w:r>
      <w:r>
        <w:rPr>
          <w:rFonts w:ascii="Arial" w:cs="Arial" w:eastAsia="Arial" w:hAnsi="Arial"/>
          <w:b/>
          <w:bCs/>
          <w:sz w:val="24"/>
          <w:szCs w:val="24"/>
        </w:rPr>
        <w:t xml:space="preserve">But we need to be able to show it’s working — quickly and clearly.</w:t>
      </w:r>
      <w:r>
        <w:rPr>
          <w:rFonts w:ascii="Arial" w:cs="Arial" w:eastAsia="Arial" w:hAnsi="Arial"/>
          <w:sz w:val="24"/>
          <w:szCs w:val="24"/>
        </w:rPr>
        <w:t xml:space="preserve"> This plan lays out how we study the impact of the ban so the city can prove to Chicagoans that the policy delivers real results.</w:t>
      </w:r>
    </w:p>
    <w:p>
      <w:r>
        <w:br w:type="page"/>
      </w:r>
    </w:p>
    <w:p>
      <w:pPr>
        <w:pStyle w:val="Heading1"/>
      </w:pPr>
      <w:r>
        <w:rPr>
          <w:rFonts w:ascii="Arial" w:cs="Arial" w:eastAsia="Arial" w:hAnsi="Arial"/>
        </w:rPr>
        <w:t xml:space="preserve">2. What We Need to Find Out</w:t>
      </w:r>
    </w:p>
    <w:p>
      <w:pPr>
        <w:spacing w:after="200"/>
      </w:pPr>
      <w:r>
        <w:rPr>
          <w:rFonts w:ascii="Arial" w:cs="Arial" w:eastAsia="Arial" w:hAnsi="Arial"/>
          <w:sz w:val="24"/>
          <w:szCs w:val="24"/>
        </w:rPr>
        <w:t xml:space="preserve">The study answers five questions. The first two are the ones that matter most in the short term — they’re what voters will feel and what opponents will challenge.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4680"/>
            <w:tcBorders>
              <w:top w:val="single" w:color="BBBBBB" w:sz="1"/>
              <w:left w:val="single" w:color="BBBBBB" w:sz="1"/>
              <w:bottom w:val="single" w:color="BBBBBB" w:sz="1"/>
              <w:right w:val="single" w:color="BBBBB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468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Does the ban actually save renters money — or do landlords just raise the base rent to compensate?</w:t>
            </w:r>
          </w:p>
        </w:tc>
        <w:tc>
          <w:tcPr>
            <w:tcW w:type="dxa" w:w="468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This is the #1 risk. If landlords pass the cost through, the ban changes nothing.</w:t>
            </w:r>
          </w:p>
        </w:tc>
      </w:tr>
      <w:tr>
        <w:tc>
          <w:tcPr>
            <w:tcW w:type="dxa" w:w="468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How do landlords respond: do they invent new fees, cut maintenance, or leave the market?</w:t>
            </w:r>
          </w:p>
        </w:tc>
        <w:tc>
          <w:tcPr>
            <w:tcW w:type="dxa" w:w="468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Even if rent doesn’t go up, renters could “pay” through worse building conditions or less housing supply.</w:t>
            </w:r>
          </w:p>
        </w:tc>
      </w:tr>
      <w:tr>
        <w:tc>
          <w:tcPr>
            <w:tcW w:type="dxa" w:w="468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Does the ban make it easier for renters to compare apartments and shop around?</w:t>
            </w:r>
          </w:p>
        </w:tc>
        <w:tc>
          <w:tcPr>
            <w:tcW w:type="dxa" w:w="468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Hidden fees make it hard to know what an apartment really costs. More transparency could improve the market even if dollar savings are small.</w:t>
            </w:r>
          </w:p>
        </w:tc>
      </w:tr>
      <w:tr>
        <w:tc>
          <w:tcPr>
            <w:tcW w:type="dxa" w:w="468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Who benefits and who gets hurt — across income levels, race, and neighborhoods?</w:t>
            </w:r>
          </w:p>
        </w:tc>
        <w:tc>
          <w:tcPr>
            <w:tcW w:type="dxa" w:w="468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A ban that mostly helps high-income renters in the Loop but hurts low-income renters on the South Side needs different policy treatment.</w:t>
            </w:r>
          </w:p>
        </w:tc>
      </w:tr>
      <w:tr>
        <w:tc>
          <w:tcPr>
            <w:tcW w:type="dxa" w:w="468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What happens to housing supply and new construction over 1–3 years?</w:t>
            </w:r>
          </w:p>
        </w:tc>
        <w:tc>
          <w:tcPr>
            <w:tcW w:type="dxa" w:w="468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If developers build fewer apartments because profits drop, the long-run effect could be higher rents for everyone.</w:t>
            </w:r>
          </w:p>
        </w:tc>
      </w:tr>
    </w:tbl>
    <w:p>
      <w:r>
        <w:br w:type="page"/>
      </w:r>
    </w:p>
    <w:p>
      <w:pPr>
        <w:pStyle w:val="Heading1"/>
      </w:pPr>
      <w:r>
        <w:rPr>
          <w:rFonts w:ascii="Arial" w:cs="Arial" w:eastAsia="Arial" w:hAnsi="Arial"/>
        </w:rPr>
        <w:t xml:space="preserve">3. Immediate Effects We Can Measure</w:t>
      </w:r>
    </w:p>
    <w:p>
      <w:pPr>
        <w:spacing w:after="200"/>
      </w:pPr>
      <w:r>
        <w:rPr>
          <w:rFonts w:ascii="Arial" w:cs="Arial" w:eastAsia="Arial" w:hAnsi="Arial"/>
          <w:sz w:val="24"/>
          <w:szCs w:val="24"/>
        </w:rPr>
        <w:t xml:space="preserve">Some effects of the ban will be visible within weeks, not months. These are the numbers the Mayor’s office can point to early:</w:t>
      </w:r>
    </w:p>
    <w:p>
      <w:pPr>
        <w:pStyle w:val="Heading2"/>
      </w:pPr>
      <w:r>
        <w:rPr>
          <w:rFonts w:ascii="Arial" w:cs="Arial" w:eastAsia="Arial" w:hAnsi="Arial"/>
        </w:rPr>
        <w:t xml:space="preserve">What renters save on day one</w:t>
      </w:r>
    </w:p>
    <w:p>
      <w:pPr>
        <w:pStyle w:val="ListParagraph"/>
        <w:numPr>
          <w:ilvl w:val="0"/>
          <w:numId w:val="2"/>
        </w:numPr>
        <w:spacing w:after="120"/>
      </w:pPr>
      <w:r>
        <w:rPr>
          <w:rFonts w:ascii="Arial" w:cs="Arial" w:eastAsia="Arial" w:hAnsi="Arial"/>
          <w:b/>
          <w:bCs/>
          <w:sz w:val="24"/>
          <w:szCs w:val="24"/>
        </w:rPr>
        <w:t xml:space="preserve">Move-in costs drop: </w:t>
      </w:r>
      <w:r>
        <w:rPr>
          <w:rFonts w:ascii="Arial" w:cs="Arial" w:eastAsia="Arial" w:hAnsi="Arial"/>
          <w:sz w:val="24"/>
          <w:szCs w:val="24"/>
        </w:rPr>
        <w:t xml:space="preserve">if the ban eliminates non-refundable move-in fees ($425–$700), the upfront cost of renting falls immediately. That’s measurable from the first week.</w:t>
      </w:r>
    </w:p>
    <w:p>
      <w:pPr>
        <w:pStyle w:val="ListParagraph"/>
        <w:numPr>
          <w:ilvl w:val="0"/>
          <w:numId w:val="2"/>
        </w:numPr>
        <w:spacing w:after="120"/>
      </w:pPr>
      <w:r>
        <w:rPr>
          <w:rFonts w:ascii="Arial" w:cs="Arial" w:eastAsia="Arial" w:hAnsi="Arial"/>
          <w:b/>
          <w:bCs/>
          <w:sz w:val="24"/>
          <w:szCs w:val="24"/>
        </w:rPr>
        <w:t xml:space="preserve">Application fees disappear or shrink: </w:t>
      </w:r>
      <w:r>
        <w:rPr>
          <w:rFonts w:ascii="Arial" w:cs="Arial" w:eastAsia="Arial" w:hAnsi="Arial"/>
          <w:sz w:val="24"/>
          <w:szCs w:val="24"/>
        </w:rPr>
        <w:t xml:space="preserve">renters applying to 3–5 units currently spend $150–$500 just on applications. That goes to zero or near-zero.</w:t>
      </w:r>
    </w:p>
    <w:p>
      <w:pPr>
        <w:pStyle w:val="ListParagraph"/>
        <w:numPr>
          <w:ilvl w:val="0"/>
          <w:numId w:val="2"/>
        </w:numPr>
        <w:spacing w:after="120"/>
      </w:pPr>
      <w:r>
        <w:rPr>
          <w:rFonts w:ascii="Arial" w:cs="Arial" w:eastAsia="Arial" w:hAnsi="Arial"/>
          <w:b/>
          <w:bCs/>
          <w:sz w:val="24"/>
          <w:szCs w:val="24"/>
        </w:rPr>
        <w:t xml:space="preserve">Monthly fee charges stop: </w:t>
      </w:r>
      <w:r>
        <w:rPr>
          <w:rFonts w:ascii="Arial" w:cs="Arial" w:eastAsia="Arial" w:hAnsi="Arial"/>
          <w:sz w:val="24"/>
          <w:szCs w:val="24"/>
        </w:rPr>
        <w:t xml:space="preserve">recurring amenity fees, admin fees, trash fees, and convenience fees come off the bill. Renters see it on their next statement.</w:t>
      </w:r>
    </w:p>
    <w:p>
      <w:pPr>
        <w:pStyle w:val="Heading2"/>
      </w:pPr>
      <w:r>
        <w:rPr>
          <w:rFonts w:ascii="Arial" w:cs="Arial" w:eastAsia="Arial" w:hAnsi="Arial"/>
        </w:rPr>
        <w:t xml:space="preserve">What we watch for in the first 90 days</w:t>
      </w:r>
    </w:p>
    <w:p>
      <w:pPr>
        <w:pStyle w:val="ListParagraph"/>
        <w:numPr>
          <w:ilvl w:val="0"/>
          <w:numId w:val="2"/>
        </w:numPr>
        <w:spacing w:after="120"/>
      </w:pPr>
      <w:r>
        <w:rPr>
          <w:rFonts w:ascii="Arial" w:cs="Arial" w:eastAsia="Arial" w:hAnsi="Arial"/>
          <w:b/>
          <w:bCs/>
          <w:sz w:val="24"/>
          <w:szCs w:val="24"/>
        </w:rPr>
        <w:t xml:space="preserve">Do landlords raise base rent immediately? </w:t>
      </w:r>
      <w:r>
        <w:rPr>
          <w:rFonts w:ascii="Arial" w:cs="Arial" w:eastAsia="Arial" w:hAnsi="Arial"/>
          <w:sz w:val="24"/>
          <w:szCs w:val="24"/>
        </w:rPr>
        <w:t xml:space="preserve">We track weekly listing data. If base rents spike right after the ban, we’ll see it in real time.</w:t>
      </w:r>
    </w:p>
    <w:p>
      <w:pPr>
        <w:pStyle w:val="ListParagraph"/>
        <w:numPr>
          <w:ilvl w:val="0"/>
          <w:numId w:val="2"/>
        </w:numPr>
        <w:spacing w:after="120"/>
      </w:pPr>
      <w:r>
        <w:rPr>
          <w:rFonts w:ascii="Arial" w:cs="Arial" w:eastAsia="Arial" w:hAnsi="Arial"/>
          <w:b/>
          <w:bCs/>
          <w:sz w:val="24"/>
          <w:szCs w:val="24"/>
        </w:rPr>
        <w:t xml:space="preserve">Do new mystery fees appear? </w:t>
      </w:r>
      <w:r>
        <w:rPr>
          <w:rFonts w:ascii="Arial" w:cs="Arial" w:eastAsia="Arial" w:hAnsi="Arial"/>
          <w:sz w:val="24"/>
          <w:szCs w:val="24"/>
        </w:rPr>
        <w:t xml:space="preserve">Landlords might invent charges like “technology packages” or “service fees.” We audit listings and leases to catch this early.</w:t>
      </w:r>
    </w:p>
    <w:p>
      <w:pPr>
        <w:pStyle w:val="ListParagraph"/>
        <w:numPr>
          <w:ilvl w:val="0"/>
          <w:numId w:val="2"/>
        </w:numPr>
        <w:spacing w:after="120"/>
      </w:pPr>
      <w:r>
        <w:rPr>
          <w:rFonts w:ascii="Arial" w:cs="Arial" w:eastAsia="Arial" w:hAnsi="Arial"/>
          <w:b/>
          <w:bCs/>
          <w:sz w:val="24"/>
          <w:szCs w:val="24"/>
        </w:rPr>
        <w:t xml:space="preserve">How do renters respond? </w:t>
      </w:r>
      <w:r>
        <w:rPr>
          <w:rFonts w:ascii="Arial" w:cs="Arial" w:eastAsia="Arial" w:hAnsi="Arial"/>
          <w:sz w:val="24"/>
          <w:szCs w:val="24"/>
        </w:rPr>
        <w:t xml:space="preserve">A quick-turnaround survey within the first month can capture whether renters are noticing the difference and how much they’re saving.</w:t>
      </w:r>
    </w:p>
    <w:p>
      <w:pPr>
        <w:pStyle w:val="Heading2"/>
      </w:pPr>
      <w:r>
        <w:rPr>
          <w:rFonts w:ascii="Arial" w:cs="Arial" w:eastAsia="Arial" w:hAnsi="Arial"/>
        </w:rPr>
        <w:t xml:space="preserve">What takes longer to see</w:t>
      </w:r>
    </w:p>
    <w:p>
      <w:pPr>
        <w:spacing w:after="200"/>
      </w:pPr>
      <w:r>
        <w:rPr>
          <w:rFonts w:ascii="Arial" w:cs="Arial" w:eastAsia="Arial" w:hAnsi="Arial"/>
          <w:sz w:val="24"/>
          <w:szCs w:val="24"/>
        </w:rPr>
        <w:t xml:space="preserve">Some effects take 6–12 months to become clear: whether landlords reduce maintenance, whether small landlords exit the market, whether new construction slows down, and whether the ban is helping all neighborhoods equally. We set up the tracking now so we can report on these as soon as the data is available.</w:t>
      </w:r>
    </w:p>
    <w:p>
      <w:r>
        <w:br w:type="page"/>
      </w:r>
    </w:p>
    <w:p>
      <w:pPr>
        <w:pStyle w:val="Heading1"/>
      </w:pPr>
      <w:r>
        <w:rPr>
          <w:rFonts w:ascii="Arial" w:cs="Arial" w:eastAsia="Arial" w:hAnsi="Arial"/>
        </w:rPr>
        <w:t xml:space="preserve">4. How We Study It</w:t>
      </w:r>
    </w:p>
    <w:p>
      <w:pPr>
        <w:spacing w:after="200"/>
      </w:pPr>
      <w:r>
        <w:rPr>
          <w:rFonts w:ascii="Arial" w:cs="Arial" w:eastAsia="Arial" w:hAnsi="Arial"/>
          <w:sz w:val="24"/>
          <w:szCs w:val="24"/>
        </w:rPr>
        <w:t xml:space="preserve">We don’t rely on any single source of evidence. We look at the problem from multiple angles so we can trust the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BBBBBB" w:sz="1"/>
              <w:left w:val="single" w:color="BBBBBB" w:sz="1"/>
              <w:bottom w:val="single" w:color="BBBBBB" w:sz="1"/>
              <w:right w:val="single" w:color="BBBBB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What We Do</w:t>
            </w:r>
          </w:p>
        </w:tc>
        <w:tc>
          <w:tcPr>
            <w:tcW w:type="dxa" w:w="3800"/>
            <w:tcBorders>
              <w:top w:val="single" w:color="BBBBBB" w:sz="1"/>
              <w:left w:val="single" w:color="BBBBBB" w:sz="1"/>
              <w:bottom w:val="single" w:color="BBBBBB" w:sz="1"/>
              <w:right w:val="single" w:color="BBBBB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c>
          <w:tcPr>
            <w:tcW w:type="dxa" w:w="3360"/>
            <w:tcBorders>
              <w:top w:val="single" w:color="BBBBBB" w:sz="1"/>
              <w:left w:val="single" w:color="BBBBBB" w:sz="1"/>
              <w:bottom w:val="single" w:color="BBBBBB" w:sz="1"/>
              <w:right w:val="single" w:color="BBBBB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What It Tells Us</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Track listings over time</w:t>
            </w:r>
          </w:p>
        </w:tc>
        <w:tc>
          <w:tcPr>
            <w:tcW w:type="dxa" w:w="38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Scrape every Chicago rental listing weekly — Zillow, Apartments.com, Craigslist — and record the rent, every fee, unit size, and neighborhood. Do this before and after the ban.</w:t>
            </w:r>
          </w:p>
        </w:tc>
        <w:tc>
          <w:tcPr>
            <w:tcW w:type="dxa" w:w="33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Did total costs actually go down, or did landlords just move the money from fees into higher rent?</w:t>
            </w:r>
          </w:p>
        </w:tc>
      </w:tr>
      <w:tr>
        <w:tc>
          <w:tcPr>
            <w:tcW w:type="dxa" w:w="220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Compare buildings side by side</w:t>
            </w:r>
          </w:p>
        </w:tc>
        <w:tc>
          <w:tcPr>
            <w:tcW w:type="dxa" w:w="380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If the ban covers some buildings but not others (e.g., by size), compare the two groups. Same neighborhoods, same time period — the only difference is the policy.</w:t>
            </w:r>
          </w:p>
        </w:tc>
        <w:tc>
          <w:tcPr>
            <w:tcW w:type="dxa" w:w="336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Isolates the ban’s effect from everything else happening in the market (inflation, interest rates, etc.).</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Compare to other cities</w:t>
            </w:r>
          </w:p>
        </w:tc>
        <w:tc>
          <w:tcPr>
            <w:tcW w:type="dxa" w:w="38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Look at what happened to rents and fees in similar Midwestern cities (Milwaukee, Indianapolis, Minneapolis) that didn’t pass a ban, over the same period.</w:t>
            </w:r>
          </w:p>
        </w:tc>
        <w:tc>
          <w:tcPr>
            <w:tcW w:type="dxa" w:w="33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Shows whether changes in Chicago are because of the ban or because of broader trends hitting every city.</w:t>
            </w:r>
          </w:p>
        </w:tc>
      </w:tr>
      <w:tr>
        <w:tc>
          <w:tcPr>
            <w:tcW w:type="dxa" w:w="220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Audit real leases</w:t>
            </w:r>
          </w:p>
        </w:tc>
        <w:tc>
          <w:tcPr>
            <w:tcW w:type="dxa" w:w="380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Collect actual lease documents through legal aid orgs and tenant groups. Listings often hide fees; leases show the full picture.</w:t>
            </w:r>
          </w:p>
        </w:tc>
        <w:tc>
          <w:tcPr>
            <w:tcW w:type="dxa" w:w="336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Ground truth on what renters are really paying, not just what’s advertised.</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Survey renters and landlords</w:t>
            </w:r>
          </w:p>
        </w:tc>
        <w:tc>
          <w:tcPr>
            <w:tcW w:type="dxa" w:w="38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Ask renters what they’re paying and how the ban has affected them. Ask landlords how they’re responding and what they plan to do.</w:t>
            </w:r>
          </w:p>
        </w:tc>
        <w:tc>
          <w:tcPr>
            <w:tcW w:type="dxa" w:w="33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Captures the human side: awareness, satisfaction, workarounds, and intentions that data alone can’t show.</w:t>
            </w:r>
          </w:p>
        </w:tc>
      </w:tr>
      <w:tr>
        <w:tc>
          <w:tcPr>
            <w:tcW w:type="dxa" w:w="220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Check neighborhood differences</w:t>
            </w:r>
          </w:p>
        </w:tc>
        <w:tc>
          <w:tcPr>
            <w:tcW w:type="dxa" w:w="380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Break down every finding by neighborhood, income level, and race.</w:t>
            </w:r>
          </w:p>
        </w:tc>
        <w:tc>
          <w:tcPr>
            <w:tcW w:type="dxa" w:w="336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Shows whether the ban helps everyone equally or mostly benefits renters in wealthier areas.</w:t>
            </w:r>
          </w:p>
        </w:tc>
      </w:tr>
    </w:tbl>
    <w:p>
      <w:r>
        <w:br w:type="page"/>
      </w:r>
    </w:p>
    <w:p>
      <w:pPr>
        <w:pStyle w:val="Heading1"/>
      </w:pPr>
      <w:r>
        <w:rPr>
          <w:rFonts w:ascii="Arial" w:cs="Arial" w:eastAsia="Arial" w:hAnsi="Arial"/>
        </w:rPr>
        <w:t xml:space="preserve">5. What We Measure</w:t>
      </w:r>
    </w:p>
    <w:p>
      <w:pPr>
        <w:spacing w:after="200"/>
      </w:pPr>
      <w:r>
        <w:rPr>
          <w:rFonts w:ascii="Arial" w:cs="Arial" w:eastAsia="Arial" w:hAnsi="Arial"/>
          <w:sz w:val="24"/>
          <w:szCs w:val="24"/>
        </w:rPr>
        <w:t xml:space="preserve">We track outcomes in four categories:</w:t>
      </w:r>
    </w:p>
    <w:p>
      <w:pPr>
        <w:pStyle w:val="Heading2"/>
      </w:pPr>
      <w:r>
        <w:rPr>
          <w:rFonts w:ascii="Arial" w:cs="Arial" w:eastAsia="Arial" w:hAnsi="Arial"/>
        </w:rPr>
        <w:t xml:space="preserve">Renter Costs</w:t>
      </w:r>
    </w:p>
    <w:p>
      <w:pPr>
        <w:pStyle w:val="ListParagraph"/>
        <w:numPr>
          <w:ilvl w:val="0"/>
          <w:numId w:val="2"/>
        </w:numPr>
        <w:spacing w:after="120"/>
      </w:pPr>
      <w:r>
        <w:rPr>
          <w:rFonts w:ascii="Arial" w:cs="Arial" w:eastAsia="Arial" w:hAnsi="Arial"/>
          <w:b/>
          <w:bCs/>
          <w:sz w:val="24"/>
          <w:szCs w:val="24"/>
        </w:rPr>
        <w:t xml:space="preserve">Total cost of renting: </w:t>
      </w:r>
      <w:r>
        <w:rPr>
          <w:rFonts w:ascii="Arial" w:cs="Arial" w:eastAsia="Arial" w:hAnsi="Arial"/>
          <w:sz w:val="24"/>
          <w:szCs w:val="24"/>
        </w:rPr>
        <w:t xml:space="preserve">base rent plus every fee, annualized. This is the number that matters — not just rent, not just fees, but the whole bill.</w:t>
      </w:r>
    </w:p>
    <w:p>
      <w:pPr>
        <w:pStyle w:val="ListParagraph"/>
        <w:numPr>
          <w:ilvl w:val="0"/>
          <w:numId w:val="2"/>
        </w:numPr>
        <w:spacing w:after="120"/>
      </w:pPr>
      <w:r>
        <w:rPr>
          <w:rFonts w:ascii="Arial" w:cs="Arial" w:eastAsia="Arial" w:hAnsi="Arial"/>
          <w:b/>
          <w:bCs/>
          <w:sz w:val="24"/>
          <w:szCs w:val="24"/>
        </w:rPr>
        <w:t xml:space="preserve">Fee-to-rent ratio: </w:t>
      </w:r>
      <w:r>
        <w:rPr>
          <w:rFonts w:ascii="Arial" w:cs="Arial" w:eastAsia="Arial" w:hAnsi="Arial"/>
          <w:sz w:val="24"/>
          <w:szCs w:val="24"/>
        </w:rPr>
        <w:t xml:space="preserve">what percentage of the total housing cost comes from fees vs. base rent.</w:t>
      </w:r>
    </w:p>
    <w:p>
      <w:pPr>
        <w:pStyle w:val="ListParagraph"/>
        <w:numPr>
          <w:ilvl w:val="0"/>
          <w:numId w:val="2"/>
        </w:numPr>
        <w:spacing w:after="120"/>
      </w:pPr>
      <w:r>
        <w:rPr>
          <w:rFonts w:ascii="Arial" w:cs="Arial" w:eastAsia="Arial" w:hAnsi="Arial"/>
          <w:b/>
          <w:bCs/>
          <w:sz w:val="24"/>
          <w:szCs w:val="24"/>
        </w:rPr>
        <w:t xml:space="preserve">Upfront move-in cost: </w:t>
      </w:r>
      <w:r>
        <w:rPr>
          <w:rFonts w:ascii="Arial" w:cs="Arial" w:eastAsia="Arial" w:hAnsi="Arial"/>
          <w:sz w:val="24"/>
          <w:szCs w:val="24"/>
        </w:rPr>
        <w:t xml:space="preserve">the total cash a renter needs before they can move in (first month, deposits, application fee, move-in fee, admin fees).</w:t>
      </w:r>
    </w:p>
    <w:p>
      <w:pPr>
        <w:pStyle w:val="Heading2"/>
      </w:pPr>
      <w:r>
        <w:rPr>
          <w:rFonts w:ascii="Arial" w:cs="Arial" w:eastAsia="Arial" w:hAnsi="Arial"/>
        </w:rPr>
        <w:t xml:space="preserve">Landlord Behavior</w:t>
      </w:r>
    </w:p>
    <w:p>
      <w:pPr>
        <w:pStyle w:val="ListParagraph"/>
        <w:numPr>
          <w:ilvl w:val="0"/>
          <w:numId w:val="2"/>
        </w:numPr>
        <w:spacing w:after="120"/>
      </w:pPr>
      <w:r>
        <w:rPr>
          <w:rFonts w:ascii="Arial" w:cs="Arial" w:eastAsia="Arial" w:hAnsi="Arial"/>
          <w:b/>
          <w:bCs/>
          <w:sz w:val="24"/>
          <w:szCs w:val="24"/>
        </w:rPr>
        <w:t xml:space="preserve">Base rent changes: </w:t>
      </w:r>
      <w:r>
        <w:rPr>
          <w:rFonts w:ascii="Arial" w:cs="Arial" w:eastAsia="Arial" w:hAnsi="Arial"/>
          <w:sz w:val="24"/>
          <w:szCs w:val="24"/>
        </w:rPr>
        <w:t xml:space="preserve">did landlords raise rent after the ban, and by how much?</w:t>
      </w:r>
    </w:p>
    <w:p>
      <w:pPr>
        <w:pStyle w:val="ListParagraph"/>
        <w:numPr>
          <w:ilvl w:val="0"/>
          <w:numId w:val="2"/>
        </w:numPr>
        <w:spacing w:after="120"/>
      </w:pPr>
      <w:r>
        <w:rPr>
          <w:rFonts w:ascii="Arial" w:cs="Arial" w:eastAsia="Arial" w:hAnsi="Arial"/>
          <w:b/>
          <w:bCs/>
          <w:sz w:val="24"/>
          <w:szCs w:val="24"/>
        </w:rPr>
        <w:t xml:space="preserve">New fee creation: </w:t>
      </w:r>
      <w:r>
        <w:rPr>
          <w:rFonts w:ascii="Arial" w:cs="Arial" w:eastAsia="Arial" w:hAnsi="Arial"/>
          <w:sz w:val="24"/>
          <w:szCs w:val="24"/>
        </w:rPr>
        <w:t xml:space="preserve">did landlords invent new charges to replace banned ones?</w:t>
      </w:r>
    </w:p>
    <w:p>
      <w:pPr>
        <w:pStyle w:val="ListParagraph"/>
        <w:numPr>
          <w:ilvl w:val="0"/>
          <w:numId w:val="2"/>
        </w:numPr>
        <w:spacing w:after="120"/>
      </w:pPr>
      <w:r>
        <w:rPr>
          <w:rFonts w:ascii="Arial" w:cs="Arial" w:eastAsia="Arial" w:hAnsi="Arial"/>
          <w:b/>
          <w:bCs/>
          <w:sz w:val="24"/>
          <w:szCs w:val="24"/>
        </w:rPr>
        <w:t xml:space="preserve">Maintenance spending: </w:t>
      </w:r>
      <w:r>
        <w:rPr>
          <w:rFonts w:ascii="Arial" w:cs="Arial" w:eastAsia="Arial" w:hAnsi="Arial"/>
          <w:sz w:val="24"/>
          <w:szCs w:val="24"/>
        </w:rPr>
        <w:t xml:space="preserve">are buildings being maintained at the same level?</w:t>
      </w:r>
    </w:p>
    <w:p>
      <w:pPr>
        <w:pStyle w:val="ListParagraph"/>
        <w:numPr>
          <w:ilvl w:val="0"/>
          <w:numId w:val="2"/>
        </w:numPr>
        <w:spacing w:after="120"/>
      </w:pPr>
      <w:r>
        <w:rPr>
          <w:rFonts w:ascii="Arial" w:cs="Arial" w:eastAsia="Arial" w:hAnsi="Arial"/>
          <w:b/>
          <w:bCs/>
          <w:sz w:val="24"/>
          <w:szCs w:val="24"/>
        </w:rPr>
        <w:t xml:space="preserve">Market exit: </w:t>
      </w:r>
      <w:r>
        <w:rPr>
          <w:rFonts w:ascii="Arial" w:cs="Arial" w:eastAsia="Arial" w:hAnsi="Arial"/>
          <w:sz w:val="24"/>
          <w:szCs w:val="24"/>
        </w:rPr>
        <w:t xml:space="preserve">are landlords selling, converting to condos, or leaving units vacant?</w:t>
      </w:r>
    </w:p>
    <w:p>
      <w:pPr>
        <w:pStyle w:val="Heading2"/>
      </w:pPr>
      <w:r>
        <w:rPr>
          <w:rFonts w:ascii="Arial" w:cs="Arial" w:eastAsia="Arial" w:hAnsi="Arial"/>
        </w:rPr>
        <w:t xml:space="preserve">Market Health</w:t>
      </w:r>
    </w:p>
    <w:p>
      <w:pPr>
        <w:pStyle w:val="ListParagraph"/>
        <w:numPr>
          <w:ilvl w:val="0"/>
          <w:numId w:val="2"/>
        </w:numPr>
        <w:spacing w:after="120"/>
      </w:pPr>
      <w:r>
        <w:rPr>
          <w:rFonts w:ascii="Arial" w:cs="Arial" w:eastAsia="Arial" w:hAnsi="Arial"/>
          <w:b/>
          <w:bCs/>
          <w:sz w:val="24"/>
          <w:szCs w:val="24"/>
        </w:rPr>
        <w:t xml:space="preserve">Vacancy rates: </w:t>
      </w:r>
      <w:r>
        <w:rPr>
          <w:rFonts w:ascii="Arial" w:cs="Arial" w:eastAsia="Arial" w:hAnsi="Arial"/>
          <w:sz w:val="24"/>
          <w:szCs w:val="24"/>
        </w:rPr>
        <w:t xml:space="preserve">is the ban affecting how many apartments are available?</w:t>
      </w:r>
    </w:p>
    <w:p>
      <w:pPr>
        <w:pStyle w:val="ListParagraph"/>
        <w:numPr>
          <w:ilvl w:val="0"/>
          <w:numId w:val="2"/>
        </w:numPr>
        <w:spacing w:after="120"/>
      </w:pPr>
      <w:r>
        <w:rPr>
          <w:rFonts w:ascii="Arial" w:cs="Arial" w:eastAsia="Arial" w:hAnsi="Arial"/>
          <w:b/>
          <w:bCs/>
          <w:sz w:val="24"/>
          <w:szCs w:val="24"/>
        </w:rPr>
        <w:t xml:space="preserve">New construction: </w:t>
      </w:r>
      <w:r>
        <w:rPr>
          <w:rFonts w:ascii="Arial" w:cs="Arial" w:eastAsia="Arial" w:hAnsi="Arial"/>
          <w:sz w:val="24"/>
          <w:szCs w:val="24"/>
        </w:rPr>
        <w:t xml:space="preserve">are developers still building? Permits and multifamily starts tell us.</w:t>
      </w:r>
    </w:p>
    <w:p>
      <w:pPr>
        <w:pStyle w:val="ListParagraph"/>
        <w:numPr>
          <w:ilvl w:val="0"/>
          <w:numId w:val="2"/>
        </w:numPr>
        <w:spacing w:after="120"/>
      </w:pPr>
      <w:r>
        <w:rPr>
          <w:rFonts w:ascii="Arial" w:cs="Arial" w:eastAsia="Arial" w:hAnsi="Arial"/>
          <w:b/>
          <w:bCs/>
          <w:sz w:val="24"/>
          <w:szCs w:val="24"/>
        </w:rPr>
        <w:t xml:space="preserve">Price transparency: </w:t>
      </w:r>
      <w:r>
        <w:rPr>
          <w:rFonts w:ascii="Arial" w:cs="Arial" w:eastAsia="Arial" w:hAnsi="Arial"/>
          <w:sz w:val="24"/>
          <w:szCs w:val="24"/>
        </w:rPr>
        <w:t xml:space="preserve">can renters now compare apartments more easily because pricing is clearer?</w:t>
      </w:r>
    </w:p>
    <w:p>
      <w:pPr>
        <w:pStyle w:val="Heading2"/>
      </w:pPr>
      <w:r>
        <w:rPr>
          <w:rFonts w:ascii="Arial" w:cs="Arial" w:eastAsia="Arial" w:hAnsi="Arial"/>
        </w:rPr>
        <w:t xml:space="preserve">Equity</w:t>
      </w:r>
    </w:p>
    <w:p>
      <w:pPr>
        <w:pStyle w:val="ListParagraph"/>
        <w:numPr>
          <w:ilvl w:val="0"/>
          <w:numId w:val="2"/>
        </w:numPr>
        <w:spacing w:after="120"/>
      </w:pPr>
      <w:r>
        <w:rPr>
          <w:rFonts w:ascii="Arial" w:cs="Arial" w:eastAsia="Arial" w:hAnsi="Arial"/>
          <w:b/>
          <w:bCs/>
          <w:sz w:val="24"/>
          <w:szCs w:val="24"/>
        </w:rPr>
        <w:t xml:space="preserve">Who benefits: </w:t>
      </w:r>
      <w:r>
        <w:rPr>
          <w:rFonts w:ascii="Arial" w:cs="Arial" w:eastAsia="Arial" w:hAnsi="Arial"/>
          <w:sz w:val="24"/>
          <w:szCs w:val="24"/>
        </w:rPr>
        <w:t xml:space="preserve">broken down by income level, race, and neighborhood.</w:t>
      </w:r>
    </w:p>
    <w:p>
      <w:pPr>
        <w:pStyle w:val="ListParagraph"/>
        <w:numPr>
          <w:ilvl w:val="0"/>
          <w:numId w:val="2"/>
        </w:numPr>
        <w:spacing w:after="120"/>
      </w:pPr>
      <w:r>
        <w:rPr>
          <w:rFonts w:ascii="Arial" w:cs="Arial" w:eastAsia="Arial" w:hAnsi="Arial"/>
          <w:b/>
          <w:bCs/>
          <w:sz w:val="24"/>
          <w:szCs w:val="24"/>
        </w:rPr>
        <w:t xml:space="preserve">Displacement risk: </w:t>
      </w:r>
      <w:r>
        <w:rPr>
          <w:rFonts w:ascii="Arial" w:cs="Arial" w:eastAsia="Arial" w:hAnsi="Arial"/>
          <w:sz w:val="24"/>
          <w:szCs w:val="24"/>
        </w:rPr>
        <w:t xml:space="preserve">are renters being pushed out of their neighborhoods because of side effects?</w:t>
      </w:r>
    </w:p>
    <w:p>
      <w:pPr>
        <w:pStyle w:val="ListParagraph"/>
        <w:numPr>
          <w:ilvl w:val="0"/>
          <w:numId w:val="2"/>
        </w:numPr>
        <w:spacing w:after="120"/>
      </w:pPr>
      <w:r>
        <w:rPr>
          <w:rFonts w:ascii="Arial" w:cs="Arial" w:eastAsia="Arial" w:hAnsi="Arial"/>
          <w:b/>
          <w:bCs/>
          <w:sz w:val="24"/>
          <w:szCs w:val="24"/>
        </w:rPr>
        <w:t xml:space="preserve">Eviction rates: </w:t>
      </w:r>
      <w:r>
        <w:rPr>
          <w:rFonts w:ascii="Arial" w:cs="Arial" w:eastAsia="Arial" w:hAnsi="Arial"/>
          <w:sz w:val="24"/>
          <w:szCs w:val="24"/>
        </w:rPr>
        <w:t xml:space="preserve">is the ban changing the frequency of eviction filings?</w:t>
      </w:r>
    </w:p>
    <w:p>
      <w:r>
        <w:br w:type="page"/>
      </w:r>
    </w:p>
    <w:p>
      <w:pPr>
        <w:pStyle w:val="Heading1"/>
      </w:pPr>
      <w:r>
        <w:rPr>
          <w:rFonts w:ascii="Arial" w:cs="Arial" w:eastAsia="Arial" w:hAnsi="Arial"/>
        </w:rPr>
        <w:t xml:space="preserve">6. How We Avoid Misleading Ourselves</w:t>
      </w:r>
    </w:p>
    <w:p>
      <w:pPr>
        <w:spacing w:after="200"/>
      </w:pPr>
      <w:r>
        <w:rPr>
          <w:rFonts w:ascii="Arial" w:cs="Arial" w:eastAsia="Arial" w:hAnsi="Arial"/>
          <w:sz w:val="24"/>
          <w:szCs w:val="24"/>
        </w:rPr>
        <w:t xml:space="preserve">The worst outcome is thinking the ban worked when it didn’t — or thinking it failed when it actually helped. We protect against that by:</w:t>
      </w:r>
    </w:p>
    <w:p>
      <w:pPr>
        <w:pStyle w:val="ListParagraph"/>
        <w:numPr>
          <w:ilvl w:val="0"/>
          <w:numId w:val="2"/>
        </w:numPr>
        <w:spacing w:after="120"/>
      </w:pPr>
      <w:r>
        <w:rPr>
          <w:rFonts w:ascii="Arial" w:cs="Arial" w:eastAsia="Arial" w:hAnsi="Arial"/>
          <w:b/>
          <w:bCs/>
          <w:sz w:val="24"/>
          <w:szCs w:val="24"/>
        </w:rPr>
        <w:t xml:space="preserve">Checking the “before” picture carefully: </w:t>
      </w:r>
      <w:r>
        <w:rPr>
          <w:rFonts w:ascii="Arial" w:cs="Arial" w:eastAsia="Arial" w:hAnsi="Arial"/>
          <w:sz w:val="24"/>
          <w:szCs w:val="24"/>
        </w:rPr>
        <w:t xml:space="preserve">if the trends between compared groups were already different before the ban, any comparison after the ban is unreliable. We verify this upfront.</w:t>
      </w:r>
    </w:p>
    <w:p>
      <w:pPr>
        <w:pStyle w:val="ListParagraph"/>
        <w:numPr>
          <w:ilvl w:val="0"/>
          <w:numId w:val="2"/>
        </w:numPr>
        <w:spacing w:after="120"/>
      </w:pPr>
      <w:r>
        <w:rPr>
          <w:rFonts w:ascii="Arial" w:cs="Arial" w:eastAsia="Arial" w:hAnsi="Arial"/>
          <w:b/>
          <w:bCs/>
          <w:sz w:val="24"/>
          <w:szCs w:val="24"/>
        </w:rPr>
        <w:t xml:space="preserve">Testing things the ban shouldn’t affect: </w:t>
      </w:r>
      <w:r>
        <w:rPr>
          <w:rFonts w:ascii="Arial" w:cs="Arial" w:eastAsia="Arial" w:hAnsi="Arial"/>
          <w:sz w:val="24"/>
          <w:szCs w:val="24"/>
        </w:rPr>
        <w:t xml:space="preserve">if commercial office rents or home sale prices also change after the ban, something else is driving the market — not the policy.</w:t>
      </w:r>
    </w:p>
    <w:p>
      <w:pPr>
        <w:pStyle w:val="ListParagraph"/>
        <w:numPr>
          <w:ilvl w:val="0"/>
          <w:numId w:val="2"/>
        </w:numPr>
        <w:spacing w:after="120"/>
      </w:pPr>
      <w:r>
        <w:rPr>
          <w:rFonts w:ascii="Arial" w:cs="Arial" w:eastAsia="Arial" w:hAnsi="Arial"/>
          <w:b/>
          <w:bCs/>
          <w:sz w:val="24"/>
          <w:szCs w:val="24"/>
        </w:rPr>
        <w:t xml:space="preserve">Not relying on a single comparison: </w:t>
      </w:r>
      <w:r>
        <w:rPr>
          <w:rFonts w:ascii="Arial" w:cs="Arial" w:eastAsia="Arial" w:hAnsi="Arial"/>
          <w:sz w:val="24"/>
          <w:szCs w:val="24"/>
        </w:rPr>
        <w:t xml:space="preserve">we compare affected buildings to exempt ones, Chicago to suburban Cook County, and Chicago to other Midwestern cities. If they all point the same direction, we can trust it.</w:t>
      </w:r>
    </w:p>
    <w:p>
      <w:pPr>
        <w:pStyle w:val="ListParagraph"/>
        <w:numPr>
          <w:ilvl w:val="0"/>
          <w:numId w:val="2"/>
        </w:numPr>
        <w:spacing w:after="120"/>
      </w:pPr>
      <w:r>
        <w:rPr>
          <w:rFonts w:ascii="Arial" w:cs="Arial" w:eastAsia="Arial" w:hAnsi="Arial"/>
          <w:b/>
          <w:bCs/>
          <w:sz w:val="24"/>
          <w:szCs w:val="24"/>
        </w:rPr>
        <w:t xml:space="preserve">Listening to renters directly: </w:t>
      </w:r>
      <w:r>
        <w:rPr>
          <w:rFonts w:ascii="Arial" w:cs="Arial" w:eastAsia="Arial" w:hAnsi="Arial"/>
          <w:sz w:val="24"/>
          <w:szCs w:val="24"/>
        </w:rPr>
        <w:t xml:space="preserve">numbers can miss things. Surveys and conversations with real renters and landlords catch what the data doesn’t.</w:t>
      </w:r>
    </w:p>
    <w:p>
      <w:r>
        <w:br w:type="page"/>
      </w:r>
    </w:p>
    <w:p>
      <w:pPr>
        <w:pStyle w:val="Heading1"/>
      </w:pPr>
      <w:r>
        <w:rPr>
          <w:rFonts w:ascii="Arial" w:cs="Arial" w:eastAsia="Arial" w:hAnsi="Arial"/>
        </w:rPr>
        <w:t xml:space="preserve">7. The Decision Matrix: Connecting Findings to Action</w:t>
      </w:r>
    </w:p>
    <w:p>
      <w:pPr>
        <w:spacing w:after="200"/>
      </w:pPr>
      <w:r>
        <w:rPr>
          <w:rFonts w:ascii="Arial" w:cs="Arial" w:eastAsia="Arial" w:hAnsi="Arial"/>
          <w:sz w:val="24"/>
          <w:szCs w:val="24"/>
        </w:rPr>
        <w:t xml:space="preserve">This study isn’t designed to give a simple thumbs-up or thumbs-down. It’s designed to tell you exactly what’s happening and what to do about it. The table below maps each possible finding to a concrete policy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60"/>
      </w:tblGrid>
      <w:tr>
        <w:tc>
          <w:tcPr>
            <w:tcW w:type="dxa" w:w="3100"/>
            <w:tcBorders>
              <w:top w:val="single" w:color="BBBBBB" w:sz="1"/>
              <w:left w:val="single" w:color="BBBBBB" w:sz="1"/>
              <w:bottom w:val="single" w:color="BBBBBB" w:sz="1"/>
              <w:right w:val="single" w:color="BBBBB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If We Find…</w:t>
            </w:r>
          </w:p>
        </w:tc>
        <w:tc>
          <w:tcPr>
            <w:tcW w:type="dxa" w:w="3100"/>
            <w:tcBorders>
              <w:top w:val="single" w:color="BBBBBB" w:sz="1"/>
              <w:left w:val="single" w:color="BBBBBB" w:sz="1"/>
              <w:bottom w:val="single" w:color="BBBBBB" w:sz="1"/>
              <w:right w:val="single" w:color="BBBBB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c>
          <w:tcPr>
            <w:tcW w:type="dxa" w:w="3160"/>
            <w:tcBorders>
              <w:top w:val="single" w:color="BBBBBB" w:sz="1"/>
              <w:left w:val="single" w:color="BBBBBB" w:sz="1"/>
              <w:bottom w:val="single" w:color="BBBBBB" w:sz="1"/>
              <w:right w:val="single" w:color="BBBBB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What the City Could Do</w:t>
            </w:r>
          </w:p>
        </w:tc>
      </w:tr>
      <w:tr>
        <w:tc>
          <w:tcPr>
            <w:tcW w:type="dxa" w:w="31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Renters save most of what the fees used to cost</w:t>
            </w:r>
          </w:p>
        </w:tc>
        <w:tc>
          <w:tcPr>
            <w:tcW w:type="dxa" w:w="31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The ban is working. Landlords are not simply shifting costs to base rent.</w:t>
            </w:r>
          </w:p>
        </w:tc>
        <w:tc>
          <w:tcPr>
            <w:tcW w:type="dxa" w:w="31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Keep the ban. Consider expanding it to cover all building sizes.</w:t>
            </w:r>
          </w:p>
        </w:tc>
      </w:tr>
      <w:tr>
        <w:tc>
          <w:tcPr>
            <w:tcW w:type="dxa" w:w="310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Landlords raise base rent to cover about half of what they lost in fees</w:t>
            </w:r>
          </w:p>
        </w:tc>
        <w:tc>
          <w:tcPr>
            <w:tcW w:type="dxa" w:w="310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The ban is partially working, but landlords are clawing back some revenue through higher rent.</w:t>
            </w:r>
          </w:p>
        </w:tc>
        <w:tc>
          <w:tcPr>
            <w:tcW w:type="dxa" w:w="316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Pair the ban with limits on how much base rent can increase after the ordinance.</w:t>
            </w:r>
          </w:p>
        </w:tc>
      </w:tr>
      <w:tr>
        <w:tc>
          <w:tcPr>
            <w:tcW w:type="dxa" w:w="31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Landlords raise base rent by almost the full amount of the banned fees</w:t>
            </w:r>
          </w:p>
        </w:tc>
        <w:tc>
          <w:tcPr>
            <w:tcW w:type="dxa" w:w="31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The ban is cosmetic. Renters pay the same total, just under a different label.</w:t>
            </w:r>
          </w:p>
        </w:tc>
        <w:tc>
          <w:tcPr>
            <w:tcW w:type="dxa" w:w="31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Rethink the approach. Consider capping total housing costs instead of banning individual fees.</w:t>
            </w:r>
          </w:p>
        </w:tc>
      </w:tr>
      <w:tr>
        <w:tc>
          <w:tcPr>
            <w:tcW w:type="dxa" w:w="310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New fees appear that didn’t exist before the ban</w:t>
            </w:r>
          </w:p>
        </w:tc>
        <w:tc>
          <w:tcPr>
            <w:tcW w:type="dxa" w:w="310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Landlords are inventing creative workarounds (e.g., “technology fees,” “service packages”).</w:t>
            </w:r>
          </w:p>
        </w:tc>
        <w:tc>
          <w:tcPr>
            <w:tcW w:type="dxa" w:w="316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Broaden the ordinance to cover all mandatory non-rent charges, not just named fee types.</w:t>
            </w:r>
          </w:p>
        </w:tc>
      </w:tr>
      <w:tr>
        <w:tc>
          <w:tcPr>
            <w:tcW w:type="dxa" w:w="31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Small landlords start selling or converting to condos</w:t>
            </w:r>
          </w:p>
        </w:tc>
        <w:tc>
          <w:tcPr>
            <w:tcW w:type="dxa" w:w="31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The ban is squeezing smaller operators out of the market, which could reduce housing supply.</w:t>
            </w:r>
          </w:p>
        </w:tc>
        <w:tc>
          <w:tcPr>
            <w:tcW w:type="dxa" w:w="31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Exempt or support small landlords (e.g., those with fewer than a certain number of units).</w:t>
            </w:r>
          </w:p>
        </w:tc>
      </w:tr>
      <w:tr>
        <w:tc>
          <w:tcPr>
            <w:tcW w:type="dxa" w:w="310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The benefits mostly go to renters in expensive neighborhoods</w:t>
            </w:r>
          </w:p>
        </w:tc>
        <w:tc>
          <w:tcPr>
            <w:tcW w:type="dxa" w:w="310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The ban helps, but not where it’s needed most.</w:t>
            </w:r>
          </w:p>
        </w:tc>
        <w:tc>
          <w:tcPr>
            <w:tcW w:type="dxa" w:w="316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Add complementary programs for low-income neighborhoods: vouchers, direct assistance, targeted enforcement.</w:t>
            </w:r>
          </w:p>
        </w:tc>
      </w:tr>
      <w:tr>
        <w:tc>
          <w:tcPr>
            <w:tcW w:type="dxa" w:w="31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Fewer new apartment buildings get built</w:t>
            </w:r>
          </w:p>
        </w:tc>
        <w:tc>
          <w:tcPr>
            <w:tcW w:type="dxa" w:w="31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Developers see lower revenue potential and pull back, which tightens supply long-term.</w:t>
            </w:r>
          </w:p>
        </w:tc>
        <w:tc>
          <w:tcPr>
            <w:tcW w:type="dxa" w:w="31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Pair the ban with incentives for new construction: faster permits, tax breaks, density bonuses.</w:t>
            </w:r>
          </w:p>
        </w:tc>
      </w:tr>
      <w:tr>
        <w:tc>
          <w:tcPr>
            <w:tcW w:type="dxa" w:w="310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Renters can comparison-shop more easily because pricing is clearer</w:t>
            </w:r>
          </w:p>
        </w:tc>
        <w:tc>
          <w:tcPr>
            <w:tcW w:type="dxa" w:w="310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Even if the dollar savings are small, the market works better when people know the true cost upfront.</w:t>
            </w:r>
          </w:p>
        </w:tc>
        <w:tc>
          <w:tcPr>
            <w:tcW w:type="dxa" w:w="316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Keep the ban for its transparency value alone. A clearer market benefits everyone.</w:t>
            </w:r>
          </w:p>
        </w:tc>
      </w:tr>
    </w:tbl>
    <w:p>
      <w:pPr>
        <w:spacing w:before="300"/>
      </w:pPr>
    </w:p>
    <w:p>
      <w:pPr>
        <w:spacing w:after="200"/>
      </w:pPr>
      <w:r>
        <w:rPr>
          <w:rFonts w:ascii="Arial" w:cs="Arial" w:eastAsia="Arial" w:hAnsi="Arial"/>
          <w:sz w:val="24"/>
          <w:szCs w:val="24"/>
        </w:rPr>
        <w:t xml:space="preserve">These scenarios can overlap. We might find that landlords are partially raising rent AND inventing new fees AND the benefits are skewing toward expensive neighborhoods. In that case, the city would combine responses from multiple rows.</w:t>
      </w:r>
    </w:p>
    <w:p>
      <w:r>
        <w:br w:type="page"/>
      </w:r>
    </w:p>
    <w:p>
      <w:r>
        <w:br w:type="page"/>
      </w:r>
    </w:p>
    <w:p>
      <w:pPr>
        <w:pStyle w:val="Heading1"/>
      </w:pPr>
      <w:r>
        <w:rPr>
          <w:rFonts w:ascii="Arial" w:cs="Arial" w:eastAsia="Arial" w:hAnsi="Arial"/>
        </w:rPr>
        <w:t xml:space="preserve">8. What We Need to Do This</w:t>
      </w:r>
    </w:p>
    <w:p>
      <w:pPr>
        <w:pStyle w:val="ListParagraph"/>
        <w:numPr>
          <w:ilvl w:val="0"/>
          <w:numId w:val="2"/>
        </w:numPr>
        <w:spacing w:after="120"/>
      </w:pPr>
      <w:r>
        <w:rPr>
          <w:rFonts w:ascii="Arial" w:cs="Arial" w:eastAsia="Arial" w:hAnsi="Arial"/>
          <w:b/>
          <w:bCs/>
          <w:sz w:val="24"/>
          <w:szCs w:val="24"/>
        </w:rPr>
        <w:t xml:space="preserve">Access to listing data: </w:t>
      </w:r>
      <w:r>
        <w:rPr>
          <w:rFonts w:ascii="Arial" w:cs="Arial" w:eastAsia="Arial" w:hAnsi="Arial"/>
          <w:sz w:val="24"/>
          <w:szCs w:val="24"/>
        </w:rPr>
        <w:t xml:space="preserve">Zillow, Apartments.com, CoStar, Craigslist — to see what landlords are charging and advertising.</w:t>
      </w:r>
    </w:p>
    <w:p>
      <w:pPr>
        <w:pStyle w:val="ListParagraph"/>
        <w:numPr>
          <w:ilvl w:val="0"/>
          <w:numId w:val="2"/>
        </w:numPr>
        <w:spacing w:after="120"/>
      </w:pPr>
      <w:r>
        <w:rPr>
          <w:rFonts w:ascii="Arial" w:cs="Arial" w:eastAsia="Arial" w:hAnsi="Arial"/>
          <w:b/>
          <w:bCs/>
          <w:sz w:val="24"/>
          <w:szCs w:val="24"/>
        </w:rPr>
        <w:t xml:space="preserve">Real lease documents: </w:t>
      </w:r>
      <w:r>
        <w:rPr>
          <w:rFonts w:ascii="Arial" w:cs="Arial" w:eastAsia="Arial" w:hAnsi="Arial"/>
          <w:sz w:val="24"/>
          <w:szCs w:val="24"/>
        </w:rPr>
        <w:t xml:space="preserve">through legal aid orgs and tenant advocacy groups. Listings hide fees; leases don’t.</w:t>
      </w:r>
    </w:p>
    <w:p>
      <w:pPr>
        <w:pStyle w:val="ListParagraph"/>
        <w:numPr>
          <w:ilvl w:val="0"/>
          <w:numId w:val="2"/>
        </w:numPr>
        <w:spacing w:after="120"/>
      </w:pPr>
      <w:r>
        <w:rPr>
          <w:rFonts w:ascii="Arial" w:cs="Arial" w:eastAsia="Arial" w:hAnsi="Arial"/>
          <w:b/>
          <w:bCs/>
          <w:sz w:val="24"/>
          <w:szCs w:val="24"/>
        </w:rPr>
        <w:t xml:space="preserve">Public records: </w:t>
      </w:r>
      <w:r>
        <w:rPr>
          <w:rFonts w:ascii="Arial" w:cs="Arial" w:eastAsia="Arial" w:hAnsi="Arial"/>
          <w:sz w:val="24"/>
          <w:szCs w:val="24"/>
        </w:rPr>
        <w:t xml:space="preserve">building permits, eviction filings, condo conversions, and vacancy data from CoStar and Cook County.</w:t>
      </w:r>
    </w:p>
    <w:p>
      <w:pPr>
        <w:pStyle w:val="ListParagraph"/>
        <w:numPr>
          <w:ilvl w:val="0"/>
          <w:numId w:val="2"/>
        </w:numPr>
        <w:spacing w:after="120"/>
      </w:pPr>
      <w:r>
        <w:rPr>
          <w:rFonts w:ascii="Arial" w:cs="Arial" w:eastAsia="Arial" w:hAnsi="Arial"/>
          <w:b/>
          <w:bCs/>
          <w:sz w:val="24"/>
          <w:szCs w:val="24"/>
        </w:rPr>
        <w:t xml:space="preserve">Renter and landlord input: </w:t>
      </w:r>
      <w:r>
        <w:rPr>
          <w:rFonts w:ascii="Arial" w:cs="Arial" w:eastAsia="Arial" w:hAnsi="Arial"/>
          <w:sz w:val="24"/>
          <w:szCs w:val="24"/>
        </w:rPr>
        <w:t xml:space="preserve">surveys or interviews to capture what’s actually happening on the ground, not just what the numbers show.</w:t>
      </w:r>
    </w:p>
    <w:p>
      <w:pPr>
        <w:pStyle w:val="ListParagraph"/>
        <w:numPr>
          <w:ilvl w:val="0"/>
          <w:numId w:val="2"/>
        </w:numPr>
        <w:spacing w:after="120"/>
      </w:pPr>
      <w:r>
        <w:rPr>
          <w:rFonts w:ascii="Arial" w:cs="Arial" w:eastAsia="Arial" w:hAnsi="Arial"/>
          <w:b/>
          <w:bCs/>
          <w:sz w:val="24"/>
          <w:szCs w:val="24"/>
        </w:rPr>
        <w:t xml:space="preserve">An academic partner: </w:t>
      </w:r>
      <w:r>
        <w:rPr>
          <w:rFonts w:ascii="Arial" w:cs="Arial" w:eastAsia="Arial" w:hAnsi="Arial"/>
          <w:sz w:val="24"/>
          <w:szCs w:val="24"/>
        </w:rPr>
        <w:t xml:space="preserve">a university team (UChicago, Northwestern, UIC, or DePaul) for credibility and analytical rigor.</w:t>
      </w:r>
    </w:p>
    <w:p>
      <w:r>
        <w:br w:type="page"/>
      </w:r>
    </w:p>
    <w:p>
      <w:pPr>
        <w:pStyle w:val="Heading1"/>
      </w:pPr>
      <w:r>
        <w:rPr>
          <w:rFonts w:ascii="Arial" w:cs="Arial" w:eastAsia="Arial" w:hAnsi="Arial"/>
        </w:rPr>
        <w:t xml:space="preserve">9. The Bottom Line</w:t>
      </w:r>
    </w:p>
    <w:p>
      <w:pPr>
        <w:spacing w:after="200"/>
      </w:pPr>
      <w:r>
        <w:rPr>
          <w:rFonts w:ascii="Arial" w:cs="Arial" w:eastAsia="Arial" w:hAnsi="Arial"/>
          <w:sz w:val="24"/>
          <w:szCs w:val="24"/>
        </w:rPr>
        <w:t xml:space="preserve">Chicagoans are paying hundreds — sometimes thousands — in hidden fees every time they rent an apartment. A junk fee ban puts that money back in their pockets. This research plan makes sure we can prove it.</w:t>
      </w:r>
    </w:p>
    <w:p>
      <w:pPr>
        <w:spacing w:after="200"/>
      </w:pPr>
      <w:r>
        <w:rPr>
          <w:rFonts w:ascii="Arial" w:cs="Arial" w:eastAsia="Arial" w:hAnsi="Arial"/>
          <w:sz w:val="24"/>
          <w:szCs w:val="24"/>
        </w:rPr>
        <w:t xml:space="preserve">Here’s what the study delivers:</w:t>
      </w:r>
    </w:p>
    <w:p>
      <w:pPr>
        <w:pStyle w:val="ListParagraph"/>
        <w:numPr>
          <w:ilvl w:val="0"/>
          <w:numId w:val="3"/>
        </w:numPr>
        <w:spacing w:after="120"/>
      </w:pPr>
      <w:r>
        <w:rPr>
          <w:rFonts w:ascii="Arial" w:cs="Arial" w:eastAsia="Arial" w:hAnsi="Arial"/>
          <w:b/>
          <w:bCs/>
          <w:sz w:val="24"/>
          <w:szCs w:val="24"/>
        </w:rPr>
        <w:t xml:space="preserve">Immediate proof the ban is working: </w:t>
      </w:r>
      <w:r>
        <w:rPr>
          <w:rFonts w:ascii="Arial" w:cs="Arial" w:eastAsia="Arial" w:hAnsi="Arial"/>
          <w:sz w:val="24"/>
          <w:szCs w:val="24"/>
        </w:rPr>
        <w:t xml:space="preserve">within weeks of the ban, we can show how much move-in costs dropped, how many fees disappeared from listings, and what renters are saving.</w:t>
      </w:r>
    </w:p>
    <w:p>
      <w:pPr>
        <w:pStyle w:val="ListParagraph"/>
        <w:numPr>
          <w:ilvl w:val="0"/>
          <w:numId w:val="3"/>
        </w:numPr>
        <w:spacing w:after="120"/>
      </w:pPr>
      <w:r>
        <w:rPr>
          <w:rFonts w:ascii="Arial" w:cs="Arial" w:eastAsia="Arial" w:hAnsi="Arial"/>
          <w:b/>
          <w:bCs/>
          <w:sz w:val="24"/>
          <w:szCs w:val="24"/>
        </w:rPr>
        <w:t xml:space="preserve">Early warning if landlords try to game it: </w:t>
      </w:r>
      <w:r>
        <w:rPr>
          <w:rFonts w:ascii="Arial" w:cs="Arial" w:eastAsia="Arial" w:hAnsi="Arial"/>
          <w:sz w:val="24"/>
          <w:szCs w:val="24"/>
        </w:rPr>
        <w:t xml:space="preserve">real-time tracking catches rent hikes and new mystery fees before they become a talking point for opponents.</w:t>
      </w:r>
    </w:p>
    <w:p>
      <w:pPr>
        <w:pStyle w:val="ListParagraph"/>
        <w:numPr>
          <w:ilvl w:val="0"/>
          <w:numId w:val="3"/>
        </w:numPr>
        <w:spacing w:after="120"/>
      </w:pPr>
      <w:r>
        <w:rPr>
          <w:rFonts w:ascii="Arial" w:cs="Arial" w:eastAsia="Arial" w:hAnsi="Arial"/>
          <w:b/>
          <w:bCs/>
          <w:sz w:val="24"/>
          <w:szCs w:val="24"/>
        </w:rPr>
        <w:t xml:space="preserve">The full picture over time: </w:t>
      </w:r>
      <w:r>
        <w:rPr>
          <w:rFonts w:ascii="Arial" w:cs="Arial" w:eastAsia="Arial" w:hAnsi="Arial"/>
          <w:sz w:val="24"/>
          <w:szCs w:val="24"/>
        </w:rPr>
        <w:t xml:space="preserve">neighborhood-by-neighborhood data on who’s benefiting, what’s changing, and whether the ban needs any adjustment.</w:t>
      </w:r>
    </w:p>
    <w:p>
      <w:pPr>
        <w:pStyle w:val="ListParagraph"/>
        <w:numPr>
          <w:ilvl w:val="0"/>
          <w:numId w:val="3"/>
        </w:numPr>
        <w:spacing w:after="120"/>
      </w:pPr>
      <w:r>
        <w:rPr>
          <w:rFonts w:ascii="Arial" w:cs="Arial" w:eastAsia="Arial" w:hAnsi="Arial"/>
          <w:b/>
          <w:bCs/>
          <w:sz w:val="24"/>
          <w:szCs w:val="24"/>
        </w:rPr>
        <w:t xml:space="preserve">A ready-made response to every criticism: </w:t>
      </w:r>
      <w:r>
        <w:rPr>
          <w:rFonts w:ascii="Arial" w:cs="Arial" w:eastAsia="Arial" w:hAnsi="Arial"/>
          <w:sz w:val="24"/>
          <w:szCs w:val="24"/>
        </w:rPr>
        <w:t xml:space="preserve">the decision matrix maps every possible objection to a concrete, evidence-backed answer.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Research Sketch: Chicago Junk Fee Ban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3A4B"/>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2D6A8F"/>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2026-04-08T18:42:11.651Z</dcterms:created>
  <dcterms:modified xsi:type="dcterms:W3CDTF">2026-04-08T18:42:11.651Z</dcterms:modified>
</cp:coreProperties>
</file>

<file path=docProps/custom.xml><?xml version="1.0" encoding="utf-8"?>
<Properties xmlns="http://schemas.openxmlformats.org/officeDocument/2006/custom-properties" xmlns:vt="http://schemas.openxmlformats.org/officeDocument/2006/docPropsVTypes"/>
</file>