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2353A" w:rsidRDefault="0029091D">
      <w:pPr>
        <w:pStyle w:val="Heading1"/>
        <w:spacing w:after="150" w:line="275" w:lineRule="auto"/>
      </w:pPr>
      <w:bookmarkStart w:id="0" w:name="_awk5cygtiq2r" w:colFirst="0" w:colLast="0"/>
      <w:bookmarkEnd w:id="0"/>
      <w:r>
        <w:t xml:space="preserve">              Risk Management Plan </w:t>
      </w:r>
      <w:r w:rsidR="0072353A">
        <w:pict>
          <v:rect id="_x0000_i1025" style="width:0;height:1.5pt" o:hralign="center" o:hrstd="t" o:hr="t" fillcolor="#a0a0a0" stroked="f"/>
        </w:pict>
      </w:r>
    </w:p>
    <w:p w:rsidR="0072353A" w:rsidRDefault="0029091D">
      <w:pPr>
        <w:pStyle w:val="Heading2"/>
        <w:spacing w:after="150" w:line="275" w:lineRule="auto"/>
      </w:pPr>
      <w:bookmarkStart w:id="1" w:name="_qyce30gjqwcj" w:colFirst="0" w:colLast="0"/>
      <w:bookmarkEnd w:id="1"/>
      <w:r>
        <w:t>1. Risk Identification</w:t>
      </w:r>
    </w:p>
    <w:p w:rsidR="0072353A" w:rsidRDefault="0029091D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15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These risks are mapped to the core sections of the </w:t>
      </w:r>
      <w:proofErr w:type="spellStart"/>
      <w:r>
        <w:rPr>
          <w:rFonts w:ascii="Google Sans" w:eastAsia="Google Sans" w:hAnsi="Google Sans" w:cs="Google Sans"/>
          <w:color w:val="1F1F1F"/>
        </w:rPr>
        <w:t>Vendora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WBS, including Infrastructure, Engagement, and Core Platform development.</w:t>
      </w:r>
    </w:p>
    <w:p w:rsidR="0072353A" w:rsidRDefault="0072353A">
      <w:pPr>
        <w:pStyle w:val="normal0"/>
        <w:pBdr>
          <w:top w:val="nil"/>
          <w:left w:val="nil"/>
          <w:bottom w:val="nil"/>
          <w:right w:val="nil"/>
          <w:between w:val="nil"/>
        </w:pBdr>
        <w:rPr>
          <w:rFonts w:ascii="Google Sans" w:eastAsia="Google Sans" w:hAnsi="Google Sans" w:cs="Google Sans"/>
          <w:color w:val="1F1F1F"/>
        </w:rPr>
      </w:pPr>
    </w:p>
    <w:tbl>
      <w:tblPr>
        <w:tblStyle w:val="a"/>
        <w:tblW w:w="9360" w:type="dxa"/>
        <w:tblInd w:w="-9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/>
      </w:tblPr>
      <w:tblGrid>
        <w:gridCol w:w="3120"/>
        <w:gridCol w:w="3120"/>
        <w:gridCol w:w="3120"/>
      </w:tblGrid>
      <w:tr w:rsidR="0072353A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180" w:type="dxa"/>
            </w:tcMar>
          </w:tcPr>
          <w:p w:rsidR="0072353A" w:rsidRDefault="0029091D" w:rsidP="00AD041E">
            <w:pPr>
              <w:pStyle w:val="Heading3"/>
              <w:spacing w:line="275" w:lineRule="auto"/>
              <w:jc w:val="center"/>
            </w:pPr>
            <w:bookmarkStart w:id="2" w:name="_i1616zhhsuji" w:colFirst="0" w:colLast="0"/>
            <w:bookmarkEnd w:id="2"/>
            <w:r>
              <w:t>Risk ID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180" w:type="dxa"/>
            </w:tcMar>
          </w:tcPr>
          <w:p w:rsidR="0072353A" w:rsidRDefault="0029091D" w:rsidP="00AD041E">
            <w:pPr>
              <w:pStyle w:val="Heading3"/>
              <w:spacing w:line="275" w:lineRule="auto"/>
              <w:jc w:val="center"/>
            </w:pPr>
            <w:bookmarkStart w:id="3" w:name="_9uc1as8dy46y" w:colFirst="0" w:colLast="0"/>
            <w:bookmarkEnd w:id="3"/>
            <w:r>
              <w:t>Description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</w:tcPr>
          <w:p w:rsidR="0072353A" w:rsidRDefault="0029091D" w:rsidP="00AD041E">
            <w:pPr>
              <w:pStyle w:val="Heading3"/>
              <w:spacing w:line="275" w:lineRule="auto"/>
              <w:jc w:val="center"/>
            </w:pPr>
            <w:bookmarkStart w:id="4" w:name="_wfkcgj6vdpze" w:colFirst="0" w:colLast="0"/>
            <w:bookmarkEnd w:id="4"/>
            <w:r>
              <w:t>Related WBS Area</w:t>
            </w:r>
          </w:p>
        </w:tc>
      </w:tr>
      <w:tr w:rsidR="0072353A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180" w:type="dxa"/>
            </w:tcMar>
          </w:tcPr>
          <w:p w:rsidR="0072353A" w:rsidRDefault="0029091D" w:rsidP="00AD041E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jc w:val="center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R-01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180" w:type="dxa"/>
            </w:tcMar>
          </w:tcPr>
          <w:p w:rsidR="0072353A" w:rsidRDefault="0029091D" w:rsidP="00AD041E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jc w:val="center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Bugs in login/authentication system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</w:tcPr>
          <w:p w:rsidR="0072353A" w:rsidRDefault="0029091D" w:rsidP="00AD041E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jc w:val="center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2.1 Secure User Management</w:t>
            </w:r>
          </w:p>
        </w:tc>
      </w:tr>
      <w:tr w:rsidR="0072353A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180" w:type="dxa"/>
            </w:tcMar>
          </w:tcPr>
          <w:p w:rsidR="0072353A" w:rsidRDefault="0029091D" w:rsidP="00AD041E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jc w:val="center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R-02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180" w:type="dxa"/>
            </w:tcMar>
          </w:tcPr>
          <w:p w:rsidR="0072353A" w:rsidRDefault="0029091D" w:rsidP="00AD041E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jc w:val="center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Database schema issues/inconsistency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</w:tcPr>
          <w:p w:rsidR="0072353A" w:rsidRDefault="0029091D" w:rsidP="00AD041E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jc w:val="center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1.3.2 Database Design</w:t>
            </w:r>
          </w:p>
        </w:tc>
      </w:tr>
      <w:tr w:rsidR="0072353A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180" w:type="dxa"/>
            </w:tcMar>
          </w:tcPr>
          <w:p w:rsidR="0072353A" w:rsidRDefault="0029091D" w:rsidP="00AD041E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jc w:val="center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R-03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180" w:type="dxa"/>
            </w:tcMar>
          </w:tcPr>
          <w:p w:rsidR="0072353A" w:rsidRDefault="0029091D" w:rsidP="00AD041E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jc w:val="center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CRUD product module malfunction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</w:tcPr>
          <w:p w:rsidR="0072353A" w:rsidRDefault="0029091D" w:rsidP="00AD041E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jc w:val="center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2.2 Product Management</w:t>
            </w:r>
          </w:p>
        </w:tc>
      </w:tr>
      <w:tr w:rsidR="0072353A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180" w:type="dxa"/>
            </w:tcMar>
          </w:tcPr>
          <w:p w:rsidR="0072353A" w:rsidRDefault="0029091D" w:rsidP="00AD041E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jc w:val="center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R-04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180" w:type="dxa"/>
            </w:tcMar>
          </w:tcPr>
          <w:p w:rsidR="0072353A" w:rsidRDefault="0029091D" w:rsidP="00AD041E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jc w:val="center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Image upload failures/storage overflow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</w:tcPr>
          <w:p w:rsidR="0072353A" w:rsidRDefault="0029091D" w:rsidP="00AD041E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jc w:val="center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2.2.4 / 5.2.1</w:t>
            </w:r>
          </w:p>
        </w:tc>
      </w:tr>
      <w:tr w:rsidR="0072353A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180" w:type="dxa"/>
            </w:tcMar>
          </w:tcPr>
          <w:p w:rsidR="0072353A" w:rsidRDefault="0029091D" w:rsidP="00AD041E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jc w:val="center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R-05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180" w:type="dxa"/>
            </w:tcMar>
          </w:tcPr>
          <w:p w:rsidR="0072353A" w:rsidRDefault="0029091D" w:rsidP="00AD041E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jc w:val="center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Slow search/catalog performance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</w:tcPr>
          <w:p w:rsidR="0072353A" w:rsidRDefault="0029091D" w:rsidP="00AD041E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jc w:val="center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2.3 Buyer Experience</w:t>
            </w:r>
          </w:p>
        </w:tc>
      </w:tr>
      <w:tr w:rsidR="0072353A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180" w:type="dxa"/>
            </w:tcMar>
          </w:tcPr>
          <w:p w:rsidR="0072353A" w:rsidRDefault="0029091D" w:rsidP="00AD041E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jc w:val="center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lastRenderedPageBreak/>
              <w:t>R-06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180" w:type="dxa"/>
            </w:tcMar>
          </w:tcPr>
          <w:p w:rsidR="0072353A" w:rsidRDefault="0029091D" w:rsidP="00AD041E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jc w:val="center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Shopping cart data persistence failure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</w:tcPr>
          <w:p w:rsidR="0072353A" w:rsidRDefault="0029091D" w:rsidP="00AD041E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jc w:val="center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2.3.4</w:t>
            </w:r>
          </w:p>
        </w:tc>
      </w:tr>
      <w:tr w:rsidR="0072353A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180" w:type="dxa"/>
            </w:tcMar>
          </w:tcPr>
          <w:p w:rsidR="0072353A" w:rsidRDefault="0029091D" w:rsidP="00AD041E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jc w:val="center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R-07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180" w:type="dxa"/>
            </w:tcMar>
          </w:tcPr>
          <w:p w:rsidR="0072353A" w:rsidRDefault="0029091D" w:rsidP="00AD041E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jc w:val="center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Checkout/order flow errors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</w:tcPr>
          <w:p w:rsidR="0072353A" w:rsidRDefault="0029091D" w:rsidP="00AD041E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jc w:val="center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2.4 Order Processing</w:t>
            </w:r>
          </w:p>
        </w:tc>
      </w:tr>
      <w:tr w:rsidR="0072353A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180" w:type="dxa"/>
            </w:tcMar>
          </w:tcPr>
          <w:p w:rsidR="0072353A" w:rsidRDefault="0029091D" w:rsidP="00AD041E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jc w:val="center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R-08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180" w:type="dxa"/>
            </w:tcMar>
          </w:tcPr>
          <w:p w:rsidR="0072353A" w:rsidRDefault="0029091D" w:rsidP="00AD041E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jc w:val="center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AI API rate limits or downtime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</w:tcPr>
          <w:p w:rsidR="0072353A" w:rsidRDefault="0029091D" w:rsidP="00AD041E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jc w:val="center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3.1 AI Assistant</w:t>
            </w:r>
          </w:p>
        </w:tc>
      </w:tr>
      <w:tr w:rsidR="0072353A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180" w:type="dxa"/>
            </w:tcMar>
          </w:tcPr>
          <w:p w:rsidR="0072353A" w:rsidRDefault="0029091D" w:rsidP="00AD041E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jc w:val="center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R-09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180" w:type="dxa"/>
            </w:tcMar>
          </w:tcPr>
          <w:p w:rsidR="0072353A" w:rsidRDefault="0029091D" w:rsidP="00AD041E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jc w:val="center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Poor AI-generated descriptions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</w:tcPr>
          <w:p w:rsidR="0072353A" w:rsidRDefault="0029091D" w:rsidP="00AD041E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jc w:val="center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3.1 / 5.1.3</w:t>
            </w:r>
          </w:p>
        </w:tc>
      </w:tr>
      <w:tr w:rsidR="0072353A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180" w:type="dxa"/>
            </w:tcMar>
          </w:tcPr>
          <w:p w:rsidR="0072353A" w:rsidRDefault="0029091D" w:rsidP="00AD041E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jc w:val="center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R-10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180" w:type="dxa"/>
            </w:tcMar>
          </w:tcPr>
          <w:p w:rsidR="0072353A" w:rsidRDefault="0029091D" w:rsidP="00AD041E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jc w:val="center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Payment gateway integration failure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</w:tcPr>
          <w:p w:rsidR="0072353A" w:rsidRDefault="0029091D" w:rsidP="00AD041E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jc w:val="center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3.3 Financial Integration</w:t>
            </w:r>
          </w:p>
        </w:tc>
      </w:tr>
      <w:tr w:rsidR="0072353A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180" w:type="dxa"/>
            </w:tcMar>
          </w:tcPr>
          <w:p w:rsidR="0072353A" w:rsidRDefault="0029091D" w:rsidP="00AD041E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jc w:val="center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R-11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180" w:type="dxa"/>
            </w:tcMar>
          </w:tcPr>
          <w:p w:rsidR="0072353A" w:rsidRDefault="0029091D" w:rsidP="00AD041E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jc w:val="center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Dashboard displays incorrect data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</w:tcPr>
          <w:p w:rsidR="0072353A" w:rsidRDefault="0029091D" w:rsidP="00AD041E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jc w:val="center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4.1 Dashboard</w:t>
            </w:r>
          </w:p>
        </w:tc>
      </w:tr>
      <w:tr w:rsidR="0072353A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180" w:type="dxa"/>
            </w:tcMar>
          </w:tcPr>
          <w:p w:rsidR="0072353A" w:rsidRDefault="0029091D" w:rsidP="00AD041E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jc w:val="center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R-12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180" w:type="dxa"/>
            </w:tcMar>
          </w:tcPr>
          <w:p w:rsidR="0072353A" w:rsidRDefault="0029091D" w:rsidP="00AD041E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jc w:val="center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Tight project deadline/delayed tasks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</w:tcPr>
          <w:p w:rsidR="0072353A" w:rsidRDefault="0029091D" w:rsidP="00AD041E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jc w:val="center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Entire Project</w:t>
            </w:r>
          </w:p>
        </w:tc>
      </w:tr>
      <w:tr w:rsidR="0072353A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180" w:type="dxa"/>
            </w:tcMar>
          </w:tcPr>
          <w:p w:rsidR="0072353A" w:rsidRDefault="0029091D" w:rsidP="00AD041E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jc w:val="center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R-13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180" w:type="dxa"/>
            </w:tcMar>
          </w:tcPr>
          <w:p w:rsidR="0072353A" w:rsidRDefault="0029091D" w:rsidP="00AD041E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jc w:val="center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Deployment/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serverless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timeout issues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</w:tcPr>
          <w:p w:rsidR="0072353A" w:rsidRDefault="0029091D" w:rsidP="00AD041E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jc w:val="center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5.2.2 / 6.3.1</w:t>
            </w:r>
          </w:p>
        </w:tc>
      </w:tr>
      <w:tr w:rsidR="0072353A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180" w:type="dxa"/>
            </w:tcMar>
          </w:tcPr>
          <w:p w:rsidR="0072353A" w:rsidRDefault="0029091D" w:rsidP="00AD041E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jc w:val="center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lastRenderedPageBreak/>
              <w:t>R-14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180" w:type="dxa"/>
            </w:tcMar>
          </w:tcPr>
          <w:p w:rsidR="0072353A" w:rsidRDefault="0029091D" w:rsidP="00AD041E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jc w:val="center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Team miscommunication/merge conflicts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</w:tcPr>
          <w:p w:rsidR="0072353A" w:rsidRDefault="0029091D" w:rsidP="00AD041E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jc w:val="center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1.2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GitHub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/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ClickUp</w:t>
            </w:r>
            <w:proofErr w:type="spellEnd"/>
          </w:p>
        </w:tc>
      </w:tr>
      <w:tr w:rsidR="0072353A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180" w:type="dxa"/>
            </w:tcMar>
          </w:tcPr>
          <w:p w:rsidR="0072353A" w:rsidRDefault="0029091D" w:rsidP="00AD041E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jc w:val="center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R-15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180" w:type="dxa"/>
            </w:tcMar>
          </w:tcPr>
          <w:p w:rsidR="0072353A" w:rsidRDefault="0029091D" w:rsidP="00AD041E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jc w:val="center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Insufficient testing before submission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</w:tcPr>
          <w:p w:rsidR="0072353A" w:rsidRDefault="0029091D" w:rsidP="00AD041E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jc w:val="center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5.1 QA</w:t>
            </w:r>
          </w:p>
        </w:tc>
      </w:tr>
    </w:tbl>
    <w:p w:rsidR="0072353A" w:rsidRDefault="0072353A">
      <w:pPr>
        <w:pStyle w:val="Heading2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pict>
          <v:rect id="_x0000_i1026" style="width:0;height:1.5pt" o:hralign="center" o:hrstd="t" o:hr="t" fillcolor="#a0a0a0" stroked="f"/>
        </w:pict>
      </w:r>
    </w:p>
    <w:p w:rsidR="0072353A" w:rsidRDefault="0072353A">
      <w:pPr>
        <w:pStyle w:val="Heading2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</w:p>
    <w:p w:rsidR="0072353A" w:rsidRDefault="0029091D">
      <w:pPr>
        <w:pStyle w:val="Heading2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2. Risk Prioritization Matrix</w:t>
      </w:r>
    </w:p>
    <w:p w:rsidR="0072353A" w:rsidRDefault="0029091D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150" w:line="275" w:lineRule="auto"/>
        <w:rPr>
          <w:b/>
          <w:bCs/>
          <w:color w:val="1F1F1F"/>
          <w:sz w:val="28"/>
          <w:szCs w:val="28"/>
        </w:rPr>
      </w:pPr>
      <w:r>
        <w:rPr>
          <w:rFonts w:ascii="Google Sans" w:eastAsia="Google Sans" w:hAnsi="Google Sans" w:cs="Google Sans"/>
          <w:color w:val="1F1F1F"/>
        </w:rPr>
        <w:t xml:space="preserve">We categorize risks by </w:t>
      </w:r>
      <w:r>
        <w:rPr>
          <w:rFonts w:ascii="Google Sans" w:eastAsia="Google Sans" w:hAnsi="Google Sans" w:cs="Google Sans"/>
          <w:b/>
          <w:bCs/>
          <w:color w:val="1F1F1F"/>
        </w:rPr>
        <w:t>Probability</w:t>
      </w:r>
      <w:r>
        <w:rPr>
          <w:rFonts w:ascii="Google Sans" w:eastAsia="Google Sans" w:hAnsi="Google Sans" w:cs="Google Sans"/>
          <w:color w:val="1F1F1F"/>
        </w:rPr>
        <w:t xml:space="preserve"> (likelihood of occurring) and </w:t>
      </w:r>
      <w:r>
        <w:rPr>
          <w:rFonts w:ascii="Google Sans" w:eastAsia="Google Sans" w:hAnsi="Google Sans" w:cs="Google Sans"/>
          <w:b/>
          <w:bCs/>
          <w:color w:val="1F1F1F"/>
        </w:rPr>
        <w:t>Impact</w:t>
      </w:r>
      <w:r>
        <w:rPr>
          <w:rFonts w:ascii="Google Sans" w:eastAsia="Google Sans" w:hAnsi="Google Sans" w:cs="Google Sans"/>
          <w:color w:val="1F1F1F"/>
        </w:rPr>
        <w:t xml:space="preserve"> (severity of the effect on the project).</w:t>
      </w:r>
    </w:p>
    <w:tbl>
      <w:tblPr>
        <w:tblStyle w:val="a0"/>
        <w:tblW w:w="9360" w:type="dxa"/>
        <w:tblInd w:w="-9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/>
      </w:tblPr>
      <w:tblGrid>
        <w:gridCol w:w="2325"/>
        <w:gridCol w:w="2340"/>
        <w:gridCol w:w="2355"/>
        <w:gridCol w:w="2340"/>
      </w:tblGrid>
      <w:tr w:rsidR="0072353A">
        <w:tc>
          <w:tcPr>
            <w:tcW w:w="23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180" w:type="dxa"/>
            </w:tcMar>
          </w:tcPr>
          <w:p w:rsidR="0072353A" w:rsidRDefault="0029091D">
            <w:pPr>
              <w:pStyle w:val="normal0"/>
              <w:spacing w:before="240" w:after="240" w:line="275" w:lineRule="auto"/>
              <w:rPr>
                <w:b/>
                <w:bCs/>
                <w:color w:val="1F1F1F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1F1F1F"/>
              </w:rPr>
              <w:t>PROBABILITY / IMPACT →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180" w:type="dxa"/>
            </w:tcMar>
          </w:tcPr>
          <w:p w:rsidR="0072353A" w:rsidRDefault="0029091D">
            <w:pPr>
              <w:pStyle w:val="normal0"/>
              <w:spacing w:before="240" w:after="240" w:line="275" w:lineRule="auto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Low Impact (1)</w:t>
            </w:r>
          </w:p>
        </w:tc>
        <w:tc>
          <w:tcPr>
            <w:tcW w:w="23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180" w:type="dxa"/>
            </w:tcMar>
          </w:tcPr>
          <w:p w:rsidR="0072353A" w:rsidRDefault="0029091D">
            <w:pPr>
              <w:pStyle w:val="normal0"/>
              <w:spacing w:before="240" w:after="240" w:line="275" w:lineRule="auto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Medium Impact (2)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</w:tcPr>
          <w:p w:rsidR="0072353A" w:rsidRDefault="0029091D">
            <w:pPr>
              <w:pStyle w:val="normal0"/>
              <w:spacing w:before="240" w:after="240" w:line="275" w:lineRule="auto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High Impact (3)</w:t>
            </w:r>
          </w:p>
        </w:tc>
      </w:tr>
      <w:tr w:rsidR="0072353A">
        <w:tc>
          <w:tcPr>
            <w:tcW w:w="23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180" w:type="dxa"/>
            </w:tcMar>
          </w:tcPr>
          <w:p w:rsidR="0072353A" w:rsidRDefault="0029091D">
            <w:pPr>
              <w:pStyle w:val="normal0"/>
              <w:spacing w:before="240" w:after="240" w:line="275" w:lineRule="auto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High (3)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00"/>
            <w:tcMar>
              <w:top w:w="240" w:type="dxa"/>
              <w:left w:w="0" w:type="dxa"/>
              <w:bottom w:w="240" w:type="dxa"/>
              <w:right w:w="180" w:type="dxa"/>
            </w:tcMar>
          </w:tcPr>
          <w:p w:rsidR="0072353A" w:rsidRDefault="0029091D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b/>
                <w:bCs/>
                <w:color w:val="1F1F1F"/>
                <w:highlight w:val="green"/>
              </w:rPr>
            </w:pPr>
            <w:r>
              <w:rPr>
                <w:b/>
                <w:bCs/>
                <w:color w:val="1F1F1F"/>
                <w:highlight w:val="green"/>
              </w:rPr>
              <w:t>—</w:t>
            </w:r>
          </w:p>
        </w:tc>
        <w:tc>
          <w:tcPr>
            <w:tcW w:w="23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tcMar>
              <w:top w:w="240" w:type="dxa"/>
              <w:left w:w="0" w:type="dxa"/>
              <w:bottom w:w="240" w:type="dxa"/>
              <w:right w:w="180" w:type="dxa"/>
            </w:tcMar>
          </w:tcPr>
          <w:p w:rsidR="0072353A" w:rsidRDefault="0029091D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b/>
                <w:bCs/>
                <w:color w:val="1F1F1F"/>
                <w:highlight w:val="yellow"/>
              </w:rPr>
            </w:pPr>
            <w:r>
              <w:rPr>
                <w:b/>
                <w:bCs/>
                <w:color w:val="1F1F1F"/>
                <w:highlight w:val="yellow"/>
              </w:rPr>
              <w:t>—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0000"/>
            <w:tcMar>
              <w:top w:w="240" w:type="dxa"/>
              <w:left w:w="0" w:type="dxa"/>
              <w:bottom w:w="240" w:type="dxa"/>
              <w:right w:w="0" w:type="dxa"/>
            </w:tcMar>
          </w:tcPr>
          <w:p w:rsidR="0072353A" w:rsidRDefault="0029091D">
            <w:pPr>
              <w:pStyle w:val="normal0"/>
              <w:spacing w:before="240" w:after="240" w:line="275" w:lineRule="auto"/>
              <w:rPr>
                <w:b/>
                <w:bCs/>
                <w:color w:val="1F1F1F"/>
                <w:highlight w:val="red"/>
              </w:rPr>
            </w:pPr>
            <w:r>
              <w:rPr>
                <w:b/>
                <w:bCs/>
                <w:color w:val="1F1F1F"/>
                <w:highlight w:val="red"/>
              </w:rPr>
              <w:t>R-07, R-08, R-12</w:t>
            </w:r>
          </w:p>
        </w:tc>
      </w:tr>
      <w:tr w:rsidR="0072353A">
        <w:tc>
          <w:tcPr>
            <w:tcW w:w="23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180" w:type="dxa"/>
            </w:tcMar>
          </w:tcPr>
          <w:p w:rsidR="0072353A" w:rsidRDefault="0029091D">
            <w:pPr>
              <w:pStyle w:val="normal0"/>
              <w:spacing w:before="240" w:after="240" w:line="275" w:lineRule="auto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Medium (2)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00"/>
            <w:tcMar>
              <w:top w:w="240" w:type="dxa"/>
              <w:left w:w="0" w:type="dxa"/>
              <w:bottom w:w="240" w:type="dxa"/>
              <w:right w:w="180" w:type="dxa"/>
            </w:tcMar>
          </w:tcPr>
          <w:p w:rsidR="0072353A" w:rsidRDefault="0029091D">
            <w:pPr>
              <w:pStyle w:val="normal0"/>
              <w:spacing w:before="240" w:after="240" w:line="275" w:lineRule="auto"/>
              <w:rPr>
                <w:color w:val="1F1F1F"/>
                <w:highlight w:val="green"/>
              </w:rPr>
            </w:pPr>
            <w:r>
              <w:rPr>
                <w:color w:val="1F1F1F"/>
                <w:highlight w:val="green"/>
              </w:rPr>
              <w:t>—</w:t>
            </w:r>
          </w:p>
        </w:tc>
        <w:tc>
          <w:tcPr>
            <w:tcW w:w="23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00"/>
            <w:tcMar>
              <w:top w:w="240" w:type="dxa"/>
              <w:left w:w="0" w:type="dxa"/>
              <w:bottom w:w="240" w:type="dxa"/>
              <w:right w:w="180" w:type="dxa"/>
            </w:tcMar>
          </w:tcPr>
          <w:p w:rsidR="0072353A" w:rsidRDefault="0029091D">
            <w:pPr>
              <w:pStyle w:val="normal0"/>
              <w:spacing w:before="240" w:after="240" w:line="275" w:lineRule="auto"/>
              <w:rPr>
                <w:b/>
                <w:bCs/>
                <w:color w:val="1F1F1F"/>
                <w:highlight w:val="green"/>
              </w:rPr>
            </w:pPr>
            <w:r>
              <w:rPr>
                <w:b/>
                <w:bCs/>
                <w:color w:val="1F1F1F"/>
                <w:highlight w:val="green"/>
              </w:rPr>
              <w:t>R-02, R-04, R-05, R-06, R-14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tcMar>
              <w:top w:w="240" w:type="dxa"/>
              <w:left w:w="0" w:type="dxa"/>
              <w:bottom w:w="240" w:type="dxa"/>
              <w:right w:w="0" w:type="dxa"/>
            </w:tcMar>
          </w:tcPr>
          <w:p w:rsidR="0072353A" w:rsidRDefault="0029091D">
            <w:pPr>
              <w:pStyle w:val="normal0"/>
              <w:spacing w:before="240" w:after="240" w:line="275" w:lineRule="auto"/>
              <w:rPr>
                <w:b/>
                <w:bCs/>
                <w:color w:val="1F1F1F"/>
                <w:highlight w:val="yellow"/>
              </w:rPr>
            </w:pPr>
            <w:r>
              <w:rPr>
                <w:b/>
                <w:bCs/>
                <w:color w:val="1F1F1F"/>
                <w:highlight w:val="yellow"/>
              </w:rPr>
              <w:t>R-01, R-03, R-10, R-13, R-15</w:t>
            </w:r>
          </w:p>
        </w:tc>
      </w:tr>
      <w:tr w:rsidR="0072353A">
        <w:tc>
          <w:tcPr>
            <w:tcW w:w="23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180" w:type="dxa"/>
            </w:tcMar>
          </w:tcPr>
          <w:p w:rsidR="0072353A" w:rsidRDefault="0029091D">
            <w:pPr>
              <w:pStyle w:val="normal0"/>
              <w:spacing w:before="240" w:after="240" w:line="275" w:lineRule="auto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Low (1)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tcMar>
              <w:top w:w="240" w:type="dxa"/>
              <w:left w:w="0" w:type="dxa"/>
              <w:bottom w:w="240" w:type="dxa"/>
              <w:right w:w="180" w:type="dxa"/>
            </w:tcMar>
          </w:tcPr>
          <w:p w:rsidR="0072353A" w:rsidRDefault="0029091D">
            <w:pPr>
              <w:pStyle w:val="normal0"/>
              <w:spacing w:before="240" w:after="240" w:line="275" w:lineRule="auto"/>
              <w:rPr>
                <w:color w:val="1F1F1F"/>
                <w:highlight w:val="yellow"/>
              </w:rPr>
            </w:pPr>
            <w:r>
              <w:rPr>
                <w:color w:val="1F1F1F"/>
                <w:highlight w:val="yellow"/>
              </w:rPr>
              <w:t>—</w:t>
            </w:r>
          </w:p>
        </w:tc>
        <w:tc>
          <w:tcPr>
            <w:tcW w:w="23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00"/>
            <w:tcMar>
              <w:top w:w="240" w:type="dxa"/>
              <w:left w:w="0" w:type="dxa"/>
              <w:bottom w:w="240" w:type="dxa"/>
              <w:right w:w="180" w:type="dxa"/>
            </w:tcMar>
          </w:tcPr>
          <w:p w:rsidR="0072353A" w:rsidRDefault="0029091D">
            <w:pPr>
              <w:pStyle w:val="normal0"/>
              <w:spacing w:before="240" w:after="240" w:line="275" w:lineRule="auto"/>
              <w:rPr>
                <w:b/>
                <w:bCs/>
                <w:color w:val="1F1F1F"/>
                <w:highlight w:val="green"/>
              </w:rPr>
            </w:pPr>
            <w:r>
              <w:rPr>
                <w:b/>
                <w:bCs/>
                <w:color w:val="1F1F1F"/>
                <w:highlight w:val="green"/>
              </w:rPr>
              <w:t>R-09, R-11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00"/>
            <w:tcMar>
              <w:top w:w="240" w:type="dxa"/>
              <w:left w:w="0" w:type="dxa"/>
              <w:bottom w:w="240" w:type="dxa"/>
              <w:right w:w="0" w:type="dxa"/>
            </w:tcMar>
          </w:tcPr>
          <w:p w:rsidR="0072353A" w:rsidRDefault="0029091D">
            <w:pPr>
              <w:pStyle w:val="normal0"/>
              <w:spacing w:before="240" w:after="240" w:line="275" w:lineRule="auto"/>
              <w:rPr>
                <w:color w:val="1F1F1F"/>
                <w:highlight w:val="green"/>
              </w:rPr>
            </w:pPr>
            <w:r>
              <w:rPr>
                <w:color w:val="1F1F1F"/>
                <w:highlight w:val="green"/>
              </w:rPr>
              <w:t>—</w:t>
            </w:r>
          </w:p>
        </w:tc>
      </w:tr>
    </w:tbl>
    <w:p w:rsidR="0072353A" w:rsidRDefault="0029091D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15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Critical Zone:</w:t>
      </w:r>
      <w:r>
        <w:rPr>
          <w:rFonts w:ascii="Google Sans" w:eastAsia="Google Sans" w:hAnsi="Google Sans" w:cs="Google Sans"/>
          <w:color w:val="1F1F1F"/>
        </w:rPr>
        <w:t xml:space="preserve"> The top-right corner features the "Villain Trio": </w:t>
      </w:r>
      <w:r>
        <w:rPr>
          <w:rFonts w:ascii="Google Sans" w:eastAsia="Google Sans" w:hAnsi="Google Sans" w:cs="Google Sans"/>
          <w:b/>
          <w:bCs/>
          <w:color w:val="1F1F1F"/>
        </w:rPr>
        <w:t>Checkout Failures (R-07)</w:t>
      </w:r>
      <w:r>
        <w:rPr>
          <w:rFonts w:ascii="Google Sans" w:eastAsia="Google Sans" w:hAnsi="Google Sans" w:cs="Google Sans"/>
          <w:color w:val="1F1F1F"/>
        </w:rPr>
        <w:t xml:space="preserve">, </w:t>
      </w:r>
      <w:r>
        <w:rPr>
          <w:rFonts w:ascii="Google Sans" w:eastAsia="Google Sans" w:hAnsi="Google Sans" w:cs="Google Sans"/>
          <w:b/>
          <w:bCs/>
          <w:color w:val="1F1F1F"/>
        </w:rPr>
        <w:t>AI Dependencies (R-08)</w:t>
      </w:r>
      <w:r>
        <w:rPr>
          <w:rFonts w:ascii="Google Sans" w:eastAsia="Google Sans" w:hAnsi="Google Sans" w:cs="Google Sans"/>
          <w:color w:val="1F1F1F"/>
        </w:rPr>
        <w:t xml:space="preserve">, and </w:t>
      </w:r>
      <w:r>
        <w:rPr>
          <w:rFonts w:ascii="Google Sans" w:eastAsia="Google Sans" w:hAnsi="Google Sans" w:cs="Google Sans"/>
          <w:b/>
          <w:bCs/>
          <w:color w:val="1F1F1F"/>
        </w:rPr>
        <w:t>Deadline Pressure (R-12)</w:t>
      </w:r>
      <w:r>
        <w:rPr>
          <w:rFonts w:ascii="Google Sans" w:eastAsia="Google Sans" w:hAnsi="Google Sans" w:cs="Google Sans"/>
          <w:color w:val="1F1F1F"/>
        </w:rPr>
        <w:t xml:space="preserve">. These have the highest potential to </w:t>
      </w:r>
      <w:r>
        <w:rPr>
          <w:rFonts w:ascii="Google Sans" w:eastAsia="Google Sans" w:hAnsi="Google Sans" w:cs="Google Sans"/>
          <w:color w:val="1F1F1F"/>
        </w:rPr>
        <w:lastRenderedPageBreak/>
        <w:t xml:space="preserve">derail </w:t>
      </w:r>
      <w:proofErr w:type="spellStart"/>
      <w:r>
        <w:rPr>
          <w:rFonts w:ascii="Google Sans" w:eastAsia="Google Sans" w:hAnsi="Google Sans" w:cs="Google Sans"/>
          <w:color w:val="1F1F1F"/>
        </w:rPr>
        <w:t>Vendora's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delivery.</w:t>
      </w:r>
    </w:p>
    <w:p w:rsidR="0072353A" w:rsidRDefault="0072353A">
      <w:pPr>
        <w:pStyle w:val="Heading2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pict>
          <v:rect id="_x0000_i1027" style="width:0;height:1.5pt" o:hralign="center" o:hrstd="t" o:hr="t" fillcolor="#a0a0a0" stroked="f"/>
        </w:pict>
      </w:r>
      <w:r w:rsidR="0029091D">
        <w:rPr>
          <w:rFonts w:ascii="Google Sans" w:eastAsia="Google Sans" w:hAnsi="Google Sans" w:cs="Google Sans"/>
          <w:color w:val="1F1F1F"/>
        </w:rPr>
        <w:t>3. Top 5 Mitigation Strategies</w:t>
      </w:r>
    </w:p>
    <w:p w:rsidR="0072353A" w:rsidRDefault="0029091D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R-07 — Checkout/Order Flow (Mitigate):</w:t>
      </w:r>
      <w:r>
        <w:rPr>
          <w:rFonts w:ascii="Google Sans" w:eastAsia="Google Sans" w:hAnsi="Google Sans" w:cs="Google Sans"/>
          <w:color w:val="1F1F1F"/>
        </w:rPr>
        <w:t xml:space="preserve"> Implement strict end-to-end testing and backend validation to ensure every order is captured accurately.</w:t>
      </w:r>
    </w:p>
    <w:p w:rsidR="0072353A" w:rsidRDefault="0029091D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R-12 — Tight Deadline (Mitigate):</w:t>
      </w:r>
      <w:r>
        <w:rPr>
          <w:rFonts w:ascii="Google Sans" w:eastAsia="Google Sans" w:hAnsi="Google Sans" w:cs="Google Sans"/>
          <w:color w:val="1F1F1F"/>
        </w:rPr>
        <w:t xml:space="preserve"> Focus on "Must-Have"</w:t>
      </w:r>
      <w:r>
        <w:rPr>
          <w:rFonts w:ascii="Google Sans" w:eastAsia="Google Sans" w:hAnsi="Google Sans" w:cs="Google Sans"/>
          <w:color w:val="1F1F1F"/>
        </w:rPr>
        <w:t xml:space="preserve"> features first, freeze the scope early, and maintain a strict weekly milestone schedule.</w:t>
      </w:r>
    </w:p>
    <w:p w:rsidR="0072353A" w:rsidRDefault="0029091D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R-08 — AI API Issues (Mitigate + Accept):</w:t>
      </w:r>
      <w:r>
        <w:rPr>
          <w:rFonts w:ascii="Google Sans" w:eastAsia="Google Sans" w:hAnsi="Google Sans" w:cs="Google Sans"/>
          <w:color w:val="1F1F1F"/>
        </w:rPr>
        <w:t xml:space="preserve"> Use caching and fallback templates so the store remains functional even if the </w:t>
      </w:r>
      <w:proofErr w:type="spellStart"/>
      <w:r>
        <w:rPr>
          <w:rFonts w:ascii="Google Sans" w:eastAsia="Google Sans" w:hAnsi="Google Sans" w:cs="Google Sans"/>
          <w:color w:val="1F1F1F"/>
        </w:rPr>
        <w:t>OpenAI</w:t>
      </w:r>
      <w:proofErr w:type="spellEnd"/>
      <w:r>
        <w:rPr>
          <w:rFonts w:ascii="Google Sans" w:eastAsia="Google Sans" w:hAnsi="Google Sans" w:cs="Google Sans"/>
          <w:color w:val="1F1F1F"/>
        </w:rPr>
        <w:t>/Gemini API is down.</w:t>
      </w:r>
    </w:p>
    <w:p w:rsidR="0072353A" w:rsidRDefault="0029091D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R-10 — Payment Fai</w:t>
      </w:r>
      <w:r>
        <w:rPr>
          <w:rFonts w:ascii="Google Sans" w:eastAsia="Google Sans" w:hAnsi="Google Sans" w:cs="Google Sans"/>
          <w:b/>
          <w:bCs/>
          <w:color w:val="1F1F1F"/>
        </w:rPr>
        <w:t>lure (Mitigate):</w:t>
      </w:r>
      <w:r>
        <w:rPr>
          <w:rFonts w:ascii="Google Sans" w:eastAsia="Google Sans" w:hAnsi="Google Sans" w:cs="Google Sans"/>
          <w:color w:val="1F1F1F"/>
        </w:rPr>
        <w:t xml:space="preserve"> Utilize sandbox environments for testing and provide a manual payment/COD backup option.</w:t>
      </w:r>
    </w:p>
    <w:p w:rsidR="0072353A" w:rsidRDefault="0029091D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R-15 — Insufficient Testing (Avoid):</w:t>
      </w:r>
      <w:r>
        <w:rPr>
          <w:rFonts w:ascii="Google Sans" w:eastAsia="Google Sans" w:hAnsi="Google Sans" w:cs="Google Sans"/>
          <w:color w:val="1F1F1F"/>
        </w:rPr>
        <w:t xml:space="preserve"> Schedule dedicated QA cycles throughout the project rather than leaving all testing for the final night.</w:t>
      </w:r>
    </w:p>
    <w:p w:rsidR="0072353A" w:rsidRDefault="0072353A" w:rsidP="00AD041E">
      <w:pPr>
        <w:pStyle w:val="Heading2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pict>
          <v:rect id="_x0000_i1028" style="width:0;height:1.5pt" o:hralign="center" o:hrstd="t" o:hr="t" fillcolor="#a0a0a0" stroked="f"/>
        </w:pict>
      </w:r>
    </w:p>
    <w:p w:rsidR="0072353A" w:rsidRDefault="0029091D">
      <w:pPr>
        <w:pStyle w:val="Heading2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4. R</w:t>
      </w:r>
      <w:r>
        <w:rPr>
          <w:rFonts w:ascii="Google Sans" w:eastAsia="Google Sans" w:hAnsi="Google Sans" w:cs="Google Sans"/>
          <w:color w:val="1F1F1F"/>
        </w:rPr>
        <w:t>isks Affecting the Critical Path</w:t>
      </w:r>
    </w:p>
    <w:p w:rsidR="0072353A" w:rsidRDefault="0029091D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15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The critical path for </w:t>
      </w:r>
      <w:proofErr w:type="spellStart"/>
      <w:r>
        <w:rPr>
          <w:rFonts w:ascii="Google Sans" w:eastAsia="Google Sans" w:hAnsi="Google Sans" w:cs="Google Sans"/>
          <w:color w:val="1F1F1F"/>
        </w:rPr>
        <w:t>Vendora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follows the flow from </w:t>
      </w:r>
      <w:r>
        <w:rPr>
          <w:rFonts w:ascii="Google Sans" w:eastAsia="Google Sans" w:hAnsi="Google Sans" w:cs="Google Sans"/>
          <w:b/>
          <w:bCs/>
          <w:color w:val="1F1F1F"/>
        </w:rPr>
        <w:t>Infrastructure Setup → Database Design → Core Development → AI Integration → Deployment</w:t>
      </w:r>
      <w:r>
        <w:rPr>
          <w:rFonts w:ascii="Google Sans" w:eastAsia="Google Sans" w:hAnsi="Google Sans" w:cs="Google Sans"/>
          <w:color w:val="1F1F1F"/>
        </w:rPr>
        <w:t>.</w:t>
      </w:r>
    </w:p>
    <w:p w:rsidR="0072353A" w:rsidRDefault="0072353A">
      <w:pPr>
        <w:pStyle w:val="normal0"/>
        <w:pBdr>
          <w:top w:val="nil"/>
          <w:left w:val="nil"/>
          <w:bottom w:val="nil"/>
          <w:right w:val="nil"/>
          <w:between w:val="nil"/>
        </w:pBdr>
        <w:rPr>
          <w:rFonts w:ascii="Google Sans" w:eastAsia="Google Sans" w:hAnsi="Google Sans" w:cs="Google Sans"/>
          <w:color w:val="1F1F1F"/>
        </w:rPr>
      </w:pPr>
    </w:p>
    <w:p w:rsidR="0072353A" w:rsidRDefault="0029091D">
      <w:pPr>
        <w:pStyle w:val="normal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Deadline Delays (R-12):</w:t>
      </w:r>
      <w:r>
        <w:rPr>
          <w:rFonts w:ascii="Google Sans" w:eastAsia="Google Sans" w:hAnsi="Google Sans" w:cs="Google Sans"/>
          <w:color w:val="1F1F1F"/>
        </w:rPr>
        <w:t xml:space="preserve"> Any slip in the early WBS phases (like Infrastructure or Database) will immediately push back the final delivery.</w:t>
      </w:r>
      <w:r>
        <w:rPr>
          <w:color w:val="000000"/>
        </w:rPr>
        <w:br/>
      </w:r>
    </w:p>
    <w:p w:rsidR="0072353A" w:rsidRDefault="0029091D">
      <w:pPr>
        <w:pStyle w:val="normal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Checkout/Order Errors (R-07):</w:t>
      </w:r>
      <w:r>
        <w:rPr>
          <w:rFonts w:ascii="Google Sans" w:eastAsia="Google Sans" w:hAnsi="Google Sans" w:cs="Google Sans"/>
          <w:color w:val="1F1F1F"/>
        </w:rPr>
        <w:t xml:space="preserve"> As a late-stage core feature, errors here require extensive rework of previous database and API tasks.</w:t>
      </w:r>
      <w:r>
        <w:rPr>
          <w:color w:val="000000"/>
        </w:rPr>
        <w:br/>
      </w:r>
    </w:p>
    <w:p w:rsidR="0072353A" w:rsidRDefault="0029091D">
      <w:pPr>
        <w:pStyle w:val="normal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Deploy</w:t>
      </w:r>
      <w:r>
        <w:rPr>
          <w:rFonts w:ascii="Google Sans" w:eastAsia="Google Sans" w:hAnsi="Google Sans" w:cs="Google Sans"/>
          <w:b/>
          <w:bCs/>
          <w:color w:val="1F1F1F"/>
        </w:rPr>
        <w:t>ment Blockers (R-13):</w:t>
      </w:r>
      <w:r>
        <w:rPr>
          <w:rFonts w:ascii="Google Sans" w:eastAsia="Google Sans" w:hAnsi="Google Sans" w:cs="Google Sans"/>
          <w:color w:val="1F1F1F"/>
        </w:rPr>
        <w:t xml:space="preserve"> Even a perfect build is a failure if the </w:t>
      </w:r>
      <w:proofErr w:type="spellStart"/>
      <w:r>
        <w:rPr>
          <w:rFonts w:ascii="Google Sans" w:eastAsia="Google Sans" w:hAnsi="Google Sans" w:cs="Google Sans"/>
          <w:color w:val="1F1F1F"/>
        </w:rPr>
        <w:t>serverless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infrastructure (</w:t>
      </w:r>
      <w:proofErr w:type="spellStart"/>
      <w:r>
        <w:rPr>
          <w:rFonts w:ascii="Google Sans" w:eastAsia="Google Sans" w:hAnsi="Google Sans" w:cs="Google Sans"/>
          <w:color w:val="1F1F1F"/>
        </w:rPr>
        <w:t>Vercel</w:t>
      </w:r>
      <w:proofErr w:type="spellEnd"/>
      <w:r>
        <w:rPr>
          <w:rFonts w:ascii="Google Sans" w:eastAsia="Google Sans" w:hAnsi="Google Sans" w:cs="Google Sans"/>
          <w:color w:val="1F1F1F"/>
        </w:rPr>
        <w:t>) fails during the final push.</w:t>
      </w:r>
    </w:p>
    <w:p w:rsidR="0072353A" w:rsidRDefault="0072353A">
      <w:pPr>
        <w:pStyle w:val="Heading2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pict>
          <v:rect id="_x0000_i1029" style="width:0;height:1.5pt" o:hralign="center" o:hrstd="t" o:hr="t" fillcolor="#a0a0a0" stroked="f"/>
        </w:pict>
      </w:r>
      <w:r w:rsidR="0029091D">
        <w:rPr>
          <w:rFonts w:ascii="Google Sans" w:eastAsia="Google Sans" w:hAnsi="Google Sans" w:cs="Google Sans"/>
          <w:color w:val="1F1F1F"/>
        </w:rPr>
        <w:t>Final Summary</w:t>
      </w:r>
    </w:p>
    <w:p w:rsidR="0072353A" w:rsidRDefault="0029091D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15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To ensure </w:t>
      </w:r>
      <w:proofErr w:type="spellStart"/>
      <w:r>
        <w:rPr>
          <w:rFonts w:ascii="Google Sans" w:eastAsia="Google Sans" w:hAnsi="Google Sans" w:cs="Google Sans"/>
          <w:color w:val="1F1F1F"/>
        </w:rPr>
        <w:t>Vendora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transitions from a WBS to a live store, the team must prioritize stabilizing the </w:t>
      </w:r>
      <w:r>
        <w:rPr>
          <w:rFonts w:ascii="Google Sans" w:eastAsia="Google Sans" w:hAnsi="Google Sans" w:cs="Google Sans"/>
          <w:b/>
          <w:bCs/>
          <w:color w:val="1F1F1F"/>
        </w:rPr>
        <w:t>checkout flow</w:t>
      </w:r>
      <w:r>
        <w:rPr>
          <w:rFonts w:ascii="Google Sans" w:eastAsia="Google Sans" w:hAnsi="Google Sans" w:cs="Google Sans"/>
          <w:color w:val="1F1F1F"/>
        </w:rPr>
        <w:t xml:space="preserve">, managing the </w:t>
      </w:r>
      <w:r>
        <w:rPr>
          <w:rFonts w:ascii="Google Sans" w:eastAsia="Google Sans" w:hAnsi="Google Sans" w:cs="Google Sans"/>
          <w:b/>
          <w:bCs/>
          <w:color w:val="1F1F1F"/>
        </w:rPr>
        <w:t>AI API integration</w:t>
      </w:r>
      <w:r>
        <w:rPr>
          <w:rFonts w:ascii="Google Sans" w:eastAsia="Google Sans" w:hAnsi="Google Sans" w:cs="Google Sans"/>
          <w:color w:val="1F1F1F"/>
        </w:rPr>
        <w:t xml:space="preserve">, and adhering to a </w:t>
      </w:r>
      <w:r>
        <w:rPr>
          <w:rFonts w:ascii="Google Sans" w:eastAsia="Google Sans" w:hAnsi="Google Sans" w:cs="Google Sans"/>
          <w:b/>
          <w:bCs/>
          <w:color w:val="1F1F1F"/>
        </w:rPr>
        <w:t>strict 30-day timeline</w:t>
      </w:r>
      <w:r>
        <w:rPr>
          <w:rFonts w:ascii="Google Sans" w:eastAsia="Google Sans" w:hAnsi="Google Sans" w:cs="Google Sans"/>
          <w:color w:val="1F1F1F"/>
        </w:rPr>
        <w:t>. Successful mitigation prevents the project from becoming a "soul-expensive" recovery mission.</w:t>
      </w:r>
    </w:p>
    <w:sectPr w:rsidR="0072353A" w:rsidSect="0072353A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BAAD5679-406D-4207-BA4D-5AED27D3BF9D}"/>
  </w:font>
  <w:font w:name="Google Sans">
    <w:altName w:val="Times New Roman"/>
    <w:charset w:val="00"/>
    <w:family w:val="auto"/>
    <w:pitch w:val="default"/>
    <w:sig w:usb0="00000000" w:usb1="00000000" w:usb2="00000000" w:usb3="00000000" w:csb0="00000000" w:csb1="00000000"/>
    <w:embedRegular r:id="rId2" w:fontKey="{0E5A8E8D-181E-47FF-BD0C-5A9A57FAA4DB}"/>
    <w:embedBold r:id="rId3" w:fontKey="{203EEBE7-4798-452C-BE84-64CB1A76E4B3}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Bold r:id="rId4" w:subsetted="1" w:fontKey="{9A9B419C-AF93-4BD0-A3EA-ABE57D1F8044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5" w:fontKey="{97AEA444-E2FE-46A8-BAC6-35E49778036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33F59C5C-F1E4-4BE9-BAE3-45703D786AAE}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BA71F3"/>
    <w:multiLevelType w:val="multilevel"/>
    <w:tmpl w:val="9A2AB974"/>
    <w:lvl w:ilvl="0">
      <w:start w:val="1"/>
      <w:numFmt w:val="bullet"/>
      <w:lvlText w:val="●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>
    <w:nsid w:val="286C6652"/>
    <w:multiLevelType w:val="multilevel"/>
    <w:tmpl w:val="548E3A5A"/>
    <w:lvl w:ilvl="0">
      <w:start w:val="1"/>
      <w:numFmt w:val="bullet"/>
      <w:lvlText w:val="●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TrueTypeFonts/>
  <w:proofState w:spelling="clean" w:grammar="clean"/>
  <w:defaultTabStop w:val="720"/>
  <w:characterSpacingControl w:val="doNotCompress"/>
  <w:compat/>
  <w:rsids>
    <w:rsidRoot w:val="0072353A"/>
    <w:rsid w:val="0029091D"/>
    <w:rsid w:val="0072353A"/>
    <w:rsid w:val="00AD041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0"/>
    <w:next w:val="normal0"/>
    <w:rsid w:val="0072353A"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0"/>
    <w:next w:val="normal0"/>
    <w:rsid w:val="0072353A"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0"/>
    <w:next w:val="normal0"/>
    <w:rsid w:val="0072353A"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0"/>
    <w:next w:val="normal0"/>
    <w:rsid w:val="0072353A"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0"/>
    <w:next w:val="normal0"/>
    <w:rsid w:val="0072353A"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0"/>
    <w:next w:val="normal0"/>
    <w:rsid w:val="0072353A"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72353A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0">
    <w:name w:val="normal"/>
    <w:rsid w:val="0072353A"/>
  </w:style>
  <w:style w:type="paragraph" w:styleId="Title">
    <w:name w:val="Title"/>
    <w:basedOn w:val="normal0"/>
    <w:next w:val="normal0"/>
    <w:rsid w:val="0072353A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0"/>
    <w:next w:val="normal0"/>
    <w:rsid w:val="0072353A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rsid w:val="0072353A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0"/>
    <w:rsid w:val="0072353A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489</Words>
  <Characters>2791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</cp:lastModifiedBy>
  <cp:revision>2</cp:revision>
  <dcterms:created xsi:type="dcterms:W3CDTF">2026-04-27T18:09:00Z</dcterms:created>
  <dcterms:modified xsi:type="dcterms:W3CDTF">2026-04-27T19:26:00Z</dcterms:modified>
</cp:coreProperties>
</file>