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20.png" ContentType="image/png"/>
  <Override PartName="/word/media/rId2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internal-audit-module-user-manual"/>
    <w:p>
      <w:pPr>
        <w:pStyle w:val="Heading1"/>
      </w:pPr>
      <w:r>
        <w:t xml:space="preserve">Internal Audit Module — User Manual</w:t>
      </w:r>
    </w:p>
    <w:p>
      <w:pPr>
        <w:pStyle w:val="FirstParagraph"/>
      </w:pPr>
      <w:r>
        <w:rPr>
          <w:b/>
          <w:bCs/>
        </w:rPr>
        <w:t xml:space="preserve">Audience:</w:t>
      </w:r>
      <w:r>
        <w:t xml:space="preserve"> </w:t>
      </w:r>
      <w:r>
        <w:t xml:space="preserve">all Internal Audit users</w:t>
      </w:r>
      <w:r>
        <w:t xml:space="preserve"> </w:t>
      </w:r>
      <w:r>
        <w:rPr>
          <w:b/>
          <w:bCs/>
        </w:rPr>
        <w:t xml:space="preserve">Environment shown:</w:t>
      </w:r>
      <w:r>
        <w:t xml:space="preserve"> </w:t>
      </w:r>
      <w:r>
        <w:t xml:space="preserve">TEST instance (screenshots captured from the live application)</w:t>
      </w:r>
      <w:r>
        <w:t xml:space="preserve"> </w:t>
      </w:r>
      <w:r>
        <w:rPr>
          <w:b/>
          <w:bCs/>
        </w:rPr>
        <w:t xml:space="preserve">Module prefix:</w:t>
      </w:r>
      <w:r>
        <w:t xml:space="preserve"> </w:t>
      </w:r>
      <w:r>
        <w:t xml:space="preserve">Internal Audit (</w:t>
      </w:r>
      <w:r>
        <w:rPr>
          <w:rStyle w:val="VerbatimChar"/>
        </w:rPr>
        <w:t xml:space="preserve">/audit/*</w:t>
      </w:r>
      <w:r>
        <w:t xml:space="preserve">)</w:t>
      </w:r>
    </w:p>
    <w:p>
      <w:pPr>
        <w:pStyle w:val="BodyText"/>
      </w:pPr>
      <w:r>
        <w:t xml:space="preserve">This manual set is organised by role. Start here for the shared concepts, then read the</w:t>
      </w:r>
      <w:r>
        <w:t xml:space="preserve"> </w:t>
      </w:r>
      <w:r>
        <w:t xml:space="preserve">manual for your own role.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66"/>
        <w:gridCol w:w="3321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Role manual</w:t>
            </w:r>
          </w:p>
        </w:tc>
        <w:tc>
          <w:tcPr/>
          <w:p>
            <w:pPr>
              <w:pStyle w:val="Compact"/>
            </w:pPr>
            <w:r>
              <w:t xml:space="preserve">Who it is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Head of Internal Audit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Owns the annual plan, approvals, closure and board reporting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Lead Auditor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Runs engagements: preparation, programme, fieldwork, issuance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Audit Team Member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Control testing, evidence, working papers, findings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Quality Reviewer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Independent quality review and sign-off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Management Respondent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Audited department: responses, corrective actions,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Audit Administrator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Master data, risk configuration, settings, templates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5" w:name="the-audit-lifecycle"/>
    <w:p>
      <w:pPr>
        <w:pStyle w:val="Heading2"/>
      </w:pPr>
      <w:r>
        <w:t xml:space="preserve">1. The audit lifecycle</w:t>
      </w:r>
    </w:p>
    <w:p>
      <w:pPr>
        <w:pStyle w:val="SourceCode"/>
      </w:pPr>
      <w:r>
        <w:rPr>
          <w:rStyle w:val="VerbatimChar"/>
        </w:rPr>
        <w:t xml:space="preserve">Master data      Risk            Planning         Execution              Resolution</w:t>
      </w:r>
      <w:r>
        <w:br/>
      </w:r>
      <w:r>
        <w:rPr>
          <w:rStyle w:val="VerbatimChar"/>
        </w:rPr>
        <w:t xml:space="preserve">-----------      ----            --------         ---------              ----------</w:t>
      </w:r>
      <w:r>
        <w:br/>
      </w:r>
      <w:r>
        <w:rPr>
          <w:rStyle w:val="VerbatimChar"/>
        </w:rPr>
        <w:t xml:space="preserve">Departments  -&gt;  Risk        -&gt;  Annual plan  -&gt;  Preparation        -&gt;  Management response</w:t>
      </w:r>
      <w:r>
        <w:br/>
      </w:r>
      <w:r>
        <w:rPr>
          <w:rStyle w:val="VerbatimChar"/>
        </w:rPr>
        <w:t xml:space="preserve">Functions        assessment      Approval         Programme / RCM        Corrective action</w:t>
      </w:r>
      <w:r>
        <w:br/>
      </w:r>
      <w:r>
        <w:rPr>
          <w:rStyle w:val="VerbatimChar"/>
        </w:rPr>
        <w:t xml:space="preserve">Auditors         Risk matrix     Launch           Fieldwork &amp; evidence   Follow-up verification</w:t>
      </w:r>
      <w:r>
        <w:br/>
      </w:r>
      <w:r>
        <w:rPr>
          <w:rStyle w:val="VerbatimChar"/>
        </w:rPr>
        <w:t xml:space="preserve">                 Risk register                    Findings               Quality review</w:t>
      </w:r>
      <w:r>
        <w:br/>
      </w:r>
      <w:r>
        <w:rPr>
          <w:rStyle w:val="VerbatimChar"/>
        </w:rPr>
        <w:t xml:space="preserve">                                                  Report issuance        Engagement closure</w:t>
      </w:r>
      <w:r>
        <w:br/>
      </w:r>
      <w:r>
        <w:rPr>
          <w:rStyle w:val="VerbatimChar"/>
        </w:rPr>
        <w:t xml:space="preserve">                                                                         Plan closure</w:t>
      </w:r>
    </w:p>
    <w:p>
      <w:pPr>
        <w:pStyle w:val="FirstParagraph"/>
      </w:pPr>
      <w:r>
        <w:t xml:space="preserve">Each stage is gated. The application will not let a stage advance until the previous stage’s</w:t>
      </w:r>
      <w:r>
        <w:t xml:space="preserve"> </w:t>
      </w:r>
      <w:r>
        <w:t xml:space="preserve">dependencies are satisfied, and the gates are enforced on the server — not just in the screen.</w:t>
      </w:r>
    </w:p>
    <w:bookmarkEnd w:id="15"/>
    <w:bookmarkStart w:id="19" w:name="navigation"/>
    <w:p>
      <w:pPr>
        <w:pStyle w:val="Heading2"/>
      </w:pPr>
      <w:r>
        <w:t xml:space="preserve">2. Navigation</w:t>
      </w:r>
    </w:p>
    <w:p>
      <w:pPr>
        <w:pStyle w:val="FirstParagraph"/>
      </w:pPr>
      <w:r>
        <w:t xml:space="preserve">Internal Audit appears in the left sidebar. The groups and their entries are: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Entry</w:t>
            </w:r>
          </w:p>
        </w:tc>
        <w:tc>
          <w:tcPr/>
          <w:p>
            <w:pPr>
              <w:pStyle w:val="Compact"/>
            </w:pPr>
            <w:r>
              <w:t xml:space="preserve">Route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/audit/dashboard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data</w:t>
            </w:r>
          </w:p>
        </w:tc>
        <w:tc>
          <w:tcPr/>
          <w:p>
            <w:pPr>
              <w:pStyle w:val="Compact"/>
            </w:pPr>
            <w:r>
              <w:t xml:space="preserve">Departments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/audit/departments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data</w:t>
            </w:r>
          </w:p>
        </w:tc>
        <w:tc>
          <w:tcPr/>
          <w:p>
            <w:pPr>
              <w:pStyle w:val="Compact"/>
            </w:pPr>
            <w:r>
              <w:t xml:space="preserve">Business Functions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/audit/functions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data</w:t>
            </w:r>
          </w:p>
        </w:tc>
        <w:tc>
          <w:tcPr/>
          <w:p>
            <w:pPr>
              <w:pStyle w:val="Compact"/>
            </w:pPr>
            <w:r>
              <w:t xml:space="preserve">Risk Register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/audit/risk-register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Risk Assessment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/audit/risk-assessment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Entity Risk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/audit/entity-summary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Risk Matrix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/audit/risk-matrix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Planning</w:t>
            </w:r>
          </w:p>
        </w:tc>
        <w:tc>
          <w:tcPr/>
          <w:p>
            <w:pPr>
              <w:pStyle w:val="Compact"/>
            </w:pPr>
            <w:r>
              <w:t xml:space="preserve">Audit Plans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/audit/audit-plans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Planning</w:t>
            </w:r>
          </w:p>
        </w:tc>
        <w:tc>
          <w:tcPr/>
          <w:p>
            <w:pPr>
              <w:pStyle w:val="Compact"/>
            </w:pPr>
            <w:r>
              <w:t xml:space="preserve">Plan Approval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/audit/plan-approval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</w:t>
            </w:r>
          </w:p>
        </w:tc>
        <w:tc>
          <w:tcPr/>
          <w:p>
            <w:pPr>
              <w:pStyle w:val="Compact"/>
            </w:pPr>
            <w:r>
              <w:t xml:space="preserve">Audits (engagements)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/audit/audits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</w:t>
            </w:r>
          </w:p>
        </w:tc>
        <w:tc>
          <w:tcPr/>
          <w:p>
            <w:pPr>
              <w:pStyle w:val="Compact"/>
            </w:pPr>
            <w:r>
              <w:t xml:space="preserve">Audit workspace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/audit/audits/:id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</w:t>
            </w:r>
          </w:p>
        </w:tc>
        <w:tc>
          <w:tcPr/>
          <w:p>
            <w:pPr>
              <w:pStyle w:val="Compact"/>
            </w:pPr>
            <w:r>
              <w:t xml:space="preserve">Audit Queries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/audit/queries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Resolution</w:t>
            </w:r>
          </w:p>
        </w:tc>
        <w:tc>
          <w:tcPr/>
          <w:p>
            <w:pPr>
              <w:pStyle w:val="Compact"/>
            </w:pPr>
            <w:r>
              <w:t xml:space="preserve">Action Centre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/audit/action-centre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Resources</w:t>
            </w:r>
          </w:p>
        </w:tc>
        <w:tc>
          <w:tcPr/>
          <w:p>
            <w:pPr>
              <w:pStyle w:val="Compact"/>
            </w:pPr>
            <w:r>
              <w:t xml:space="preserve">Auditor Profiles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/audit/auditors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Resources</w:t>
            </w:r>
          </w:p>
        </w:tc>
        <w:tc>
          <w:tcPr/>
          <w:p>
            <w:pPr>
              <w:pStyle w:val="Compact"/>
            </w:pPr>
            <w:r>
              <w:t xml:space="preserve">Workload &amp; Capacity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/audit/workload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Resources</w:t>
            </w:r>
          </w:p>
        </w:tc>
        <w:tc>
          <w:tcPr/>
          <w:p>
            <w:pPr>
              <w:pStyle w:val="Compact"/>
            </w:pPr>
            <w:r>
              <w:t xml:space="preserve">Time Tracking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/audit/time-tracking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Resources</w:t>
            </w:r>
          </w:p>
        </w:tc>
        <w:tc>
          <w:tcPr/>
          <w:p>
            <w:pPr>
              <w:pStyle w:val="Compact"/>
            </w:pPr>
            <w:r>
              <w:t xml:space="preserve">Auditor Leave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/audit/leave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Reporting</w:t>
            </w:r>
          </w:p>
        </w:tc>
        <w:tc>
          <w:tcPr/>
          <w:p>
            <w:pPr>
              <w:pStyle w:val="Compact"/>
            </w:pPr>
            <w:r>
              <w:t xml:space="preserve">Report Center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/audit/audit-reports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Reporting</w:t>
            </w:r>
          </w:p>
        </w:tc>
        <w:tc>
          <w:tcPr/>
          <w:p>
            <w:pPr>
              <w:pStyle w:val="Compact"/>
            </w:pPr>
            <w:r>
              <w:t xml:space="preserve">Report Builder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/audit/report-builder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Reporting</w:t>
            </w:r>
          </w:p>
        </w:tc>
        <w:tc>
          <w:tcPr/>
          <w:p>
            <w:pPr>
              <w:pStyle w:val="Compact"/>
            </w:pPr>
            <w:r>
              <w:t xml:space="preserve">Engagement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/audit/reports/engagement-summary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Reporting</w:t>
            </w:r>
          </w:p>
        </w:tc>
        <w:tc>
          <w:tcPr/>
          <w:p>
            <w:pPr>
              <w:pStyle w:val="Compact"/>
            </w:pPr>
            <w:r>
              <w:t xml:space="preserve">Plan Slippage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/audit/reports/plan-slippage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Reporting</w:t>
            </w:r>
          </w:p>
        </w:tc>
        <w:tc>
          <w:tcPr/>
          <w:p>
            <w:pPr>
              <w:pStyle w:val="Compact"/>
            </w:pPr>
            <w:r>
              <w:t xml:space="preserve">Overdue Actions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/audit/reports/overdue-actions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Reporting</w:t>
            </w:r>
          </w:p>
        </w:tc>
        <w:tc>
          <w:tcPr/>
          <w:p>
            <w:pPr>
              <w:pStyle w:val="Compact"/>
            </w:pPr>
            <w:r>
              <w:t xml:space="preserve">Carry-Forward Aging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/audit/reports/carry-forward-aging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Reporting</w:t>
            </w:r>
          </w:p>
        </w:tc>
        <w:tc>
          <w:tcPr/>
          <w:p>
            <w:pPr>
              <w:pStyle w:val="Compact"/>
            </w:pPr>
            <w:r>
              <w:t xml:space="preserve">Communication Compliance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/audit/reports/communication-compliance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Audit 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/audit/config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Risk 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/audit/risk-settings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Document &amp; Output 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/audit/document-templates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Escalation Roles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/audit/escalation-roles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Communication Templates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/audit/templates</w:t>
            </w:r>
          </w:p>
        </w:tc>
      </w:tr>
    </w:tbl>
    <w:p>
      <w:pPr>
        <w:pStyle w:val="BodyText"/>
      </w:pPr>
      <w:r>
        <w:t xml:space="preserve">You only see the entries your role is entitled to. A Management Respondent, for example, sees</w:t>
      </w:r>
      <w:r>
        <w:t xml:space="preserve"> </w:t>
      </w:r>
      <w:r>
        <w:t xml:space="preserve">a restricted</w:t>
      </w:r>
      <w:r>
        <w:t xml:space="preserve"> </w:t>
      </w:r>
      <w:r>
        <w:rPr>
          <w:b/>
          <w:bCs/>
        </w:rPr>
        <w:t xml:space="preserve">Internal Audit → Management Workspace</w:t>
      </w:r>
      <w:r>
        <w:t xml:space="preserve"> </w:t>
      </w:r>
      <w:r>
        <w:t xml:space="preserve">group with four entries only: My Work,</w:t>
      </w:r>
      <w:r>
        <w:t xml:space="preserve"> </w:t>
      </w:r>
      <w:r>
        <w:t xml:space="preserve">Findings Register, Corrective Actions and Follow-Ups.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Head of Internal Audit dashboard" title="" id="17" name="Picture"/>
            <a:graphic>
              <a:graphicData uri="http://schemas.openxmlformats.org/drawingml/2006/picture">
                <pic:pic>
                  <pic:nvPicPr>
                    <pic:cNvPr descr="screenshots/01-login-navigation/hia-dashboard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Head of Internal Audit dashboard</w:t>
      </w:r>
    </w:p>
    <w:bookmarkEnd w:id="19"/>
    <w:bookmarkStart w:id="23" w:name="the-audit-workspace"/>
    <w:p>
      <w:pPr>
        <w:pStyle w:val="Heading2"/>
      </w:pPr>
      <w:r>
        <w:t xml:space="preserve">3. The audit workspace</w:t>
      </w:r>
    </w:p>
    <w:p>
      <w:pPr>
        <w:pStyle w:val="FirstParagraph"/>
      </w:pPr>
      <w:r>
        <w:t xml:space="preserve">Every engagement opens as a single workspace at</w:t>
      </w:r>
      <w:r>
        <w:t xml:space="preserve"> </w:t>
      </w:r>
      <w:r>
        <w:rPr>
          <w:rStyle w:val="VerbatimChar"/>
        </w:rPr>
        <w:t xml:space="preserve">/audit/audits/:id</w:t>
      </w:r>
      <w:r>
        <w:t xml:space="preserve"> </w:t>
      </w:r>
      <w:r>
        <w:t xml:space="preserve">with a lifecycle stepper</w:t>
      </w:r>
      <w:r>
        <w:t xml:space="preserve"> </w:t>
      </w:r>
      <w:r>
        <w:t xml:space="preserve">and these tabs: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28"/>
        <w:gridCol w:w="50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Overview</w:t>
            </w:r>
          </w:p>
        </w:tc>
        <w:tc>
          <w:tcPr/>
          <w:p>
            <w:pPr>
              <w:pStyle w:val="Compact"/>
            </w:pPr>
            <w:r>
              <w:t xml:space="preserve">Lifecycle stage, server-derived progress, recommended next actions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Notification, kick-off, scope confirmation, preliminary documents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Programme</w:t>
            </w:r>
          </w:p>
        </w:tc>
        <w:tc>
          <w:tcPr/>
          <w:p>
            <w:pPr>
              <w:pStyle w:val="Compact"/>
            </w:pPr>
            <w:r>
              <w:t xml:space="preserve">Risk Control Matrix — processes, risks, controls,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Activities</w:t>
            </w:r>
          </w:p>
        </w:tc>
        <w:tc>
          <w:tcPr/>
          <w:p>
            <w:pPr>
              <w:pStyle w:val="Compact"/>
            </w:pPr>
            <w:r>
              <w:t xml:space="preserve">Fieldwork activities and their completion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Tests</w:t>
            </w:r>
          </w:p>
        </w:tc>
        <w:tc>
          <w:tcPr/>
          <w:p>
            <w:pPr>
              <w:pStyle w:val="Compact"/>
            </w:pPr>
            <w:r>
              <w:t xml:space="preserve">Test execution and Pass / Fail / Partial results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Evidence files supporting tests and findings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Working Papers</w:t>
            </w:r>
          </w:p>
        </w:tc>
        <w:tc>
          <w:tcPr/>
          <w:p>
            <w:pPr>
              <w:pStyle w:val="Compact"/>
            </w:pPr>
            <w:r>
              <w:t xml:space="preserve">Structured working paper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Findings</w:t>
            </w:r>
          </w:p>
        </w:tc>
        <w:tc>
          <w:tcPr/>
          <w:p>
            <w:pPr>
              <w:pStyle w:val="Compact"/>
            </w:pPr>
            <w:r>
              <w:t xml:space="preserve">Findings, severity, root cause, recommendations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Responses</w:t>
            </w:r>
          </w:p>
        </w:tc>
        <w:tc>
          <w:tcPr/>
          <w:p>
            <w:pPr>
              <w:pStyle w:val="Compact"/>
            </w:pPr>
            <w:r>
              <w:t xml:space="preserve">Management responses per finding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Actions</w:t>
            </w:r>
          </w:p>
        </w:tc>
        <w:tc>
          <w:tcPr/>
          <w:p>
            <w:pPr>
              <w:pStyle w:val="Compact"/>
            </w:pPr>
            <w:r>
              <w:t xml:space="preserve">Corrective actions with owner, target date,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Follow-Ups</w:t>
            </w:r>
          </w:p>
        </w:tc>
        <w:tc>
          <w:tcPr/>
          <w:p>
            <w:pPr>
              <w:pStyle w:val="Compact"/>
            </w:pPr>
            <w:r>
              <w:t xml:space="preserve">Independent verification of implemented actions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Quality Review</w:t>
            </w:r>
          </w:p>
        </w:tc>
        <w:tc>
          <w:tcPr/>
          <w:p>
            <w:pPr>
              <w:pStyle w:val="Compact"/>
            </w:pPr>
            <w:r>
              <w:t xml:space="preserve">QA checklist, rating, rework or satisfactory sign-off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Timeline</w:t>
            </w:r>
          </w:p>
        </w:tc>
        <w:tc>
          <w:tcPr/>
          <w:p>
            <w:pPr>
              <w:pStyle w:val="Compact"/>
            </w:pPr>
            <w:r>
              <w:t xml:space="preserve">Every governed event and every communication 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Closure</w:t>
            </w:r>
          </w:p>
        </w:tc>
        <w:tc>
          <w:tcPr/>
          <w:p>
            <w:pPr>
              <w:pStyle w:val="Compact"/>
            </w:pPr>
            <w:r>
              <w:t xml:space="preserve">Closure readiness, blockers, final rating, closure decision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Engagement overview" title="" id="21" name="Picture"/>
            <a:graphic>
              <a:graphicData uri="http://schemas.openxmlformats.org/drawingml/2006/picture">
                <pic:pic>
                  <pic:nvPicPr>
                    <pic:cNvPr descr="screenshots/07-preparation/eng-2029-003-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Engagement overview</w:t>
      </w:r>
    </w:p>
    <w:bookmarkEnd w:id="23"/>
    <w:bookmarkStart w:id="27" w:name="the-action-centre"/>
    <w:p>
      <w:pPr>
        <w:pStyle w:val="Heading2"/>
      </w:pPr>
      <w:r>
        <w:t xml:space="preserve">4. The Action Centre</w:t>
      </w:r>
    </w:p>
    <w:p>
      <w:pPr>
        <w:pStyle w:val="FirstParagraph"/>
      </w:pPr>
      <w:r>
        <w:rPr>
          <w:rStyle w:val="VerbatimChar"/>
        </w:rPr>
        <w:t xml:space="preserve">/audit/action-centre</w:t>
      </w:r>
      <w:r>
        <w:t xml:space="preserve"> </w:t>
      </w:r>
      <w:r>
        <w:t xml:space="preserve">is the cross-engagement work queue. Tabs: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330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</w:t>
            </w:r>
          </w:p>
        </w:tc>
        <w:tc>
          <w:tcPr/>
          <w:p>
            <w:pPr>
              <w:pStyle w:val="Compact"/>
            </w:pPr>
            <w:r>
              <w:t xml:space="preserve">Shown to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 Audit Work</w:t>
            </w:r>
          </w:p>
        </w:tc>
        <w:tc>
          <w:tcPr/>
          <w:p>
            <w:pPr>
              <w:pStyle w:val="Compact"/>
            </w:pPr>
            <w:r>
              <w:t xml:space="preserve">Audit team</w:t>
            </w:r>
          </w:p>
        </w:tc>
        <w:tc>
          <w:tcPr/>
          <w:p>
            <w:pPr>
              <w:pStyle w:val="Compact"/>
            </w:pPr>
            <w:r>
              <w:t xml:space="preserve">Everything assigned to you across engagements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 Actions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Responses and corrective actions owed by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 of Audit</w:t>
            </w:r>
          </w:p>
        </w:tc>
        <w:tc>
          <w:tcPr/>
          <w:p>
            <w:pPr>
              <w:pStyle w:val="Compact"/>
            </w:pPr>
            <w:r>
              <w:t xml:space="preserve">Audit team</w:t>
            </w:r>
          </w:p>
        </w:tc>
        <w:tc>
          <w:tcPr/>
          <w:p>
            <w:pPr>
              <w:pStyle w:val="Compact"/>
            </w:pPr>
            <w:r>
              <w:t xml:space="preserve">Items needing the Head’s attention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 Register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Every corrective action, filterable and exportable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Findings Register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Every finding with severity and response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Audit team</w:t>
            </w:r>
          </w:p>
        </w:tc>
        <w:tc>
          <w:tcPr/>
          <w:p>
            <w:pPr>
              <w:pStyle w:val="Compact"/>
            </w:pPr>
            <w:r>
              <w:t xml:space="preserve">Actions claimed complete, awaiting audit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Follow-Up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Scheduled follow-up verifications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Quality Review</w:t>
            </w:r>
          </w:p>
        </w:tc>
        <w:tc>
          <w:tcPr/>
          <w:p>
            <w:pPr>
              <w:pStyle w:val="Compact"/>
            </w:pPr>
            <w:r>
              <w:t xml:space="preserve">Audit team</w:t>
            </w:r>
          </w:p>
        </w:tc>
        <w:tc>
          <w:tcPr/>
          <w:p>
            <w:pPr>
              <w:pStyle w:val="Compact"/>
            </w:pPr>
            <w:r>
              <w:t xml:space="preserve">QA queue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Closure Readiness</w:t>
            </w:r>
          </w:p>
        </w:tc>
        <w:tc>
          <w:tcPr/>
          <w:p>
            <w:pPr>
              <w:pStyle w:val="Compact"/>
            </w:pPr>
            <w:r>
              <w:t xml:space="preserve">Audit team</w:t>
            </w:r>
          </w:p>
        </w:tc>
        <w:tc>
          <w:tcPr/>
          <w:p>
            <w:pPr>
              <w:pStyle w:val="Compact"/>
            </w:pPr>
            <w:r>
              <w:t xml:space="preserve">Engagements ready — or blocked — for closure</w:t>
            </w:r>
          </w:p>
        </w:tc>
      </w:tr>
    </w:tbl>
    <w:p>
      <w:pPr>
        <w:pStyle w:val="BodyText"/>
      </w:pPr>
      <w:r>
        <w:t xml:space="preserve">Filters: annual plan, audit, department, function area, action owner, severity, action</w:t>
      </w:r>
      <w:r>
        <w:t xml:space="preserve"> </w:t>
      </w:r>
      <w:r>
        <w:t xml:space="preserve">status, finding status and a due-date range. Export produces CSV/Excel matching the filtered</w:t>
      </w:r>
      <w:r>
        <w:t xml:space="preserve"> </w:t>
      </w:r>
      <w:r>
        <w:t xml:space="preserve">row count shown next to the Export control.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Action Centre" title="" id="25" name="Picture"/>
            <a:graphic>
              <a:graphicData uri="http://schemas.openxmlformats.org/drawingml/2006/picture">
                <pic:pic>
                  <pic:nvPicPr>
                    <pic:cNvPr descr="screenshots/19-action-centre/hia-action-centre-overview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Action Centre</w:t>
      </w:r>
    </w:p>
    <w:bookmarkEnd w:id="27"/>
    <w:bookmarkStart w:id="31" w:name="communications"/>
    <w:p>
      <w:pPr>
        <w:pStyle w:val="Heading2"/>
      </w:pPr>
      <w:r>
        <w:t xml:space="preserve">5. Communications</w:t>
      </w:r>
    </w:p>
    <w:p>
      <w:pPr>
        <w:pStyle w:val="FirstParagraph"/>
      </w:pPr>
      <w:r>
        <w:t xml:space="preserve">Internal Audit never sends email or in-app messages directly. Every notification —</w:t>
      </w:r>
      <w:r>
        <w:t xml:space="preserve"> </w:t>
      </w:r>
      <w:r>
        <w:t xml:space="preserve">engagement notification, information request, response reminder, action due-soon and</w:t>
      </w:r>
      <w:r>
        <w:t xml:space="preserve"> </w:t>
      </w:r>
      <w:r>
        <w:t xml:space="preserve">overdue escalation, report issuance, closure — is emitted as a catalogued business event</w:t>
      </w:r>
      <w:r>
        <w:t xml:space="preserve"> </w:t>
      </w:r>
      <w:r>
        <w:t xml:space="preserve">and delivered by the platform’s governed communication service. Delivery outcomes are</w:t>
      </w:r>
      <w:r>
        <w:t xml:space="preserve"> </w:t>
      </w:r>
      <w:r>
        <w:t xml:space="preserve">visible on the engagement Timeline tab and in the Communication Compliance report.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Engagement timeline" title="" id="29" name="Picture"/>
            <a:graphic>
              <a:graphicData uri="http://schemas.openxmlformats.org/drawingml/2006/picture">
                <pic:pic>
                  <pic:nvPicPr>
                    <pic:cNvPr descr="screenshots/22-notifications/eng-timeline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Engagement timeline</w:t>
      </w:r>
    </w:p>
    <w:bookmarkEnd w:id="31"/>
    <w:bookmarkStart w:id="32" w:name="X200acbef25b8657c581125b477f04baacdd7515"/>
    <w:p>
      <w:pPr>
        <w:pStyle w:val="Heading2"/>
      </w:pPr>
      <w:r>
        <w:t xml:space="preserve">6. Governance principles you will meet in the screens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Server-enforced gates.</w:t>
      </w:r>
      <w:r>
        <w:t xml:space="preserve"> </w:t>
      </w:r>
      <w:r>
        <w:t xml:space="preserve">Launch, closure, plan closure, report issuance and action</w:t>
      </w:r>
      <w:r>
        <w:t xml:space="preserve"> </w:t>
      </w:r>
      <w:r>
        <w:t xml:space="preserve">verification run as governed database commands. If a precondition fails, the screen shows</w:t>
      </w:r>
      <w:r>
        <w:t xml:space="preserve"> </w:t>
      </w:r>
      <w:r>
        <w:t xml:space="preserve">the specific blocking items instead of a generic error.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Segregation of duties.</w:t>
      </w:r>
      <w:r>
        <w:t xml:space="preserve"> </w:t>
      </w:r>
      <w:r>
        <w:t xml:space="preserve">The person who prepares is not the person who approves. Where</w:t>
      </w:r>
      <w:r>
        <w:t xml:space="preserve"> </w:t>
      </w:r>
      <w:r>
        <w:t xml:space="preserve">the same person must act twice (for example a small audit shop), the system records a</w:t>
      </w:r>
      <w:r>
        <w:t xml:space="preserve"> </w:t>
      </w:r>
      <w:r>
        <w:t xml:space="preserve">logged exception rather than silently allowing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Immutable history.</w:t>
      </w:r>
      <w:r>
        <w:t xml:space="preserve"> </w:t>
      </w:r>
      <w:r>
        <w:t xml:space="preserve">Closure decisions, approvals, response versions and quality</w:t>
      </w:r>
      <w:r>
        <w:t xml:space="preserve"> </w:t>
      </w:r>
      <w:r>
        <w:t xml:space="preserve">sign-offs are appended, never overwritten.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Terminology.</w:t>
      </w:r>
      <w:r>
        <w:t xml:space="preserve"> </w:t>
      </w:r>
      <w:r>
        <w:t xml:space="preserve">The audited party is the</w:t>
      </w:r>
      <w:r>
        <w:t xml:space="preserve"> </w:t>
      </w:r>
      <w:r>
        <w:rPr>
          <w:i/>
          <w:iCs/>
        </w:rPr>
        <w:t xml:space="preserve">Audited Department</w:t>
      </w:r>
      <w:r>
        <w:t xml:space="preserve"> </w:t>
      </w:r>
      <w:r>
        <w:t xml:space="preserve">with a</w:t>
      </w:r>
      <w:r>
        <w:t xml:space="preserve"> </w:t>
      </w:r>
      <w:r>
        <w:rPr>
          <w:i/>
          <w:iCs/>
        </w:rPr>
        <w:t xml:space="preserve">Management</w:t>
      </w:r>
      <w:r>
        <w:rPr>
          <w:i/>
          <w:iCs/>
        </w:rPr>
        <w:t xml:space="preserve"> </w:t>
      </w:r>
      <w:r>
        <w:rPr>
          <w:i/>
          <w:iCs/>
        </w:rPr>
        <w:t xml:space="preserve">Respondent</w:t>
      </w:r>
      <w:r>
        <w:t xml:space="preserve"> </w:t>
      </w:r>
      <w:r>
        <w:t xml:space="preserve">and a</w:t>
      </w:r>
      <w:r>
        <w:t xml:space="preserve"> </w:t>
      </w:r>
      <w:r>
        <w:rPr>
          <w:i/>
          <w:iCs/>
        </w:rPr>
        <w:t xml:space="preserve">Corrective Action Owner</w:t>
      </w:r>
      <w:r>
        <w:t xml:space="preserve">.</w:t>
      </w:r>
    </w:p>
    <w:bookmarkEnd w:id="32"/>
    <w:bookmarkStart w:id="33" w:name="glossary"/>
    <w:p>
      <w:pPr>
        <w:pStyle w:val="Heading2"/>
      </w:pPr>
      <w:r>
        <w:t xml:space="preserve">7.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 Plan</w:t>
            </w:r>
          </w:p>
        </w:tc>
        <w:tc>
          <w:tcPr/>
          <w:p>
            <w:pPr>
              <w:pStyle w:val="Compact"/>
            </w:pPr>
            <w:r>
              <w:t xml:space="preserve">The approved portfolio of audits for a fiscal 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Engagement / Department Audit</w:t>
            </w:r>
          </w:p>
        </w:tc>
        <w:tc>
          <w:tcPr/>
          <w:p>
            <w:pPr>
              <w:pStyle w:val="Compact"/>
            </w:pPr>
            <w:r>
              <w:t xml:space="preserve">One audit of one department, in or out of the annual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RCM</w:t>
            </w:r>
          </w:p>
        </w:tc>
        <w:tc>
          <w:tcPr/>
          <w:p>
            <w:pPr>
              <w:pStyle w:val="Compact"/>
            </w:pPr>
            <w:r>
              <w:t xml:space="preserve">Risk Control Matrix: process → risk → control →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A confirmed control weakness with severity and root cause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 Response</w:t>
            </w:r>
          </w:p>
        </w:tc>
        <w:tc>
          <w:tcPr/>
          <w:p>
            <w:pPr>
              <w:pStyle w:val="Compact"/>
            </w:pPr>
            <w:r>
              <w:t xml:space="preserve">The audited department’s position on a finding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Corrective Action</w:t>
            </w:r>
          </w:p>
        </w:tc>
        <w:tc>
          <w:tcPr/>
          <w:p>
            <w:pPr>
              <w:pStyle w:val="Compact"/>
            </w:pPr>
            <w:r>
              <w:t xml:space="preserve">The remedial action with an owner and target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Follow-Up</w:t>
            </w:r>
          </w:p>
        </w:tc>
        <w:tc>
          <w:tcPr/>
          <w:p>
            <w:pPr>
              <w:pStyle w:val="Compact"/>
            </w:pPr>
            <w:r>
              <w:t xml:space="preserve">Independent audit verification that an action was really implemented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Closed – Actions Pending</w:t>
            </w:r>
          </w:p>
        </w:tc>
        <w:tc>
          <w:tcPr/>
          <w:p>
            <w:pPr>
              <w:pStyle w:val="Compact"/>
            </w:pPr>
            <w:r>
              <w:t xml:space="preserve">Engagement closed while corrective actions remain 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Carry Forward</w:t>
            </w:r>
          </w:p>
        </w:tc>
        <w:tc>
          <w:tcPr/>
          <w:p>
            <w:pPr>
              <w:pStyle w:val="Compact"/>
            </w:pPr>
            <w:r>
              <w:t xml:space="preserve">An engagement moved into the next year’s plan at plan closure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6" w:name="X54165c04565fb6911544cb199c944bf2ee9ab4f"/>
    <w:p>
      <w:pPr>
        <w:pStyle w:val="Heading2"/>
      </w:pPr>
      <w:r>
        <w:t xml:space="preserve">Document Control — Version History &amp; Change Log</w:t>
      </w:r>
    </w:p>
    <w:p>
      <w:pPr>
        <w:pStyle w:val="FirstParagraph"/>
      </w:pPr>
      <w:r>
        <w:rPr>
          <w:b/>
          <w:bCs/>
        </w:rPr>
        <w:t xml:space="preserve">Document owner:</w:t>
      </w:r>
      <w:r>
        <w:t xml:space="preserve"> </w:t>
      </w:r>
      <w:r>
        <w:t xml:space="preserve">Head of Internal Audit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Internal</w:t>
      </w:r>
      <w:r>
        <w:br/>
      </w:r>
      <w:r>
        <w:rPr>
          <w:b/>
          <w:bCs/>
        </w:rPr>
        <w:t xml:space="preserve">Review cycle:</w:t>
      </w:r>
      <w:r>
        <w:t xml:space="preserve"> </w:t>
      </w:r>
      <w:r>
        <w:t xml:space="preserve">Annually, or on any change to the Internal Audit module.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8"/>
        <w:gridCol w:w="572"/>
        <w:gridCol w:w="763"/>
        <w:gridCol w:w="1813"/>
        <w:gridCol w:w="1240"/>
        <w:gridCol w:w="1240"/>
        <w:gridCol w:w="14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 of change</w:t>
            </w:r>
          </w:p>
        </w:tc>
        <w:tc>
          <w:tcPr/>
          <w:p>
            <w:pPr>
              <w:pStyle w:val="Compact"/>
            </w:pPr>
            <w:r>
              <w:t xml:space="preserve">Reviewed by</w:t>
            </w:r>
          </w:p>
        </w:tc>
        <w:tc>
          <w:tcPr/>
          <w:p>
            <w:pPr>
              <w:pStyle w:val="Compact"/>
            </w:pPr>
            <w:r>
              <w:t xml:space="preserve">Approved by</w:t>
            </w:r>
          </w:p>
        </w:tc>
        <w:tc>
          <w:tcPr/>
          <w:p>
            <w:pPr>
              <w:pStyle w:val="Compact"/>
            </w:pPr>
            <w:r>
              <w:t xml:space="preserve">Approval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2026-08-30</w:t>
            </w:r>
          </w:p>
        </w:tc>
        <w:tc>
          <w:tcPr/>
          <w:p>
            <w:pPr>
              <w:pStyle w:val="Compact"/>
            </w:pPr>
            <w:r>
              <w:t xml:space="preserve">Internal Audit / Platform Team</w:t>
            </w:r>
          </w:p>
        </w:tc>
        <w:tc>
          <w:tcPr/>
          <w:p>
            <w:pPr>
              <w:pStyle w:val="Compact"/>
            </w:pPr>
            <w:r>
              <w:t xml:space="preserve">First issued manual, generated from the live TEST environment (routes, tabs, governed commands and screenshots).</w:t>
            </w:r>
          </w:p>
        </w:tc>
        <w:tc>
          <w:tcPr/>
          <w:p>
            <w:pPr>
              <w:pStyle w:val="Compact"/>
            </w:pPr>
            <w:r>
              <w:t xml:space="preserve">Lead Auditor</w:t>
            </w:r>
          </w:p>
        </w:tc>
        <w:tc>
          <w:tcPr/>
          <w:p>
            <w:pPr>
              <w:pStyle w:val="Compact"/>
            </w:pPr>
            <w:r>
              <w:t xml:space="preserve">Head of Internal Audit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34" w:name="how-to-record-an-update"/>
    <w:p>
      <w:pPr>
        <w:pStyle w:val="Heading3"/>
      </w:pPr>
      <w:r>
        <w:t xml:space="preserve">How to record an update</w:t>
      </w:r>
    </w:p>
    <w:p>
      <w:pPr>
        <w:pStyle w:val="Compact"/>
        <w:numPr>
          <w:ilvl w:val="0"/>
          <w:numId w:val="1002"/>
        </w:numPr>
      </w:pPr>
      <w:r>
        <w:t xml:space="preserve">Add a new row at the top of the table for every content change — never edit a released row.</w:t>
      </w:r>
    </w:p>
    <w:p>
      <w:pPr>
        <w:pStyle w:val="Compact"/>
        <w:numPr>
          <w:ilvl w:val="0"/>
          <w:numId w:val="1002"/>
        </w:numPr>
      </w:pPr>
      <w:r>
        <w:t xml:space="preserve">Increment the minor version (1.1, 1.2 …) for clarifications and screenshot refreshes;</w:t>
      </w:r>
      <w:r>
        <w:t xml:space="preserve"> </w:t>
      </w:r>
      <w:r>
        <w:t xml:space="preserve">increment the major version (2.0) when a process, role or gate changes.</w:t>
      </w:r>
    </w:p>
    <w:p>
      <w:pPr>
        <w:pStyle w:val="Compact"/>
        <w:numPr>
          <w:ilvl w:val="0"/>
          <w:numId w:val="1002"/>
        </w:numPr>
      </w:pPr>
      <w:r>
        <w:t xml:space="preserve">State the change in business terms (what a reader must now do differently), not file edits.</w:t>
      </w:r>
    </w:p>
    <w:p>
      <w:pPr>
        <w:pStyle w:val="Compact"/>
        <w:numPr>
          <w:ilvl w:val="0"/>
          <w:numId w:val="1002"/>
        </w:numPr>
      </w:pPr>
      <w:r>
        <w:t xml:space="preserve">The manual is only</w:t>
      </w:r>
      <w:r>
        <w:t xml:space="preserve"> </w:t>
      </w:r>
      <w:r>
        <w:t xml:space="preserve">“released”</w:t>
      </w:r>
      <w:r>
        <w:t xml:space="preserve"> </w:t>
      </w:r>
      <w:r>
        <w:t xml:space="preserve">once the Head of Internal Audit records an approval date.</w:t>
      </w:r>
      <w:r>
        <w:t xml:space="preserve"> </w:t>
      </w:r>
      <w:r>
        <w:t xml:space="preserve">Until then it is marked</w:t>
      </w:r>
      <w:r>
        <w:t xml:space="preserve"> </w:t>
      </w:r>
      <w:r>
        <w:rPr>
          <w:i/>
          <w:iCs/>
        </w:rPr>
        <w:t xml:space="preserve">Pending</w:t>
      </w:r>
      <w:r>
        <w:t xml:space="preserve"> </w:t>
      </w:r>
      <w:r>
        <w:t xml:space="preserve">and must not be used as certification evidence.</w:t>
      </w:r>
    </w:p>
    <w:p>
      <w:pPr>
        <w:pStyle w:val="Compact"/>
        <w:numPr>
          <w:ilvl w:val="0"/>
          <w:numId w:val="1002"/>
        </w:numPr>
      </w:pPr>
      <w:r>
        <w:t xml:space="preserve">Re-export the PDF and DOCX from the Internal Audit User Manuals page after each approval.</w:t>
      </w:r>
    </w:p>
    <w:bookmarkEnd w:id="34"/>
    <w:bookmarkStart w:id="35" w:name="change-log"/>
    <w:p>
      <w:pPr>
        <w:pStyle w:val="Heading3"/>
      </w:pPr>
      <w:r>
        <w:t xml:space="preserve">Change log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Sections affected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Initial release.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</w:tr>
    </w:tbl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hyperlink" Id="rId9" Target="01-Head-of-Internal-Audit.md" TargetMode="External" /><Relationship Type="http://schemas.openxmlformats.org/officeDocument/2006/relationships/hyperlink" Id="rId10" Target="02-Lead-Auditor.md" TargetMode="External" /><Relationship Type="http://schemas.openxmlformats.org/officeDocument/2006/relationships/hyperlink" Id="rId11" Target="03-Audit-Team-Member.md" TargetMode="External" /><Relationship Type="http://schemas.openxmlformats.org/officeDocument/2006/relationships/hyperlink" Id="rId12" Target="04-Quality-Reviewer.md" TargetMode="External" /><Relationship Type="http://schemas.openxmlformats.org/officeDocument/2006/relationships/hyperlink" Id="rId13" Target="05-Management-Respondent.md" TargetMode="External" /><Relationship Type="http://schemas.openxmlformats.org/officeDocument/2006/relationships/hyperlink" Id="rId14" Target="06-Audit-Administrator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-Head-of-Internal-Audit.md" TargetMode="External" /><Relationship Type="http://schemas.openxmlformats.org/officeDocument/2006/relationships/hyperlink" Id="rId10" Target="02-Lead-Auditor.md" TargetMode="External" /><Relationship Type="http://schemas.openxmlformats.org/officeDocument/2006/relationships/hyperlink" Id="rId11" Target="03-Audit-Team-Member.md" TargetMode="External" /><Relationship Type="http://schemas.openxmlformats.org/officeDocument/2006/relationships/hyperlink" Id="rId12" Target="04-Quality-Reviewer.md" TargetMode="External" /><Relationship Type="http://schemas.openxmlformats.org/officeDocument/2006/relationships/hyperlink" Id="rId13" Target="05-Management-Respondent.md" TargetMode="External" /><Relationship Type="http://schemas.openxmlformats.org/officeDocument/2006/relationships/hyperlink" Id="rId14" Target="06-Audit-Administrator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2026-08-30T07:59:13Z</dcterms:created>
  <dcterms:modified xsi:type="dcterms:W3CDTF">2026-08-30T07:59:13Z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