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ternal-audit-quality-reviewer-manual"/>
    <w:p>
      <w:pPr>
        <w:pStyle w:val="Heading1"/>
      </w:pPr>
      <w:r>
        <w:t xml:space="preserve">Internal Audit — Quality Reviewer Manual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Quality Reviewer (</w:t>
      </w:r>
      <w:r>
        <w:rPr>
          <w:rStyle w:val="VerbatimChar"/>
        </w:rPr>
        <w:t xml:space="preserve">IA_QUALITY_REVIEWER</w:t>
      </w:r>
      <w:r>
        <w:t xml:space="preserve">)</w:t>
      </w:r>
      <w:r>
        <w:t xml:space="preserve"> </w:t>
      </w:r>
      <w:r>
        <w:rPr>
          <w:b/>
          <w:bCs/>
        </w:rPr>
        <w:t xml:space="preserve">Test account:</w:t>
      </w:r>
      <w:r>
        <w:t xml:space="preserve"> </w:t>
      </w:r>
      <w:r>
        <w:rPr>
          <w:rStyle w:val="VerbatimChar"/>
        </w:rPr>
        <w:t xml:space="preserve">w4-cert-qa@certification.invalid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audit.qa@…</w:t>
      </w:r>
      <w:r>
        <w:t xml:space="preserve"> </w:t>
      </w:r>
      <w:r>
        <w:rPr>
          <w:b/>
          <w:bCs/>
        </w:rPr>
        <w:t xml:space="preserve">Owns:</w:t>
      </w:r>
      <w:r>
        <w:t xml:space="preserve"> </w:t>
      </w:r>
      <w:r>
        <w:t xml:space="preserve">independent quality assurance over engagements before the report is issued and</w:t>
      </w:r>
      <w:r>
        <w:t xml:space="preserve"> </w:t>
      </w:r>
      <w:r>
        <w:t xml:space="preserve">before the engagement can be closed.</w:t>
      </w:r>
    </w:p>
    <w:p>
      <w:r>
        <w:pict>
          <v:rect style="width:0;height:1.5pt" o:hralign="center" o:hrstd="t" o:hr="t"/>
        </w:pict>
      </w:r>
    </w:p>
    <w:bookmarkStart w:id="12" w:name="your-access"/>
    <w:p>
      <w:pPr>
        <w:pStyle w:val="Heading2"/>
      </w:pPr>
      <w:r>
        <w:t xml:space="preserve">1. Your access</w:t>
      </w:r>
    </w:p>
    <w:p>
      <w:pPr>
        <w:pStyle w:val="FirstParagraph"/>
      </w:pPr>
      <w:r>
        <w:t xml:space="preserve">You are scoped to the engagements on which you are named as quality reviewer. Those</w:t>
      </w:r>
      <w:r>
        <w:t xml:space="preserve"> </w:t>
      </w:r>
      <w:r>
        <w:t xml:space="preserve">engagements open in the normal workspace; you have read access to every working tab so you can</w:t>
      </w:r>
      <w:r>
        <w:t xml:space="preserve"> </w:t>
      </w:r>
      <w:r>
        <w:t xml:space="preserve">form an independent view, and write access to the</w:t>
      </w:r>
      <w:r>
        <w:t xml:space="preserve"> </w:t>
      </w:r>
      <w:r>
        <w:rPr>
          <w:b/>
          <w:bCs/>
        </w:rPr>
        <w:t xml:space="preserve">Quality Review</w:t>
      </w:r>
      <w:r>
        <w:t xml:space="preserve"> </w:t>
      </w:r>
      <w:r>
        <w:t xml:space="preserve">tab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Centre → Quality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/audit/action-centre?tab=qa</w:t>
            </w:r>
          </w:p>
        </w:tc>
        <w:tc>
          <w:tcPr/>
          <w:p>
            <w:pPr>
              <w:pStyle w:val="Compact"/>
            </w:pPr>
            <w:r>
              <w:t xml:space="preserve">Your review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workspace → Quality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/audit/audits/:id</w:t>
            </w:r>
          </w:p>
        </w:tc>
        <w:tc>
          <w:tcPr/>
          <w:p>
            <w:pPr>
              <w:pStyle w:val="Compact"/>
            </w:pPr>
            <w:r>
              <w:t xml:space="preserve">Perform and conclude the review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Quality review queue" title="" id="10" name="Picture"/>
            <a:graphic>
              <a:graphicData uri="http://schemas.openxmlformats.org/drawingml/2006/picture">
                <pic:pic>
                  <pic:nvPicPr>
                    <pic:cNvPr descr="screenshots/15-qa/qa-review-queu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Quality review queue</w:t>
      </w:r>
    </w:p>
    <w:bookmarkEnd w:id="12"/>
    <w:bookmarkStart w:id="16" w:name="starting-a-review"/>
    <w:p>
      <w:pPr>
        <w:pStyle w:val="Heading2"/>
      </w:pPr>
      <w:r>
        <w:t xml:space="preserve">2. Starting a review</w:t>
      </w:r>
    </w:p>
    <w:p>
      <w:pPr>
        <w:pStyle w:val="Compact"/>
        <w:numPr>
          <w:ilvl w:val="0"/>
          <w:numId w:val="1001"/>
        </w:numPr>
      </w:pPr>
      <w:r>
        <w:t xml:space="preserve">Open the engagement from the Quality Review queue.</w:t>
      </w:r>
    </w:p>
    <w:p>
      <w:pPr>
        <w:pStyle w:val="Compact"/>
        <w:numPr>
          <w:ilvl w:val="0"/>
          <w:numId w:val="1001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Quality Review</w:t>
      </w:r>
      <w:r>
        <w:t xml:space="preserve"> </w:t>
      </w:r>
      <w:r>
        <w:t xml:space="preserve">tab and choose</w:t>
      </w:r>
      <w:r>
        <w:t xml:space="preserve"> </w:t>
      </w:r>
      <w:r>
        <w:rPr>
          <w:b/>
          <w:bCs/>
        </w:rPr>
        <w:t xml:space="preserve">Start Review</w:t>
      </w:r>
      <w:r>
        <w:t xml:space="preserve">, selecting the review type</w:t>
      </w:r>
      <w:r>
        <w:t xml:space="preserve"> </w:t>
      </w:r>
      <w:r>
        <w:t xml:space="preserve">(in-flight review or pre-issuance review).</w:t>
      </w:r>
    </w:p>
    <w:p>
      <w:pPr>
        <w:pStyle w:val="Compact"/>
        <w:numPr>
          <w:ilvl w:val="0"/>
          <w:numId w:val="1001"/>
        </w:numPr>
      </w:pPr>
      <w:r>
        <w:t xml:space="preserve">The review record is created on the server and the engagement is flagged as under QA.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Quality review tab" title="" id="14" name="Picture"/>
            <a:graphic>
              <a:graphicData uri="http://schemas.openxmlformats.org/drawingml/2006/picture">
                <pic:pic>
                  <pic:nvPicPr>
                    <pic:cNvPr descr="screenshots/15-qa/eng-quality-re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Quality review tab</w:t>
      </w:r>
    </w:p>
    <w:bookmarkEnd w:id="16"/>
    <w:bookmarkStart w:id="17" w:name="what-to-review"/>
    <w:p>
      <w:pPr>
        <w:pStyle w:val="Heading2"/>
      </w:pPr>
      <w:r>
        <w:t xml:space="preserve">3. What to review</w:t>
      </w:r>
    </w:p>
    <w:p>
      <w:pPr>
        <w:pStyle w:val="FirstParagraph"/>
      </w:pPr>
      <w:r>
        <w:t xml:space="preserve">Work through the QA checklist. It covers, at minimum: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Was the engagement scoped from the approved plan and the assessed risks?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Was the department notified and the scope confirmed before fieldwork?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</w:t>
            </w:r>
          </w:p>
        </w:tc>
        <w:tc>
          <w:tcPr/>
          <w:p>
            <w:pPr>
              <w:pStyle w:val="Compact"/>
            </w:pPr>
            <w:r>
              <w:t xml:space="preserve">Does the RCM cover the material risks, and does each test address its control?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Fieldwork</w:t>
            </w:r>
          </w:p>
        </w:tc>
        <w:tc>
          <w:tcPr/>
          <w:p>
            <w:pPr>
              <w:pStyle w:val="Compact"/>
            </w:pPr>
            <w:r>
              <w:t xml:space="preserve">Is every activity complete, with sample basis and population recorded?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Is each conclusion supported by linked, sourced evidence?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papers</w:t>
            </w:r>
          </w:p>
        </w:tc>
        <w:tc>
          <w:tcPr/>
          <w:p>
            <w:pPr>
              <w:pStyle w:val="Compact"/>
            </w:pPr>
            <w:r>
              <w:t xml:space="preserve">Do they show objective, work performed, results and conclusion, and are they reviewed?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Do they state condition, criteria, cause, effect and recommendation, with a defensible severity?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Responses</w:t>
            </w:r>
          </w:p>
        </w:tc>
        <w:tc>
          <w:tcPr/>
          <w:p>
            <w:pPr>
              <w:pStyle w:val="Compact"/>
            </w:pPr>
            <w:r>
              <w:t xml:space="preserve">Does every finding have a management response, and are disputes properly escalated?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Does the report reflect the findings and the agreed actions, with a supported overall rating?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Were segregation-of-duties requirements met, and are any exceptions logged?</w:t>
            </w:r>
          </w:p>
        </w:tc>
      </w:tr>
    </w:tbl>
    <w:p>
      <w:pPr>
        <w:pStyle w:val="BodyText"/>
      </w:pPr>
      <w:r>
        <w:t xml:space="preserve">Record a result and a note against each checklist item. Notes are part of the permanent</w:t>
      </w:r>
      <w:r>
        <w:t xml:space="preserve"> </w:t>
      </w:r>
      <w:r>
        <w:t xml:space="preserve">record.</w:t>
      </w:r>
    </w:p>
    <w:bookmarkEnd w:id="17"/>
    <w:bookmarkStart w:id="18" w:name="concluding-the-review"/>
    <w:p>
      <w:pPr>
        <w:pStyle w:val="Heading2"/>
      </w:pPr>
      <w:r>
        <w:t xml:space="preserve">4. Concluding the review</w:t>
      </w:r>
    </w:p>
    <w:p>
      <w:pPr>
        <w:pStyle w:val="FirstParagraph"/>
      </w:pPr>
      <w:r>
        <w:t xml:space="preserve">Choose one outcome: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Satisfactory</w:t>
            </w:r>
          </w:p>
        </w:tc>
        <w:tc>
          <w:tcPr/>
          <w:p>
            <w:pPr>
              <w:pStyle w:val="Compact"/>
            </w:pPr>
            <w:r>
              <w:t xml:space="preserve">QA is signed off. The Lead Auditor can issue the report; closure is unblocked on this criterion.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Rework required</w:t>
            </w:r>
          </w:p>
        </w:tc>
        <w:tc>
          <w:tcPr/>
          <w:p>
            <w:pPr>
              <w:pStyle w:val="Compact"/>
            </w:pPr>
            <w:r>
              <w:t xml:space="preserve">The engagement returns to the audit team with your specific rework points. Report issuance is blocked until you re-review and conclude Satisfactory.</w:t>
            </w:r>
          </w:p>
        </w:tc>
      </w:tr>
    </w:tbl>
    <w:p>
      <w:pPr>
        <w:pStyle w:val="BodyText"/>
      </w:pPr>
      <w:r>
        <w:t xml:space="preserve">Set the quality rating, add your conclusion, and sign off. The sign-off records your identity</w:t>
      </w:r>
      <w:r>
        <w:t xml:space="preserve"> </w:t>
      </w:r>
      <w:r>
        <w:t xml:space="preserve">and timestamp and cannot be edited afterwards — a later change requires a new review.</w:t>
      </w:r>
    </w:p>
    <w:bookmarkEnd w:id="18"/>
    <w:bookmarkStart w:id="19" w:name="independence-and-segregation-of-duties"/>
    <w:p>
      <w:pPr>
        <w:pStyle w:val="Heading2"/>
      </w:pPr>
      <w:r>
        <w:t xml:space="preserve">5. Independence and segregation of duties</w:t>
      </w:r>
    </w:p>
    <w:p>
      <w:pPr>
        <w:pStyle w:val="Compact"/>
        <w:numPr>
          <w:ilvl w:val="0"/>
          <w:numId w:val="1002"/>
        </w:numPr>
      </w:pPr>
      <w:r>
        <w:t xml:space="preserve">You must not have performed fieldwork on the engagement you review.</w:t>
      </w:r>
    </w:p>
    <w:p>
      <w:pPr>
        <w:pStyle w:val="Compact"/>
        <w:numPr>
          <w:ilvl w:val="0"/>
          <w:numId w:val="1002"/>
        </w:numPr>
      </w:pPr>
      <w:r>
        <w:t xml:space="preserve">If the Head of Internal Audit is both approver and quality reviewer (a small-shop</w:t>
      </w:r>
      <w:r>
        <w:t xml:space="preserve"> </w:t>
      </w:r>
      <w:r>
        <w:t xml:space="preserve">situation), the system records a logged SoD exception on the sign-off. It does not silently</w:t>
      </w:r>
      <w:r>
        <w:t xml:space="preserve"> </w:t>
      </w:r>
      <w:r>
        <w:t xml:space="preserve">allow it, and the exception is visible in the audit trail and the certification reports.</w:t>
      </w:r>
    </w:p>
    <w:bookmarkEnd w:id="19"/>
    <w:bookmarkStart w:id="20" w:name="gates-you-enforce"/>
    <w:p>
      <w:pPr>
        <w:pStyle w:val="Heading2"/>
      </w:pPr>
      <w:r>
        <w:t xml:space="preserve">6. Gates you enforce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Enforced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report issuance while QA is outstanding or in rework</w:t>
            </w:r>
          </w:p>
        </w:tc>
        <w:tc>
          <w:tcPr/>
          <w:p>
            <w:pPr>
              <w:pStyle w:val="Compact"/>
            </w:pPr>
            <w:r>
              <w:t xml:space="preserve">Server-side, on the issuance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engagement closure without a signed-off quality review</w:t>
            </w:r>
          </w:p>
        </w:tc>
        <w:tc>
          <w:tcPr/>
          <w:p>
            <w:pPr>
              <w:pStyle w:val="Compact"/>
            </w:pPr>
            <w:r>
              <w:t xml:space="preserve">Server-side, in the closure evaluation</w:t>
            </w:r>
          </w:p>
        </w:tc>
      </w:tr>
    </w:tbl>
    <w:p>
      <w:pPr>
        <w:pStyle w:val="BodyText"/>
      </w:pPr>
      <w:r>
        <w:t xml:space="preserve">If either gate fires, the screen names the missing quality review rather than showing a</w:t>
      </w:r>
      <w:r>
        <w:t xml:space="preserve"> </w:t>
      </w:r>
      <w:r>
        <w:t xml:space="preserve">generic error.</w:t>
      </w:r>
    </w:p>
    <w:p>
      <w:r>
        <w:pict>
          <v:rect style="width:0;height:1.5pt" o:hralign="center" o:hrstd="t" o:hr="t"/>
        </w:pict>
      </w:r>
    </w:p>
    <w:bookmarkEnd w:id="20"/>
    <w:bookmarkStart w:id="23" w:name="X54165c04565fb6911544cb199c944bf2ee9ab4f"/>
    <w:p>
      <w:pPr>
        <w:pStyle w:val="Heading2"/>
      </w:pPr>
      <w:r>
        <w:t xml:space="preserve">Document Control — Version History &amp; Change Log</w:t>
      </w:r>
    </w:p>
    <w:p>
      <w:pPr>
        <w:pStyle w:val="FirstParagraph"/>
      </w:pPr>
      <w:r>
        <w:rPr>
          <w:b/>
          <w:bCs/>
        </w:rPr>
        <w:t xml:space="preserve">Document owner:</w:t>
      </w:r>
      <w:r>
        <w:t xml:space="preserve"> </w:t>
      </w:r>
      <w:r>
        <w:t xml:space="preserve">Head of Internal Audit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Annually, or on any change to the Internal Audit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913"/>
        <w:gridCol w:w="1218"/>
        <w:gridCol w:w="289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  <w:tc>
          <w:tcPr/>
          <w:p>
            <w:pPr>
              <w:pStyle w:val="Compact"/>
            </w:pPr>
            <w:r>
              <w:t xml:space="preserve">Internal Audit / Platform Team</w:t>
            </w:r>
          </w:p>
        </w:tc>
        <w:tc>
          <w:tcPr/>
          <w:p>
            <w:pPr>
              <w:pStyle w:val="Compact"/>
            </w:pPr>
            <w:r>
              <w:t xml:space="preserve">First issued manual, generated from the live TEST environment (routes, tabs, governed commands and screenshots).</w:t>
            </w:r>
          </w:p>
        </w:tc>
        <w:tc>
          <w:tcPr/>
          <w:p>
            <w:pPr>
              <w:pStyle w:val="Compact"/>
            </w:pPr>
            <w:r>
              <w:t xml:space="preserve">Reviewed: Lead Auditor. Approved by Head of Internal Audit on:</w:t>
            </w:r>
            <w:r>
              <w:t xml:space="preserve"> </w:t>
            </w:r>
            <w:r>
              <w:rPr>
                <w:i/>
                <w:iCs/>
              </w:rPr>
              <w:t xml:space="preserve">Pending</w:t>
            </w:r>
          </w:p>
        </w:tc>
      </w:tr>
    </w:tbl>
    <w:bookmarkStart w:id="21" w:name="how-to-record-an-update"/>
    <w:p>
      <w:pPr>
        <w:pStyle w:val="Heading3"/>
      </w:pPr>
      <w:r>
        <w:t xml:space="preserve">How to record an update</w:t>
      </w:r>
    </w:p>
    <w:p>
      <w:pPr>
        <w:pStyle w:val="Compact"/>
        <w:numPr>
          <w:ilvl w:val="0"/>
          <w:numId w:val="1003"/>
        </w:numPr>
      </w:pPr>
      <w:r>
        <w:t xml:space="preserve">Add a new row at the top of the table for every content change — never edit a released row.</w:t>
      </w:r>
    </w:p>
    <w:p>
      <w:pPr>
        <w:pStyle w:val="Compact"/>
        <w:numPr>
          <w:ilvl w:val="0"/>
          <w:numId w:val="1003"/>
        </w:numPr>
      </w:pPr>
      <w:r>
        <w:t xml:space="preserve">Increment the minor version (1.1, 1.2 …) for clarifications and screenshot refreshes;</w:t>
      </w:r>
      <w:r>
        <w:t xml:space="preserve"> </w:t>
      </w:r>
      <w:r>
        <w:t xml:space="preserve">increment the major version (2.0) when a process, role or gate changes.</w:t>
      </w:r>
    </w:p>
    <w:p>
      <w:pPr>
        <w:pStyle w:val="Compact"/>
        <w:numPr>
          <w:ilvl w:val="0"/>
          <w:numId w:val="1003"/>
        </w:numPr>
      </w:pPr>
      <w:r>
        <w:t xml:space="preserve">State the change in business terms (what a reader must now do differently), not file edits.</w:t>
      </w:r>
    </w:p>
    <w:p>
      <w:pPr>
        <w:pStyle w:val="Compact"/>
        <w:numPr>
          <w:ilvl w:val="0"/>
          <w:numId w:val="1003"/>
        </w:numPr>
      </w:pPr>
      <w:r>
        <w:t xml:space="preserve">The manual is only</w:t>
      </w:r>
      <w:r>
        <w:t xml:space="preserve"> </w:t>
      </w:r>
      <w:r>
        <w:t xml:space="preserve">“released”</w:t>
      </w:r>
      <w:r>
        <w:t xml:space="preserve"> </w:t>
      </w:r>
      <w:r>
        <w:t xml:space="preserve">once the Head of Internal Audit records an approval date.</w:t>
      </w:r>
      <w:r>
        <w:t xml:space="preserve"> </w:t>
      </w:r>
      <w:r>
        <w:t xml:space="preserve">Until then it is marked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and must not be used as certification evidence.</w:t>
      </w:r>
    </w:p>
    <w:p>
      <w:pPr>
        <w:pStyle w:val="Compact"/>
        <w:numPr>
          <w:ilvl w:val="0"/>
          <w:numId w:val="1003"/>
        </w:numPr>
      </w:pPr>
      <w:r>
        <w:t xml:space="preserve">Re-export the PDF and DOCX from the Internal Audit User Manuals page after each approval.</w:t>
      </w:r>
    </w:p>
    <w:bookmarkEnd w:id="21"/>
    <w:bookmarkStart w:id="22" w:name="change-log"/>
    <w:p>
      <w:pPr>
        <w:pStyle w:val="Heading3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Sections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release.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2026-08-30T08:01:00Z</dcterms:created>
  <dcterms:modified xsi:type="dcterms:W3CDTF">2026-08-30T08:01:00Z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