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52.png" ContentType="image/png"/>
  <Override PartName="/word/media/rId48.png" ContentType="image/png"/>
  <Override PartName="/word/media/rId31.png" ContentType="image/png"/>
  <Override PartName="/word/media/rId37.png" ContentType="image/png"/>
  <Override PartName="/word/media/rId34.png" ContentType="image/png"/>
  <Override PartName="/word/media/rId28.png" ContentType="image/png"/>
  <Override PartName="/word/media/rId45.png" ContentType="image/png"/>
  <Override PartName="/word/media/rId41.png" ContentType="image/png"/>
  <Override PartName="/word/media/rId17.png" ContentType="image/png"/>
  <Override PartName="/word/media/rId55.png" ContentType="image/png"/>
  <Override PartName="/word/media/rId13.png" ContentType="image/png"/>
  <Override PartName="/word/media/rId10.png" ContentType="image/png"/>
  <Override PartName="/word/media/rId24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e3cd6522a5bec848599dcca6dac80583b8d7890"/>
    <w:p>
      <w:pPr>
        <w:pStyle w:val="Heading1"/>
      </w:pPr>
      <w:r>
        <w:t xml:space="preserve">Internal Audit — Audit Administrator Manual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Audit Administrator (</w:t>
      </w:r>
      <w:r>
        <w:rPr>
          <w:rStyle w:val="VerbatimChar"/>
        </w:rPr>
        <w:t xml:space="preserve">IA_AUDIT_ADMIN</w:t>
      </w:r>
      <w:r>
        <w:t xml:space="preserve">, usually held alongside Head of Internal Audit)</w:t>
      </w:r>
      <w:r>
        <w:t xml:space="preserve"> </w:t>
      </w:r>
      <w:r>
        <w:rPr>
          <w:b/>
          <w:bCs/>
        </w:rPr>
        <w:t xml:space="preserve">Owns:</w:t>
      </w:r>
      <w:r>
        <w:t xml:space="preserve"> </w:t>
      </w:r>
      <w:r>
        <w:t xml:space="preserve">master data, risk configuration, module settings, document and communication</w:t>
      </w:r>
      <w:r>
        <w:t xml:space="preserve"> </w:t>
      </w:r>
      <w:r>
        <w:t xml:space="preserve">templates, escalation roles and auditor resources.</w:t>
      </w:r>
    </w:p>
    <w:p>
      <w:pPr>
        <w:pStyle w:val="BodyText"/>
      </w:pPr>
      <w:r>
        <w:t xml:space="preserve">Configuration drives behaviour everywhere else in the module. Set it up in the order below —</w:t>
      </w:r>
      <w:r>
        <w:t xml:space="preserve"> </w:t>
      </w:r>
      <w:r>
        <w:t xml:space="preserve">later steps depend on earlier ones.</w:t>
      </w:r>
    </w:p>
    <w:p>
      <w:r>
        <w:pict>
          <v:rect style="width:0;height:1.5pt" o:hralign="center" o:hrstd="t" o:hr="t"/>
        </w:pict>
      </w:r>
    </w:p>
    <w:bookmarkStart w:id="9" w:name="golden-path-set-up-order"/>
    <w:p>
      <w:pPr>
        <w:pStyle w:val="Heading2"/>
      </w:pPr>
      <w:r>
        <w:t xml:space="preserve">1. Golden path — set-up order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Audit configuration and feature 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Departments (audit universe)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/audit/departments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Business functions per department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Auditor profiles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/audit/auditors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Risk configuration (scales, weights, thresholds)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/audit/risk-settings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Risk assessments and 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/audit/risk-assessment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/audit/risk-register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Escalation roles and SLA / notification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/audit/escalation-roles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/audit/config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Document and output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/audit/document-templates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Communication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First annual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/audit/audit-plans</w:t>
            </w:r>
          </w:p>
        </w:tc>
      </w:tr>
    </w:tbl>
    <w:bookmarkEnd w:id="9"/>
    <w:bookmarkStart w:id="16" w:name="departments-and-business-functions"/>
    <w:p>
      <w:pPr>
        <w:pStyle w:val="Heading2"/>
      </w:pPr>
      <w:r>
        <w:t xml:space="preserve">2. Departments and business functions</w:t>
      </w:r>
    </w:p>
    <w:p>
      <w:pPr>
        <w:pStyle w:val="FirstParagraph"/>
      </w:pPr>
      <w:r>
        <w:rPr>
          <w:b/>
          <w:bCs/>
        </w:rPr>
        <w:t xml:space="preserve">Departments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/audit/departments</w:t>
      </w:r>
      <w:r>
        <w:t xml:space="preserve">) links the organisation’s departments into the audit</w:t>
      </w:r>
      <w:r>
        <w:t xml:space="preserve"> </w:t>
      </w:r>
      <w:r>
        <w:t xml:space="preserve">universe: office, head of department (a real profile), contact email and phone, status and</w:t>
      </w:r>
      <w:r>
        <w:t xml:space="preserve"> </w:t>
      </w:r>
      <w:r>
        <w:t xml:space="preserve">the derived risk rating. This is the only department list the module uses — the Risk Register</w:t>
      </w:r>
      <w:r>
        <w:t xml:space="preserve"> </w:t>
      </w:r>
      <w:r>
        <w:t xml:space="preserve">and every engagement read from it.</w:t>
      </w:r>
    </w:p>
    <w:p>
      <w:pPr>
        <w:pStyle w:val="BodyText"/>
      </w:pPr>
      <w:r>
        <w:rPr>
          <w:b/>
          <w:bCs/>
        </w:rPr>
        <w:t xml:space="preserve">Business Functions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/audit/functions</w:t>
      </w:r>
      <w:r>
        <w:t xml:space="preserve">) records the functions inside each department, each</w:t>
      </w:r>
      <w:r>
        <w:t xml:space="preserve"> </w:t>
      </w:r>
      <w:r>
        <w:t xml:space="preserve">with a risk level. Functions are the unit that is risk-assessed and put in scope on an</w:t>
      </w:r>
      <w:r>
        <w:t xml:space="preserve"> </w:t>
      </w:r>
      <w:r>
        <w:t xml:space="preserve">engagement.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epartment master" title="" id="11" name="Picture"/>
            <a:graphic>
              <a:graphicData uri="http://schemas.openxmlformats.org/drawingml/2006/picture">
                <pic:pic>
                  <pic:nvPicPr>
                    <pic:cNvPr descr="screenshots/03-audit-universe/admin-department-master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Business functions" title="" id="14" name="Picture"/>
            <a:graphic>
              <a:graphicData uri="http://schemas.openxmlformats.org/drawingml/2006/picture">
                <pic:pic>
                  <pic:nvPicPr>
                    <pic:cNvPr descr="screenshots/03-audit-universe/admin-business-function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risk-configuration"/>
    <w:p>
      <w:pPr>
        <w:pStyle w:val="Heading2"/>
      </w:pPr>
      <w:r>
        <w:t xml:space="preserve">3. Risk configuration</w:t>
      </w:r>
    </w:p>
    <w:p>
      <w:pPr>
        <w:pStyle w:val="FirstParagraph"/>
      </w:pPr>
      <w:r>
        <w:rPr>
          <w:rStyle w:val="VerbatimChar"/>
        </w:rPr>
        <w:t xml:space="preserve">/audit/risk-settings</w:t>
      </w:r>
      <w:r>
        <w:t xml:space="preserve"> </w:t>
      </w:r>
      <w:r>
        <w:t xml:space="preserve">defines the scoring model used everywhere: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Likelihood levels (1–5)</w:t>
            </w:r>
          </w:p>
        </w:tc>
        <w:tc>
          <w:tcPr/>
          <w:p>
            <w:pPr>
              <w:pStyle w:val="Compact"/>
            </w:pPr>
            <w:r>
              <w:t xml:space="preserve">The vertical axis of the risk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levels (1–5)</w:t>
            </w:r>
          </w:p>
        </w:tc>
        <w:tc>
          <w:tcPr/>
          <w:p>
            <w:pPr>
              <w:pStyle w:val="Compact"/>
            </w:pPr>
            <w:r>
              <w:t xml:space="preserve">The horizontal axis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criteria and weights</w:t>
            </w:r>
          </w:p>
        </w:tc>
        <w:tc>
          <w:tcPr/>
          <w:p>
            <w:pPr>
              <w:pStyle w:val="Compact"/>
            </w:pPr>
            <w:r>
              <w:t xml:space="preserve">How factor scores combine into a risk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 thresholds</w:t>
            </w:r>
          </w:p>
        </w:tc>
        <w:tc>
          <w:tcPr/>
          <w:p>
            <w:pPr>
              <w:pStyle w:val="Compact"/>
            </w:pPr>
            <w:r>
              <w:t xml:space="preserve">Score bands for Low / Medium / High /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effectiveness levels</w:t>
            </w:r>
          </w:p>
        </w:tc>
        <w:tc>
          <w:tcPr/>
          <w:p>
            <w:pPr>
              <w:pStyle w:val="Compact"/>
            </w:pPr>
            <w:r>
              <w:t xml:space="preserve">The percentage by which effective controls reduce inherent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frequency by risk band</w:t>
            </w:r>
          </w:p>
        </w:tc>
        <w:tc>
          <w:tcPr/>
          <w:p>
            <w:pPr>
              <w:pStyle w:val="Compact"/>
            </w:pPr>
            <w:r>
              <w:t xml:space="preserve">How often an entity should be audited — feeds plan proposals</w:t>
            </w:r>
          </w:p>
        </w:tc>
      </w:tr>
    </w:tbl>
    <w:p>
      <w:pPr>
        <w:pStyle w:val="BodyText"/>
      </w:pPr>
      <w:r>
        <w:t xml:space="preserve">Changing thresholds re-classifies existing entities the next time they are assessed; it does</w:t>
      </w:r>
      <w:r>
        <w:t xml:space="preserve"> </w:t>
      </w:r>
      <w:r>
        <w:t xml:space="preserve">not rewrite historical assessments.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Risk configuration" title="" id="18" name="Picture"/>
            <a:graphic>
              <a:graphicData uri="http://schemas.openxmlformats.org/drawingml/2006/picture">
                <pic:pic>
                  <pic:nvPicPr>
                    <pic:cNvPr descr="screenshots/02-administration/admin-risk-configuratio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Risk configuration</w:t>
      </w:r>
    </w:p>
    <w:bookmarkEnd w:id="20"/>
    <w:bookmarkStart w:id="27" w:name="risk-assessment-and-register"/>
    <w:p>
      <w:pPr>
        <w:pStyle w:val="Heading2"/>
      </w:pPr>
      <w:r>
        <w:t xml:space="preserve">4. Risk assessment and register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Assessment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/audit/risk-assessment</w:t>
      </w:r>
      <w:r>
        <w:t xml:space="preserve">) — score each function against the configured</w:t>
      </w:r>
      <w:r>
        <w:t xml:space="preserve"> </w:t>
      </w:r>
      <w:r>
        <w:t xml:space="preserve">criteria. Saving an assessment synchronises the department’s risk rating.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Entity Risk Summary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/audit/entity-summary</w:t>
      </w:r>
      <w:r>
        <w:t xml:space="preserve">) — consolidated position per entity.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Matrix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/audit/risk-matrix</w:t>
      </w:r>
      <w:r>
        <w:t xml:space="preserve">) — the heat map presented to the audit committee.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Register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/audit/risk-register</w:t>
      </w:r>
      <w:r>
        <w:t xml:space="preserve">) — the standing register, keyed on department and</w:t>
      </w:r>
      <w:r>
        <w:t xml:space="preserve"> </w:t>
      </w:r>
      <w:r>
        <w:t xml:space="preserve">business function.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Risk assessment" title="" id="22" name="Picture"/>
            <a:graphic>
              <a:graphicData uri="http://schemas.openxmlformats.org/drawingml/2006/picture">
                <pic:pic>
                  <pic:nvPicPr>
                    <pic:cNvPr descr="screenshots/04-risk-assessment/lead-risk-assessmen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Risk register" title="" id="25" name="Picture"/>
            <a:graphic>
              <a:graphicData uri="http://schemas.openxmlformats.org/drawingml/2006/picture">
                <pic:pic>
                  <pic:nvPicPr>
                    <pic:cNvPr descr="screenshots/03-audit-universe/admin-risk-register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40" w:name="module-configuration"/>
    <w:p>
      <w:pPr>
        <w:pStyle w:val="Heading2"/>
      </w:pPr>
      <w:r>
        <w:t xml:space="preserve">5. Module configuration</w:t>
      </w:r>
    </w:p>
    <w:p>
      <w:pPr>
        <w:pStyle w:val="FirstParagraph"/>
      </w:pPr>
      <w:r>
        <w:rPr>
          <w:rStyle w:val="VerbatimChar"/>
        </w:rPr>
        <w:t xml:space="preserve">/audit/config</w:t>
      </w:r>
      <w:r>
        <w:t xml:space="preserve"> </w:t>
      </w:r>
      <w:r>
        <w:t xml:space="preserve">groups the operational settings: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 engine</w:t>
            </w:r>
          </w:p>
        </w:tc>
        <w:tc>
          <w:tcPr/>
          <w:p>
            <w:pPr>
              <w:pStyle w:val="Compact"/>
            </w:pPr>
            <w:r>
              <w:t xml:space="preserve">Audit frequency defaults, planning horizon, capacity assumptions, the Revise-Plan guard (Block / Warn / Allow)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Which lifecycle steps need approval and by which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types</w:t>
            </w:r>
          </w:p>
        </w:tc>
        <w:tc>
          <w:tcPr/>
          <w:p>
            <w:pPr>
              <w:pStyle w:val="Compact"/>
            </w:pPr>
            <w:r>
              <w:t xml:space="preserve">The catalogue of fieldwork activity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 &amp; SLA</w:t>
            </w:r>
          </w:p>
        </w:tc>
        <w:tc>
          <w:tcPr/>
          <w:p>
            <w:pPr>
              <w:pStyle w:val="Compact"/>
            </w:pPr>
            <w:r>
              <w:t xml:space="preserve">Response deadlines, reminder lead times (for example 7 / 3 / 1 day), overdue escalation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settings</w:t>
            </w:r>
          </w:p>
        </w:tc>
        <w:tc>
          <w:tcPr/>
          <w:p>
            <w:pPr>
              <w:pStyle w:val="Compact"/>
            </w:pPr>
            <w:r>
              <w:t xml:space="preserve">Severity labels, ratings, dispositions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Which optional Internal Audit surfaces are enabled</w:t>
            </w:r>
          </w:p>
        </w:tc>
      </w:tr>
    </w:tbl>
    <w:p>
      <w:pPr>
        <w:pStyle w:val="BodyText"/>
      </w:pPr>
      <w:r>
        <w:drawing>
          <wp:inline>
            <wp:extent cx="5334000" cy="3333750"/>
            <wp:effectExtent b="0" l="0" r="0" t="0"/>
            <wp:docPr descr="Planning engine" title="" id="29" name="Picture"/>
            <a:graphic>
              <a:graphicData uri="http://schemas.openxmlformats.org/drawingml/2006/picture">
                <pic:pic>
                  <pic:nvPicPr>
                    <pic:cNvPr descr="screenshots/02-administration/admin-config-planning-engin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Approvals" title="" id="32" name="Picture"/>
            <a:graphic>
              <a:graphicData uri="http://schemas.openxmlformats.org/drawingml/2006/picture">
                <pic:pic>
                  <pic:nvPicPr>
                    <pic:cNvPr descr="screenshots/02-administration/admin-config-approval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Notifications and SLA" title="" id="35" name="Picture"/>
            <a:graphic>
              <a:graphicData uri="http://schemas.openxmlformats.org/drawingml/2006/picture">
                <pic:pic>
                  <pic:nvPicPr>
                    <pic:cNvPr descr="screenshots/02-administration/admin-config-notifications-sl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Feature flags" title="" id="38" name="Picture"/>
            <a:graphic>
              <a:graphicData uri="http://schemas.openxmlformats.org/drawingml/2006/picture">
                <pic:pic>
                  <pic:nvPicPr>
                    <pic:cNvPr descr="screenshots/02-administration/admin-config-feature-flag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escalation-roles"/>
    <w:p>
      <w:pPr>
        <w:pStyle w:val="Heading2"/>
      </w:pPr>
      <w:r>
        <w:t xml:space="preserve">6. Escalation roles</w:t>
      </w:r>
    </w:p>
    <w:p>
      <w:pPr>
        <w:pStyle w:val="FirstParagraph"/>
      </w:pPr>
      <w:r>
        <w:rPr>
          <w:rStyle w:val="VerbatimChar"/>
        </w:rPr>
        <w:t xml:space="preserve">/audit/escalation-roles</w:t>
      </w:r>
      <w:r>
        <w:t xml:space="preserve"> </w:t>
      </w:r>
      <w:r>
        <w:t xml:space="preserve">maps each escalation level to a real office holder — for example</w:t>
      </w:r>
      <w:r>
        <w:t xml:space="preserve"> </w:t>
      </w:r>
      <w:r>
        <w:t xml:space="preserve">overdue action → department head → director → Head of Internal Audit. Escalation</w:t>
      </w:r>
      <w:r>
        <w:t xml:space="preserve"> </w:t>
      </w:r>
      <w:r>
        <w:t xml:space="preserve">notifications resolve their recipients from this register, so keep it current when people</w:t>
      </w:r>
      <w:r>
        <w:t xml:space="preserve"> </w:t>
      </w:r>
      <w:r>
        <w:t xml:space="preserve">change roles.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scalation roles" title="" id="42" name="Picture"/>
            <a:graphic>
              <a:graphicData uri="http://schemas.openxmlformats.org/drawingml/2006/picture">
                <pic:pic>
                  <pic:nvPicPr>
                    <pic:cNvPr descr="screenshots/02-administration/admin-escalation-role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Escalation roles</w:t>
      </w:r>
    </w:p>
    <w:bookmarkEnd w:id="44"/>
    <w:bookmarkStart w:id="51" w:name="documents-and-communications"/>
    <w:p>
      <w:pPr>
        <w:pStyle w:val="Heading2"/>
      </w:pPr>
      <w:r>
        <w:t xml:space="preserve">7. Documents and communications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&amp; Output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/audit/document-templates</w:t>
      </w:r>
      <w:r>
        <w:t xml:space="preserve">) — letterhead, signature blocks,</w:t>
      </w:r>
      <w:r>
        <w:t xml:space="preserve"> </w:t>
      </w:r>
      <w:r>
        <w:t xml:space="preserve">footers and disclaimers used on generated audit letters and reports, and the numbering</w:t>
      </w:r>
      <w:r>
        <w:t xml:space="preserve"> </w:t>
      </w:r>
      <w:r>
        <w:t xml:space="preserve">format for engagements, findings and actions.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Communication Templates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/audit/templates</w:t>
      </w:r>
      <w:r>
        <w:t xml:space="preserve">) — opens the platform’s Core Template</w:t>
      </w:r>
      <w:r>
        <w:t xml:space="preserve"> </w:t>
      </w:r>
      <w:r>
        <w:t xml:space="preserve">Designer filtered to the AUDIT module. Every Internal Audit notification is a catalogued</w:t>
      </w:r>
      <w:r>
        <w:t xml:space="preserve"> </w:t>
      </w:r>
      <w:r>
        <w:t xml:space="preserve">event with published Email and In-App template versions. Edit content there; never create a</w:t>
      </w:r>
      <w:r>
        <w:t xml:space="preserve"> </w:t>
      </w:r>
      <w:r>
        <w:t xml:space="preserve">parallel audit-only mail or SMS mechanism.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Document and output settings" title="" id="46" name="Picture"/>
            <a:graphic>
              <a:graphicData uri="http://schemas.openxmlformats.org/drawingml/2006/picture">
                <pic:pic>
                  <pic:nvPicPr>
                    <pic:cNvPr descr="screenshots/02-administration/admin-document-output-setting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Communication templates" title="" id="49" name="Picture"/>
            <a:graphic>
              <a:graphicData uri="http://schemas.openxmlformats.org/drawingml/2006/picture">
                <pic:pic>
                  <pic:nvPicPr>
                    <pic:cNvPr descr="screenshots/02-administration/admin-communication-template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61" w:name="auditor-resources"/>
    <w:p>
      <w:pPr>
        <w:pStyle w:val="Heading2"/>
      </w:pPr>
      <w:r>
        <w:t xml:space="preserve">8. Auditor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 Profiles (</w:t>
            </w:r>
            <w:r>
              <w:rPr>
                <w:rStyle w:val="VerbatimChar"/>
              </w:rPr>
              <w:t xml:space="preserve">/audit/auditors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Link a platform profile to an auditor record with specialisation, qualification and status.</w:t>
            </w:r>
            <w:r>
              <w:t xml:space="preserve"> </w:t>
            </w:r>
            <w:r>
              <w:rPr>
                <w:b/>
                <w:bCs/>
              </w:rPr>
              <w:t xml:space="preserve">A person only counts as audit team once they have an auditor profile</w:t>
            </w:r>
            <w:r>
              <w:t xml:space="preserve"> </w:t>
            </w:r>
            <w:r>
              <w:t xml:space="preserve">— this is what separates auditors from management respondents.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&amp; Capacity (</w:t>
            </w:r>
            <w:r>
              <w:rPr>
                <w:rStyle w:val="VerbatimChar"/>
              </w:rPr>
              <w:t xml:space="preserve">/audit/workload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Available days per auditor against planned engagement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 Leave (</w:t>
            </w:r>
            <w:r>
              <w:rPr>
                <w:rStyle w:val="VerbatimChar"/>
              </w:rPr>
              <w:t xml:space="preserve">/audit/leave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Leave and vacation, subtracted from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Tracking (</w:t>
            </w:r>
            <w:r>
              <w:rPr>
                <w:rStyle w:val="VerbatimChar"/>
              </w:rPr>
              <w:t xml:space="preserve">/audit/time-tracking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Actual hours per engagement and activity</w:t>
            </w:r>
          </w:p>
        </w:tc>
      </w:tr>
    </w:tbl>
    <w:p>
      <w:pPr>
        <w:pStyle w:val="BodyText"/>
      </w:pPr>
      <w:r>
        <w:drawing>
          <wp:inline>
            <wp:extent cx="5334000" cy="3333750"/>
            <wp:effectExtent b="0" l="0" r="0" t="0"/>
            <wp:docPr descr="Auditor profiles" title="" id="53" name="Picture"/>
            <a:graphic>
              <a:graphicData uri="http://schemas.openxmlformats.org/drawingml/2006/picture">
                <pic:pic>
                  <pic:nvPicPr>
                    <pic:cNvPr descr="screenshots/02-administration/admin-auditor-profile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Workload and capacity" title="" id="56" name="Picture"/>
            <a:graphic>
              <a:graphicData uri="http://schemas.openxmlformats.org/drawingml/2006/picture">
                <pic:pic>
                  <pic:nvPicPr>
                    <pic:cNvPr descr="screenshots/02-administration/lead-workload-capacity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Auditor leave" title="" id="59" name="Picture"/>
            <a:graphic>
              <a:graphicData uri="http://schemas.openxmlformats.org/drawingml/2006/picture">
                <pic:pic>
                  <pic:nvPicPr>
                    <pic:cNvPr descr="screenshots/02-administration/admin-auditor-leav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2" w:name="roles-and-permissions"/>
    <w:p>
      <w:pPr>
        <w:pStyle w:val="Heading2"/>
      </w:pPr>
      <w:r>
        <w:t xml:space="preserve">9. Roles and permissions</w:t>
      </w:r>
    </w:p>
    <w:p>
      <w:pPr>
        <w:pStyle w:val="FirstParagraph"/>
      </w:pPr>
      <w:r>
        <w:t xml:space="preserve">The five Internal Audit roles and the entitlements behind each screen are administered in the</w:t>
      </w:r>
      <w:r>
        <w:t xml:space="preserve"> </w:t>
      </w:r>
      <w:r>
        <w:t xml:space="preserve">platform’s Role &amp; Permission screens. The key registry actions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audit_plans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audit_engagements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launch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activity_workbench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control_testing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evidence_management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working_papers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findings_recommendations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management_responses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follow_up_tracker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audit_report_center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plan_closeout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audit_risk_configuration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risk_assessment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</w:p>
        </w:tc>
      </w:tr>
    </w:tbl>
    <w:p>
      <w:pPr>
        <w:pStyle w:val="BodyText"/>
      </w:pPr>
      <w:r>
        <w:t xml:space="preserve">Grant these to the five roles — Head of Internal Audit, Lead Auditor, Audit Team Member,</w:t>
      </w:r>
      <w:r>
        <w:t xml:space="preserve"> </w:t>
      </w:r>
      <w:r>
        <w:t xml:space="preserve">Quality Reviewer, Management Respondent — rather than to individuals.</w:t>
      </w:r>
    </w:p>
    <w:bookmarkEnd w:id="62"/>
    <w:bookmarkStart w:id="63" w:name="administrator-health-checks"/>
    <w:p>
      <w:pPr>
        <w:pStyle w:val="Heading2"/>
      </w:pPr>
      <w:r>
        <w:t xml:space="preserve">10. Administrator health checks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Communication Compliance report — every required audit notification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Auditor profiles and escalation roles still match the org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Risk configuration still matches the approved methodology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Audit universe refresh: new departments and functions added before planning starts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6" w:name="X54165c04565fb6911544cb199c944bf2ee9ab4f"/>
    <w:p>
      <w:pPr>
        <w:pStyle w:val="Heading2"/>
      </w:pPr>
      <w:r>
        <w:t xml:space="preserve">Document Control — Version History &amp; Change Log</w:t>
      </w:r>
    </w:p>
    <w:p>
      <w:pPr>
        <w:pStyle w:val="FirstParagraph"/>
      </w:pPr>
      <w:r>
        <w:rPr>
          <w:b/>
          <w:bCs/>
        </w:rPr>
        <w:t xml:space="preserve">Document owner:</w:t>
      </w:r>
      <w:r>
        <w:t xml:space="preserve"> </w:t>
      </w:r>
      <w:r>
        <w:t xml:space="preserve">Head of Internal Audit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Annually, or on any change to the Internal Audit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913"/>
        <w:gridCol w:w="1218"/>
        <w:gridCol w:w="2893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2026-08-30</w:t>
            </w:r>
          </w:p>
        </w:tc>
        <w:tc>
          <w:tcPr/>
          <w:p>
            <w:pPr>
              <w:pStyle w:val="Compact"/>
            </w:pPr>
            <w:r>
              <w:t xml:space="preserve">Internal Audit / Platform Team</w:t>
            </w:r>
          </w:p>
        </w:tc>
        <w:tc>
          <w:tcPr/>
          <w:p>
            <w:pPr>
              <w:pStyle w:val="Compact"/>
            </w:pPr>
            <w:r>
              <w:t xml:space="preserve">First issued manual, generated from the live TEST environment (routes, tabs, governed commands and screenshots).</w:t>
            </w:r>
          </w:p>
        </w:tc>
        <w:tc>
          <w:tcPr/>
          <w:p>
            <w:pPr>
              <w:pStyle w:val="Compact"/>
            </w:pPr>
            <w:r>
              <w:t xml:space="preserve">Reviewed: Lead Auditor. Approved by Head of Internal Audit on:</w:t>
            </w:r>
            <w:r>
              <w:t xml:space="preserve"> </w:t>
            </w:r>
            <w:r>
              <w:rPr>
                <w:i/>
                <w:iCs/>
              </w:rPr>
              <w:t xml:space="preserve">Pending</w:t>
            </w:r>
          </w:p>
        </w:tc>
      </w:tr>
    </w:tbl>
    <w:bookmarkStart w:id="64" w:name="how-to-record-an-update"/>
    <w:p>
      <w:pPr>
        <w:pStyle w:val="Heading3"/>
      </w:pPr>
      <w:r>
        <w:t xml:space="preserve">How to record an update</w:t>
      </w:r>
    </w:p>
    <w:p>
      <w:pPr>
        <w:pStyle w:val="Compact"/>
        <w:numPr>
          <w:ilvl w:val="0"/>
          <w:numId w:val="1003"/>
        </w:numPr>
      </w:pPr>
      <w:r>
        <w:t xml:space="preserve">Add a new row at the top of the table for every content change — never edit a released row.</w:t>
      </w:r>
    </w:p>
    <w:p>
      <w:pPr>
        <w:pStyle w:val="Compact"/>
        <w:numPr>
          <w:ilvl w:val="0"/>
          <w:numId w:val="1003"/>
        </w:numPr>
      </w:pPr>
      <w:r>
        <w:t xml:space="preserve">Increment the minor version (1.1, 1.2 …) for clarifications and screenshot refreshes;</w:t>
      </w:r>
      <w:r>
        <w:t xml:space="preserve"> </w:t>
      </w:r>
      <w:r>
        <w:t xml:space="preserve">increment the major version (2.0) when a process, role or gate changes.</w:t>
      </w:r>
    </w:p>
    <w:p>
      <w:pPr>
        <w:pStyle w:val="Compact"/>
        <w:numPr>
          <w:ilvl w:val="0"/>
          <w:numId w:val="1003"/>
        </w:numPr>
      </w:pPr>
      <w:r>
        <w:t xml:space="preserve">State the change in business terms (what a reader must now do differently), not file edits.</w:t>
      </w:r>
    </w:p>
    <w:p>
      <w:pPr>
        <w:pStyle w:val="Compact"/>
        <w:numPr>
          <w:ilvl w:val="0"/>
          <w:numId w:val="1003"/>
        </w:numPr>
      </w:pPr>
      <w:r>
        <w:t xml:space="preserve">The manual is only</w:t>
      </w:r>
      <w:r>
        <w:t xml:space="preserve"> </w:t>
      </w:r>
      <w:r>
        <w:t xml:space="preserve">“released”</w:t>
      </w:r>
      <w:r>
        <w:t xml:space="preserve"> </w:t>
      </w:r>
      <w:r>
        <w:t xml:space="preserve">once the Head of Internal Audit records an approval date.</w:t>
      </w:r>
      <w:r>
        <w:t xml:space="preserve"> </w:t>
      </w:r>
      <w:r>
        <w:t xml:space="preserve">Until then it is marked</w:t>
      </w:r>
      <w:r>
        <w:t xml:space="preserve"> </w:t>
      </w:r>
      <w:r>
        <w:rPr>
          <w:i/>
          <w:iCs/>
        </w:rPr>
        <w:t xml:space="preserve">Pending</w:t>
      </w:r>
      <w:r>
        <w:t xml:space="preserve"> </w:t>
      </w:r>
      <w:r>
        <w:t xml:space="preserve">and must not be used as certification evidence.</w:t>
      </w:r>
    </w:p>
    <w:p>
      <w:pPr>
        <w:pStyle w:val="Compact"/>
        <w:numPr>
          <w:ilvl w:val="0"/>
          <w:numId w:val="1003"/>
        </w:numPr>
      </w:pPr>
      <w:r>
        <w:t xml:space="preserve">Re-export the PDF and DOCX from the Internal Audit User Manuals page after each approval.</w:t>
      </w:r>
    </w:p>
    <w:bookmarkEnd w:id="64"/>
    <w:bookmarkStart w:id="65" w:name="change-log"/>
    <w:p>
      <w:pPr>
        <w:pStyle w:val="Heading3"/>
      </w:pPr>
      <w:r>
        <w:t xml:space="preserve">Change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Sections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Initial release.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8" Target="media/rId58.png" /><Relationship Type="http://schemas.openxmlformats.org/officeDocument/2006/relationships/image" Id="rId52" Target="media/rId52.png" /><Relationship Type="http://schemas.openxmlformats.org/officeDocument/2006/relationships/image" Id="rId48" Target="media/rId48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28" Target="media/rId28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55" Target="media/rId55.png" /><Relationship Type="http://schemas.openxmlformats.org/officeDocument/2006/relationships/image" Id="rId13" Target="media/rId13.png" /><Relationship Type="http://schemas.openxmlformats.org/officeDocument/2006/relationships/image" Id="rId10" Target="media/rId10.png" /><Relationship Type="http://schemas.openxmlformats.org/officeDocument/2006/relationships/image" Id="rId24" Target="media/rId24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2026-08-30T08:01:00Z</dcterms:created>
  <dcterms:modified xsi:type="dcterms:W3CDTF">2026-08-30T08:01:00Z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