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nternal-audit-module-user-manual"/>
    <w:p>
      <w:pPr>
        <w:pStyle w:val="Heading1"/>
      </w:pPr>
      <w:r>
        <w:t xml:space="preserve">Internal Audit Module — User Manual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all Internal Audit users</w:t>
      </w:r>
      <w:r>
        <w:t xml:space="preserve"> </w:t>
      </w:r>
      <w:r>
        <w:rPr>
          <w:b/>
          <w:bCs/>
        </w:rPr>
        <w:t xml:space="preserve">Environment shown:</w:t>
      </w:r>
      <w:r>
        <w:t xml:space="preserve"> </w:t>
      </w:r>
      <w:r>
        <w:t xml:space="preserve">TEST instance (screenshots captured from the live application)</w:t>
      </w:r>
      <w:r>
        <w:t xml:space="preserve"> </w:t>
      </w:r>
      <w:r>
        <w:rPr>
          <w:b/>
          <w:bCs/>
        </w:rPr>
        <w:t xml:space="preserve">Module prefix:</w:t>
      </w:r>
      <w:r>
        <w:t xml:space="preserve"> </w:t>
      </w:r>
      <w:r>
        <w:t xml:space="preserve">Internal Audit (</w:t>
      </w:r>
      <w:r>
        <w:rPr>
          <w:rStyle w:val="VerbatimChar"/>
        </w:rPr>
        <w:t xml:space="preserve">/audit/*</w:t>
      </w:r>
      <w:r>
        <w:t xml:space="preserve">)</w:t>
      </w:r>
    </w:p>
    <w:p>
      <w:pPr>
        <w:pStyle w:val="BodyText"/>
      </w:pPr>
      <w:r>
        <w:t xml:space="preserve">This manual set is organised by role. Start here for the shared concepts, then read the</w:t>
      </w:r>
      <w:r>
        <w:t xml:space="preserve"> </w:t>
      </w:r>
      <w:r>
        <w:t xml:space="preserve">manual for your own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3321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Role manual</w:t>
            </w:r>
          </w:p>
        </w:tc>
        <w:tc>
          <w:tcPr/>
          <w:p>
            <w:pPr>
              <w:pStyle w:val="Compact"/>
            </w:pPr>
            <w:r>
              <w:t xml:space="preserve">Who it is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Head of Internal Audit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Owns the annual plan, approvals, closure and board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Lead Auditor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Runs engagements: preparation, programme, fieldwork, issuance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Audit Team Member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Control testing, evidence, working papers,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Quality Reviewer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Independent quality review and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Management Respondent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Audited department: responses, corrective actions,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Audit Administrator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Master data, risk configuration, settings, templates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" w:name="the-audit-lifecycle"/>
    <w:p>
      <w:pPr>
        <w:pStyle w:val="Heading2"/>
      </w:pPr>
      <w:r>
        <w:t xml:space="preserve">1. The audit lifecycle</w:t>
      </w:r>
    </w:p>
    <w:p>
      <w:pPr>
        <w:pStyle w:val="SourceCode"/>
      </w:pPr>
      <w:r>
        <w:rPr>
          <w:rStyle w:val="VerbatimChar"/>
        </w:rPr>
        <w:t xml:space="preserve">Master data      Risk            Planning         Execution              Resolution</w:t>
      </w:r>
      <w:r>
        <w:br/>
      </w:r>
      <w:r>
        <w:rPr>
          <w:rStyle w:val="VerbatimChar"/>
        </w:rPr>
        <w:t xml:space="preserve">-----------      ----            --------         ---------              ----------</w:t>
      </w:r>
      <w:r>
        <w:br/>
      </w:r>
      <w:r>
        <w:rPr>
          <w:rStyle w:val="VerbatimChar"/>
        </w:rPr>
        <w:t xml:space="preserve">Departments  -&gt;  Risk        -&gt;  Annual plan  -&gt;  Preparation        -&gt;  Management response</w:t>
      </w:r>
      <w:r>
        <w:br/>
      </w:r>
      <w:r>
        <w:rPr>
          <w:rStyle w:val="VerbatimChar"/>
        </w:rPr>
        <w:t xml:space="preserve">Functions        assessment      Approval         Programme / RCM        Corrective action</w:t>
      </w:r>
      <w:r>
        <w:br/>
      </w:r>
      <w:r>
        <w:rPr>
          <w:rStyle w:val="VerbatimChar"/>
        </w:rPr>
        <w:t xml:space="preserve">Auditors         Risk matrix     Launch           Fieldwork &amp; evidence   Follow-up verification</w:t>
      </w:r>
      <w:r>
        <w:br/>
      </w:r>
      <w:r>
        <w:rPr>
          <w:rStyle w:val="VerbatimChar"/>
        </w:rPr>
        <w:t xml:space="preserve">                 Risk register                    Findings               Quality review</w:t>
      </w:r>
      <w:r>
        <w:br/>
      </w:r>
      <w:r>
        <w:rPr>
          <w:rStyle w:val="VerbatimChar"/>
        </w:rPr>
        <w:t xml:space="preserve">                                                  Report issuance        Engagement closure</w:t>
      </w:r>
      <w:r>
        <w:br/>
      </w:r>
      <w:r>
        <w:rPr>
          <w:rStyle w:val="VerbatimChar"/>
        </w:rPr>
        <w:t xml:space="preserve">                                                                         Plan closure</w:t>
      </w:r>
    </w:p>
    <w:p>
      <w:pPr>
        <w:pStyle w:val="FirstParagraph"/>
      </w:pPr>
      <w:r>
        <w:t xml:space="preserve">Each stage is gated. The application will not let a stage advance until the previous stage’s</w:t>
      </w:r>
      <w:r>
        <w:t xml:space="preserve"> </w:t>
      </w:r>
      <w:r>
        <w:t xml:space="preserve">dependencies are satisfied, and the gates are enforced on the server — not just in the screen.</w:t>
      </w:r>
    </w:p>
    <w:bookmarkEnd w:id="15"/>
    <w:bookmarkStart w:id="19" w:name="navigation"/>
    <w:p>
      <w:pPr>
        <w:pStyle w:val="Heading2"/>
      </w:pPr>
      <w:r>
        <w:t xml:space="preserve">2. Navigation</w:t>
      </w:r>
    </w:p>
    <w:p>
      <w:pPr>
        <w:pStyle w:val="FirstParagraph"/>
      </w:pPr>
      <w:r>
        <w:t xml:space="preserve">Internal Audit appears in the left sidebar. The groups and their entries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/audit/departments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Business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/audit/risk-register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/audit/risk-assessment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Entity Risk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/audit/entity-summary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Risk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/audit/risk-matrix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Audit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/audit/audit-plans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Plan 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/audit/plan-approval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Audits (engagements)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Audit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Audit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Action Centre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/audit/action-centre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Auditor 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Workload &amp;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Time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/audit/time-tracking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Auditor 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/audit/leave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Report 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/audit/audit-reports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Report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/audit/report-builder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Engagement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/audit/reports/engagement-summary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Plan Slippage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/audit/reports/plan-slippage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Overdue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/audit/reports/overdue-actions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Carry-Forward 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/audit/reports/carry-forward-aging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Communication 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/audit/reports/communication-compliance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Audit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Risk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/audit/risk-settings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Document &amp; Output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/audit/document-templates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Escalation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/audit/escalation-roles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Communication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/audit/templates</w:t>
            </w:r>
          </w:p>
        </w:tc>
      </w:tr>
    </w:tbl>
    <w:p>
      <w:pPr>
        <w:pStyle w:val="BodyText"/>
      </w:pPr>
      <w:r>
        <w:t xml:space="preserve">You only see the entries your role is entitled to. A Management Respondent, for example, sees</w:t>
      </w:r>
      <w:r>
        <w:t xml:space="preserve"> </w:t>
      </w:r>
      <w:r>
        <w:t xml:space="preserve">a restricted</w:t>
      </w:r>
      <w:r>
        <w:t xml:space="preserve"> </w:t>
      </w:r>
      <w:r>
        <w:rPr>
          <w:b/>
          <w:bCs/>
        </w:rPr>
        <w:t xml:space="preserve">Internal Audit → Management Workspace</w:t>
      </w:r>
      <w:r>
        <w:t xml:space="preserve"> </w:t>
      </w:r>
      <w:r>
        <w:t xml:space="preserve">group with four entries only: My Work,</w:t>
      </w:r>
      <w:r>
        <w:t xml:space="preserve"> </w:t>
      </w:r>
      <w:r>
        <w:t xml:space="preserve">Findings Register, Corrective Actions and Follow-Ups.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ead of Internal Audit dashboard" title="" id="17" name="Picture"/>
            <a:graphic>
              <a:graphicData uri="http://schemas.openxmlformats.org/drawingml/2006/picture">
                <pic:pic>
                  <pic:nvPicPr>
                    <pic:cNvPr descr="screenshots/01-login-navigation/hia-dashboar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Head of Internal Audit dashboard</w:t>
      </w:r>
    </w:p>
    <w:bookmarkEnd w:id="19"/>
    <w:bookmarkStart w:id="23" w:name="the-audit-workspace"/>
    <w:p>
      <w:pPr>
        <w:pStyle w:val="Heading2"/>
      </w:pPr>
      <w:r>
        <w:t xml:space="preserve">3. The audit workspace</w:t>
      </w:r>
    </w:p>
    <w:p>
      <w:pPr>
        <w:pStyle w:val="FirstParagraph"/>
      </w:pPr>
      <w:r>
        <w:t xml:space="preserve">Every engagement opens as a single workspace at</w:t>
      </w:r>
      <w:r>
        <w:t xml:space="preserve"> </w:t>
      </w:r>
      <w:r>
        <w:rPr>
          <w:rStyle w:val="VerbatimChar"/>
        </w:rPr>
        <w:t xml:space="preserve">/audit/audits/:id</w:t>
      </w:r>
      <w:r>
        <w:t xml:space="preserve"> </w:t>
      </w:r>
      <w:r>
        <w:t xml:space="preserve">with a lifecycle stepper</w:t>
      </w:r>
      <w:r>
        <w:t xml:space="preserve"> </w:t>
      </w:r>
      <w:r>
        <w:t xml:space="preserve">and these tabs: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Lifecycle stage, server-derived progress, recommended next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Notification, kick-off, scope confirmation, preliminary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</w:t>
            </w:r>
          </w:p>
        </w:tc>
        <w:tc>
          <w:tcPr/>
          <w:p>
            <w:pPr>
              <w:pStyle w:val="Compact"/>
            </w:pPr>
            <w:r>
              <w:t xml:space="preserve">Risk Control Matrix — processes, risks, controls,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Fieldwork activities and their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Tests</w:t>
            </w:r>
          </w:p>
        </w:tc>
        <w:tc>
          <w:tcPr/>
          <w:p>
            <w:pPr>
              <w:pStyle w:val="Compact"/>
            </w:pPr>
            <w:r>
              <w:t xml:space="preserve">Test execution and Pass / Fail / Partial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Evidence files supporting tests and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Papers</w:t>
            </w:r>
          </w:p>
        </w:tc>
        <w:tc>
          <w:tcPr/>
          <w:p>
            <w:pPr>
              <w:pStyle w:val="Compact"/>
            </w:pPr>
            <w:r>
              <w:t xml:space="preserve">Structured working paper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Findings, severity, root cause,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Responses</w:t>
            </w:r>
          </w:p>
        </w:tc>
        <w:tc>
          <w:tcPr/>
          <w:p>
            <w:pPr>
              <w:pStyle w:val="Compact"/>
            </w:pPr>
            <w:r>
              <w:t xml:space="preserve">Management responses per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Corrective actions with owner, target date,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Follow-Ups</w:t>
            </w:r>
          </w:p>
        </w:tc>
        <w:tc>
          <w:tcPr/>
          <w:p>
            <w:pPr>
              <w:pStyle w:val="Compact"/>
            </w:pPr>
            <w:r>
              <w:t xml:space="preserve">Independent verification of implemented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QA checklist, rating, rework or satisfactory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Every governed event and every communication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</w:t>
            </w:r>
          </w:p>
        </w:tc>
        <w:tc>
          <w:tcPr/>
          <w:p>
            <w:pPr>
              <w:pStyle w:val="Compact"/>
            </w:pPr>
            <w:r>
              <w:t xml:space="preserve">Closure readiness, blockers, final rating, closure decision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Engagement overview" title="" id="21" name="Picture"/>
            <a:graphic>
              <a:graphicData uri="http://schemas.openxmlformats.org/drawingml/2006/picture">
                <pic:pic>
                  <pic:nvPicPr>
                    <pic:cNvPr descr="screenshots/07-preparation/eng-2029-003-over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Engagement overview</w:t>
      </w:r>
    </w:p>
    <w:bookmarkEnd w:id="23"/>
    <w:bookmarkStart w:id="27" w:name="the-action-centre"/>
    <w:p>
      <w:pPr>
        <w:pStyle w:val="Heading2"/>
      </w:pPr>
      <w:r>
        <w:t xml:space="preserve">4. The Action Centre</w:t>
      </w:r>
    </w:p>
    <w:p>
      <w:pPr>
        <w:pStyle w:val="FirstParagraph"/>
      </w:pPr>
      <w:r>
        <w:rPr>
          <w:rStyle w:val="VerbatimChar"/>
        </w:rPr>
        <w:t xml:space="preserve">/audit/action-centre</w:t>
      </w:r>
      <w:r>
        <w:t xml:space="preserve"> </w:t>
      </w:r>
      <w:r>
        <w:t xml:space="preserve">is the cross-engagement work queue. Tabs: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30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Shown to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Audit Work</w:t>
            </w:r>
          </w:p>
        </w:tc>
        <w:tc>
          <w:tcPr/>
          <w:p>
            <w:pPr>
              <w:pStyle w:val="Compact"/>
            </w:pPr>
            <w:r>
              <w:t xml:space="preserve">Audit team</w:t>
            </w:r>
          </w:p>
        </w:tc>
        <w:tc>
          <w:tcPr/>
          <w:p>
            <w:pPr>
              <w:pStyle w:val="Compact"/>
            </w:pPr>
            <w:r>
              <w:t xml:space="preserve">Everything assigned to you across engagements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Actions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Responses and corrective actions owed by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of Audit</w:t>
            </w:r>
          </w:p>
        </w:tc>
        <w:tc>
          <w:tcPr/>
          <w:p>
            <w:pPr>
              <w:pStyle w:val="Compact"/>
            </w:pPr>
            <w:r>
              <w:t xml:space="preserve">Audit team</w:t>
            </w:r>
          </w:p>
        </w:tc>
        <w:tc>
          <w:tcPr/>
          <w:p>
            <w:pPr>
              <w:pStyle w:val="Compact"/>
            </w:pPr>
            <w:r>
              <w:t xml:space="preserve">Items needing the Head’s 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Register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Every corrective action, filterable and exportable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Register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Every finding with severity and response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Audit team</w:t>
            </w:r>
          </w:p>
        </w:tc>
        <w:tc>
          <w:tcPr/>
          <w:p>
            <w:pPr>
              <w:pStyle w:val="Compact"/>
            </w:pPr>
            <w:r>
              <w:t xml:space="preserve">Actions claimed complete, awaiting audit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Scheduled follow-up verifications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Audit team</w:t>
            </w:r>
          </w:p>
        </w:tc>
        <w:tc>
          <w:tcPr/>
          <w:p>
            <w:pPr>
              <w:pStyle w:val="Compact"/>
            </w:pPr>
            <w:r>
              <w:t xml:space="preserve">QA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Readiness</w:t>
            </w:r>
          </w:p>
        </w:tc>
        <w:tc>
          <w:tcPr/>
          <w:p>
            <w:pPr>
              <w:pStyle w:val="Compact"/>
            </w:pPr>
            <w:r>
              <w:t xml:space="preserve">Audit team</w:t>
            </w:r>
          </w:p>
        </w:tc>
        <w:tc>
          <w:tcPr/>
          <w:p>
            <w:pPr>
              <w:pStyle w:val="Compact"/>
            </w:pPr>
            <w:r>
              <w:t xml:space="preserve">Engagements ready — or blocked — for closure</w:t>
            </w:r>
          </w:p>
        </w:tc>
      </w:tr>
    </w:tbl>
    <w:p>
      <w:pPr>
        <w:pStyle w:val="BodyText"/>
      </w:pPr>
      <w:r>
        <w:t xml:space="preserve">Filters: annual plan, audit, department, function area, action owner, severity, action</w:t>
      </w:r>
      <w:r>
        <w:t xml:space="preserve"> </w:t>
      </w:r>
      <w:r>
        <w:t xml:space="preserve">status, finding status and a due-date range. Export produces CSV/Excel matching the filtered</w:t>
      </w:r>
      <w:r>
        <w:t xml:space="preserve"> </w:t>
      </w:r>
      <w:r>
        <w:t xml:space="preserve">row count shown next to the Export control.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ction Centre" title="" id="25" name="Picture"/>
            <a:graphic>
              <a:graphicData uri="http://schemas.openxmlformats.org/drawingml/2006/picture">
                <pic:pic>
                  <pic:nvPicPr>
                    <pic:cNvPr descr="screenshots/19-action-centre/hia-action-centre-overvie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Action Centre</w:t>
      </w:r>
    </w:p>
    <w:bookmarkEnd w:id="27"/>
    <w:bookmarkStart w:id="31" w:name="communications"/>
    <w:p>
      <w:pPr>
        <w:pStyle w:val="Heading2"/>
      </w:pPr>
      <w:r>
        <w:t xml:space="preserve">5. Communications</w:t>
      </w:r>
    </w:p>
    <w:p>
      <w:pPr>
        <w:pStyle w:val="FirstParagraph"/>
      </w:pPr>
      <w:r>
        <w:t xml:space="preserve">Internal Audit never sends email or in-app messages directly. Every notification —</w:t>
      </w:r>
      <w:r>
        <w:t xml:space="preserve"> </w:t>
      </w:r>
      <w:r>
        <w:t xml:space="preserve">engagement notification, information request, response reminder, action due-soon and</w:t>
      </w:r>
      <w:r>
        <w:t xml:space="preserve"> </w:t>
      </w:r>
      <w:r>
        <w:t xml:space="preserve">overdue escalation, report issuance, closure — is emitted as a catalogued business event</w:t>
      </w:r>
      <w:r>
        <w:t xml:space="preserve"> </w:t>
      </w:r>
      <w:r>
        <w:t xml:space="preserve">and delivered by the platform’s governed communication service. Delivery outcomes are</w:t>
      </w:r>
      <w:r>
        <w:t xml:space="preserve"> </w:t>
      </w:r>
      <w:r>
        <w:t xml:space="preserve">visible on the engagement Timeline tab and in the Communication Compliance report.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ngagement timeline" title="" id="29" name="Picture"/>
            <a:graphic>
              <a:graphicData uri="http://schemas.openxmlformats.org/drawingml/2006/picture">
                <pic:pic>
                  <pic:nvPicPr>
                    <pic:cNvPr descr="screenshots/22-notifications/eng-tim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Engagement timeline</w:t>
      </w:r>
    </w:p>
    <w:bookmarkEnd w:id="31"/>
    <w:bookmarkStart w:id="32" w:name="X200acbef25b8657c581125b477f04baacdd7515"/>
    <w:p>
      <w:pPr>
        <w:pStyle w:val="Heading2"/>
      </w:pPr>
      <w:r>
        <w:t xml:space="preserve">6. Governance principles you will meet in the screens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Server-enforced gates.</w:t>
      </w:r>
      <w:r>
        <w:t xml:space="preserve"> </w:t>
      </w:r>
      <w:r>
        <w:t xml:space="preserve">Launch, closure, plan closure, report issuance and action</w:t>
      </w:r>
      <w:r>
        <w:t xml:space="preserve"> </w:t>
      </w:r>
      <w:r>
        <w:t xml:space="preserve">verification run as governed database commands. If a precondition fails, the screen shows</w:t>
      </w:r>
      <w:r>
        <w:t xml:space="preserve"> </w:t>
      </w:r>
      <w:r>
        <w:t xml:space="preserve">the specific blocking items instead of a generic error.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Segregation of duties.</w:t>
      </w:r>
      <w:r>
        <w:t xml:space="preserve"> </w:t>
      </w:r>
      <w:r>
        <w:t xml:space="preserve">The person who prepares is not the person who approves. Where</w:t>
      </w:r>
      <w:r>
        <w:t xml:space="preserve"> </w:t>
      </w:r>
      <w:r>
        <w:t xml:space="preserve">the same person must act twice (for example a small audit shop), the system records a</w:t>
      </w:r>
      <w:r>
        <w:t xml:space="preserve"> </w:t>
      </w:r>
      <w:r>
        <w:t xml:space="preserve">logged exception rather than silently allowing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Immutable history.</w:t>
      </w:r>
      <w:r>
        <w:t xml:space="preserve"> </w:t>
      </w:r>
      <w:r>
        <w:t xml:space="preserve">Closure decisions, approvals, response versions and quality</w:t>
      </w:r>
      <w:r>
        <w:t xml:space="preserve"> </w:t>
      </w:r>
      <w:r>
        <w:t xml:space="preserve">sign-offs are appended, never overwritten.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Terminology.</w:t>
      </w:r>
      <w:r>
        <w:t xml:space="preserve"> </w:t>
      </w:r>
      <w:r>
        <w:t xml:space="preserve">The audited party is the</w:t>
      </w:r>
      <w:r>
        <w:t xml:space="preserve"> </w:t>
      </w:r>
      <w:r>
        <w:rPr>
          <w:i/>
          <w:iCs/>
        </w:rPr>
        <w:t xml:space="preserve">Audited Department</w:t>
      </w:r>
      <w:r>
        <w:t xml:space="preserve"> </w:t>
      </w:r>
      <w:r>
        <w:t xml:space="preserve">with a</w:t>
      </w:r>
      <w:r>
        <w:t xml:space="preserve"> </w:t>
      </w:r>
      <w:r>
        <w:rPr>
          <w:i/>
          <w:iCs/>
        </w:rPr>
        <w:t xml:space="preserve">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Respondent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Corrective Action Owner</w:t>
      </w:r>
      <w:r>
        <w:t xml:space="preserve">.</w:t>
      </w:r>
    </w:p>
    <w:bookmarkEnd w:id="32"/>
    <w:bookmarkStart w:id="33" w:name="glossary"/>
    <w:p>
      <w:pPr>
        <w:pStyle w:val="Heading2"/>
      </w:pPr>
      <w:r>
        <w:t xml:space="preserve">7.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Plan</w:t>
            </w:r>
          </w:p>
        </w:tc>
        <w:tc>
          <w:tcPr/>
          <w:p>
            <w:pPr>
              <w:pStyle w:val="Compact"/>
            </w:pPr>
            <w:r>
              <w:t xml:space="preserve">The approved portfolio of audits for a fiscal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/ Department Audit</w:t>
            </w:r>
          </w:p>
        </w:tc>
        <w:tc>
          <w:tcPr/>
          <w:p>
            <w:pPr>
              <w:pStyle w:val="Compact"/>
            </w:pPr>
            <w:r>
              <w:t xml:space="preserve">One audit of one department, in or out of the annual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RCM</w:t>
            </w:r>
          </w:p>
        </w:tc>
        <w:tc>
          <w:tcPr/>
          <w:p>
            <w:pPr>
              <w:pStyle w:val="Compact"/>
            </w:pPr>
            <w:r>
              <w:t xml:space="preserve">Risk Control Matrix: process → risk → control →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 confirmed control weakness with severity and 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Response</w:t>
            </w:r>
          </w:p>
        </w:tc>
        <w:tc>
          <w:tcPr/>
          <w:p>
            <w:pPr>
              <w:pStyle w:val="Compact"/>
            </w:pPr>
            <w:r>
              <w:t xml:space="preserve">The audited department’s position on a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The remedial action with an owner and target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Independent audit verification that an action was really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– Actions Pending</w:t>
            </w:r>
          </w:p>
        </w:tc>
        <w:tc>
          <w:tcPr/>
          <w:p>
            <w:pPr>
              <w:pStyle w:val="Compact"/>
            </w:pPr>
            <w:r>
              <w:t xml:space="preserve">Engagement closed while corrective actions remain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 Forward</w:t>
            </w:r>
          </w:p>
        </w:tc>
        <w:tc>
          <w:tcPr/>
          <w:p>
            <w:pPr>
              <w:pStyle w:val="Compact"/>
            </w:pPr>
            <w:r>
              <w:t xml:space="preserve">An engagement moved into the next year’s plan at plan closure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X54165c04565fb6911544cb199c944bf2ee9ab4f"/>
    <w:p>
      <w:pPr>
        <w:pStyle w:val="Heading2"/>
      </w:pPr>
      <w:r>
        <w:t xml:space="preserve">Document Control — Version History &amp; Change Log</w: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Head of Internal Audit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Annually, or on any change to the Internal Audit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913"/>
        <w:gridCol w:w="1218"/>
        <w:gridCol w:w="289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Internal Audit / Platform Team</w:t>
            </w:r>
          </w:p>
        </w:tc>
        <w:tc>
          <w:tcPr/>
          <w:p>
            <w:pPr>
              <w:pStyle w:val="Compact"/>
            </w:pPr>
            <w:r>
              <w:t xml:space="preserve">First issued manual, generated from the live TEST environment (routes, tabs, governed commands and screenshots).</w:t>
            </w:r>
          </w:p>
        </w:tc>
        <w:tc>
          <w:tcPr/>
          <w:p>
            <w:pPr>
              <w:pStyle w:val="Compact"/>
            </w:pPr>
            <w:r>
              <w:t xml:space="preserve">Reviewed: Lead Auditor. Approved by Head of Internal Audit on:</w:t>
            </w:r>
            <w:r>
              <w:t xml:space="preserve"> </w:t>
            </w:r>
            <w:r>
              <w:rPr>
                <w:i/>
                <w:iCs/>
              </w:rPr>
              <w:t xml:space="preserve">Pending</w:t>
            </w:r>
          </w:p>
        </w:tc>
      </w:tr>
    </w:tbl>
    <w:bookmarkStart w:id="34" w:name="how-to-record-an-update"/>
    <w:p>
      <w:pPr>
        <w:pStyle w:val="Heading3"/>
      </w:pPr>
      <w:r>
        <w:t xml:space="preserve">How to record an update</w:t>
      </w:r>
    </w:p>
    <w:p>
      <w:pPr>
        <w:pStyle w:val="Compact"/>
        <w:numPr>
          <w:ilvl w:val="0"/>
          <w:numId w:val="1002"/>
        </w:numPr>
      </w:pPr>
      <w:r>
        <w:t xml:space="preserve">Add a new row at the top of the table for every content change — never edit a released row.</w:t>
      </w:r>
    </w:p>
    <w:p>
      <w:pPr>
        <w:pStyle w:val="Compact"/>
        <w:numPr>
          <w:ilvl w:val="0"/>
          <w:numId w:val="1002"/>
        </w:numPr>
      </w:pPr>
      <w:r>
        <w:t xml:space="preserve">Increment the minor version (1.1, 1.2 …) for clarifications and screenshot refreshes;</w:t>
      </w:r>
      <w:r>
        <w:t xml:space="preserve"> </w:t>
      </w:r>
      <w:r>
        <w:t xml:space="preserve">increment the major version (2.0) when a process, role or gate changes.</w:t>
      </w:r>
    </w:p>
    <w:p>
      <w:pPr>
        <w:pStyle w:val="Compact"/>
        <w:numPr>
          <w:ilvl w:val="0"/>
          <w:numId w:val="1002"/>
        </w:numPr>
      </w:pPr>
      <w:r>
        <w:t xml:space="preserve">State the change in business terms (what a reader must now do differently), not file edits.</w:t>
      </w:r>
    </w:p>
    <w:p>
      <w:pPr>
        <w:pStyle w:val="Compact"/>
        <w:numPr>
          <w:ilvl w:val="0"/>
          <w:numId w:val="1002"/>
        </w:numPr>
      </w:pPr>
      <w:r>
        <w:t xml:space="preserve">The manual is only</w:t>
      </w:r>
      <w:r>
        <w:t xml:space="preserve"> </w:t>
      </w:r>
      <w:r>
        <w:t xml:space="preserve">“released”</w:t>
      </w:r>
      <w:r>
        <w:t xml:space="preserve"> </w:t>
      </w:r>
      <w:r>
        <w:t xml:space="preserve">once the Head of Internal Audit records an approval date.</w:t>
      </w:r>
      <w:r>
        <w:t xml:space="preserve"> </w:t>
      </w:r>
      <w:r>
        <w:t xml:space="preserve">Until then it is marked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and must not be used as certification evidence.</w:t>
      </w:r>
    </w:p>
    <w:p>
      <w:pPr>
        <w:pStyle w:val="Compact"/>
        <w:numPr>
          <w:ilvl w:val="0"/>
          <w:numId w:val="1002"/>
        </w:numPr>
      </w:pPr>
      <w:r>
        <w:t xml:space="preserve">Re-export the PDF and DOCX from the Internal Audit User Manuals page after each approval.</w:t>
      </w:r>
    </w:p>
    <w:bookmarkEnd w:id="34"/>
    <w:bookmarkStart w:id="35" w:name="change-log"/>
    <w:p>
      <w:pPr>
        <w:pStyle w:val="Heading3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Sections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release.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hyperlink" Id="rId9" Target="01-Head-of-Internal-Audit.md" TargetMode="External" /><Relationship Type="http://schemas.openxmlformats.org/officeDocument/2006/relationships/hyperlink" Id="rId10" Target="02-Lead-Auditor.md" TargetMode="External" /><Relationship Type="http://schemas.openxmlformats.org/officeDocument/2006/relationships/hyperlink" Id="rId11" Target="03-Audit-Team-Member.md" TargetMode="External" /><Relationship Type="http://schemas.openxmlformats.org/officeDocument/2006/relationships/hyperlink" Id="rId12" Target="04-Quality-Reviewer.md" TargetMode="External" /><Relationship Type="http://schemas.openxmlformats.org/officeDocument/2006/relationships/hyperlink" Id="rId13" Target="05-Management-Respondent.md" TargetMode="External" /><Relationship Type="http://schemas.openxmlformats.org/officeDocument/2006/relationships/hyperlink" Id="rId14" Target="06-Audit-Administrato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Head-of-Internal-Audit.md" TargetMode="External" /><Relationship Type="http://schemas.openxmlformats.org/officeDocument/2006/relationships/hyperlink" Id="rId10" Target="02-Lead-Auditor.md" TargetMode="External" /><Relationship Type="http://schemas.openxmlformats.org/officeDocument/2006/relationships/hyperlink" Id="rId11" Target="03-Audit-Team-Member.md" TargetMode="External" /><Relationship Type="http://schemas.openxmlformats.org/officeDocument/2006/relationships/hyperlink" Id="rId12" Target="04-Quality-Reviewer.md" TargetMode="External" /><Relationship Type="http://schemas.openxmlformats.org/officeDocument/2006/relationships/hyperlink" Id="rId13" Target="05-Management-Respondent.md" TargetMode="External" /><Relationship Type="http://schemas.openxmlformats.org/officeDocument/2006/relationships/hyperlink" Id="rId14" Target="06-Audit-Administrato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2026-08-30T08:00:58Z</dcterms:created>
  <dcterms:modified xsi:type="dcterms:W3CDTF">2026-08-30T08:00:58Z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