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BAE1CB" w14:textId="1CE1A18D" w:rsidR="00EC51D6" w:rsidRPr="00EC51D6" w:rsidRDefault="00847A63" w:rsidP="00EC51D6">
      <w:pPr>
        <w:spacing w:after="0" w:line="240" w:lineRule="auto"/>
        <w:rPr>
          <w:rFonts w:ascii="Copperplate Gothic Bold" w:hAnsi="Copperplate Gothic Bold"/>
          <w:sz w:val="20"/>
          <w:szCs w:val="20"/>
        </w:rPr>
      </w:pPr>
      <w:r>
        <w:rPr>
          <w:rFonts w:ascii="Copperplate Gothic Bold" w:hAnsi="Copperplate Gothic Bold"/>
          <w:sz w:val="20"/>
          <w:szCs w:val="20"/>
        </w:rPr>
        <w:t xml:space="preserve">Project:    </w:t>
      </w:r>
      <w:r>
        <w:rPr>
          <w:rFonts w:ascii="Copperplate Gothic Bold" w:hAnsi="Copperplate Gothic Bold"/>
          <w:sz w:val="20"/>
          <w:szCs w:val="20"/>
        </w:rPr>
        <w:tab/>
      </w:r>
      <w:r>
        <w:rPr>
          <w:rFonts w:ascii="Copperplate Gothic Bold" w:hAnsi="Copperplate Gothic Bold"/>
          <w:sz w:val="20"/>
          <w:szCs w:val="20"/>
        </w:rPr>
        <w:tab/>
      </w:r>
      <w:bookmarkStart w:id="0" w:name="_GoBack"/>
      <w:bookmarkEnd w:id="0"/>
      <w:r w:rsidR="00EC51D6" w:rsidRPr="00EC51D6">
        <w:rPr>
          <w:rFonts w:ascii="Copperplate Gothic Bold" w:hAnsi="Copperplate Gothic Bold"/>
          <w:sz w:val="20"/>
          <w:szCs w:val="20"/>
        </w:rPr>
        <w:t>Gaming Data</w:t>
      </w:r>
    </w:p>
    <w:p w14:paraId="5A9BE71A" w14:textId="67981C4D" w:rsidR="00EC51D6" w:rsidRPr="00EC51D6" w:rsidRDefault="00EC51D6" w:rsidP="00EC51D6">
      <w:pPr>
        <w:spacing w:after="0" w:line="240" w:lineRule="auto"/>
        <w:rPr>
          <w:rFonts w:ascii="Copperplate Gothic Bold" w:hAnsi="Copperplate Gothic Bold"/>
          <w:sz w:val="20"/>
          <w:szCs w:val="20"/>
        </w:rPr>
      </w:pPr>
      <w:r w:rsidRPr="00EC51D6">
        <w:rPr>
          <w:rFonts w:ascii="Copperplate Gothic Bold" w:hAnsi="Copperplate Gothic Bold"/>
          <w:sz w:val="20"/>
          <w:szCs w:val="20"/>
        </w:rPr>
        <w:t>Group</w:t>
      </w:r>
      <w:r w:rsidR="00847A63">
        <w:rPr>
          <w:rFonts w:ascii="Copperplate Gothic Bold" w:hAnsi="Copperplate Gothic Bold"/>
          <w:sz w:val="20"/>
          <w:szCs w:val="20"/>
        </w:rPr>
        <w:t xml:space="preserve"> </w:t>
      </w:r>
      <w:proofErr w:type="gramStart"/>
      <w:r w:rsidR="00847A63">
        <w:rPr>
          <w:rFonts w:ascii="Copperplate Gothic Bold" w:hAnsi="Copperplate Gothic Bold"/>
          <w:sz w:val="20"/>
          <w:szCs w:val="20"/>
        </w:rPr>
        <w:t>No. :</w:t>
      </w:r>
      <w:proofErr w:type="gramEnd"/>
      <w:r w:rsidR="00847A63">
        <w:rPr>
          <w:rFonts w:ascii="Copperplate Gothic Bold" w:hAnsi="Copperplate Gothic Bold"/>
          <w:sz w:val="20"/>
          <w:szCs w:val="20"/>
        </w:rPr>
        <w:t xml:space="preserve"> </w:t>
      </w:r>
      <w:r w:rsidRPr="00EC51D6">
        <w:rPr>
          <w:rFonts w:ascii="Copperplate Gothic Bold" w:hAnsi="Copperplate Gothic Bold"/>
          <w:sz w:val="20"/>
          <w:szCs w:val="20"/>
        </w:rPr>
        <w:t xml:space="preserve"> </w:t>
      </w:r>
      <w:r w:rsidR="00847A63">
        <w:rPr>
          <w:rFonts w:ascii="Copperplate Gothic Bold" w:hAnsi="Copperplate Gothic Bold"/>
          <w:sz w:val="20"/>
          <w:szCs w:val="20"/>
        </w:rPr>
        <w:tab/>
      </w:r>
      <w:r w:rsidR="00847A63">
        <w:rPr>
          <w:rFonts w:ascii="Copperplate Gothic Bold" w:hAnsi="Copperplate Gothic Bold"/>
          <w:sz w:val="20"/>
          <w:szCs w:val="20"/>
        </w:rPr>
        <w:tab/>
      </w:r>
      <w:r w:rsidRPr="00EC51D6">
        <w:rPr>
          <w:rFonts w:ascii="Copperplate Gothic Bold" w:hAnsi="Copperplate Gothic Bold"/>
          <w:sz w:val="20"/>
          <w:szCs w:val="20"/>
        </w:rPr>
        <w:t xml:space="preserve">5 </w:t>
      </w:r>
    </w:p>
    <w:p w14:paraId="0240FD5C" w14:textId="7F3877E7" w:rsidR="00EC51D6" w:rsidRPr="00EC51D6" w:rsidRDefault="00847A63" w:rsidP="00EC51D6">
      <w:pPr>
        <w:spacing w:after="0" w:line="240" w:lineRule="auto"/>
        <w:rPr>
          <w:rFonts w:ascii="Copperplate Gothic Bold" w:hAnsi="Copperplate Gothic Bold"/>
          <w:sz w:val="20"/>
          <w:szCs w:val="20"/>
        </w:rPr>
      </w:pPr>
      <w:r>
        <w:rPr>
          <w:rFonts w:ascii="Copperplate Gothic Bold" w:hAnsi="Copperplate Gothic Bold"/>
          <w:sz w:val="20"/>
          <w:szCs w:val="20"/>
        </w:rPr>
        <w:t>Group members:</w:t>
      </w:r>
      <w:r>
        <w:rPr>
          <w:rFonts w:ascii="Copperplate Gothic Bold" w:hAnsi="Copperplate Gothic Bold"/>
          <w:sz w:val="20"/>
          <w:szCs w:val="20"/>
        </w:rPr>
        <w:tab/>
      </w:r>
      <w:proofErr w:type="spellStart"/>
      <w:r w:rsidR="00EC51D6" w:rsidRPr="00EC51D6">
        <w:rPr>
          <w:rFonts w:ascii="Copperplate Gothic Bold" w:hAnsi="Copperplate Gothic Bold"/>
          <w:sz w:val="20"/>
          <w:szCs w:val="20"/>
        </w:rPr>
        <w:t>Inzemamuddin</w:t>
      </w:r>
      <w:proofErr w:type="spellEnd"/>
      <w:r w:rsidR="00EC51D6" w:rsidRPr="00EC51D6">
        <w:rPr>
          <w:rFonts w:ascii="Copperplate Gothic Bold" w:hAnsi="Copperplate Gothic Bold"/>
          <w:sz w:val="20"/>
          <w:szCs w:val="20"/>
        </w:rPr>
        <w:t xml:space="preserve"> Mohammed</w:t>
      </w:r>
    </w:p>
    <w:p w14:paraId="5D0E20BA" w14:textId="564F15AA" w:rsidR="00EC51D6" w:rsidRPr="00EC51D6" w:rsidRDefault="00EC51D6" w:rsidP="00847A63">
      <w:pPr>
        <w:spacing w:after="0" w:line="240" w:lineRule="auto"/>
        <w:ind w:left="1440" w:firstLine="720"/>
        <w:rPr>
          <w:rFonts w:ascii="Copperplate Gothic Bold" w:hAnsi="Copperplate Gothic Bold"/>
          <w:sz w:val="20"/>
          <w:szCs w:val="20"/>
        </w:rPr>
      </w:pPr>
      <w:r w:rsidRPr="00EC51D6">
        <w:rPr>
          <w:rFonts w:ascii="Copperplate Gothic Bold" w:hAnsi="Copperplate Gothic Bold"/>
          <w:sz w:val="20"/>
          <w:szCs w:val="20"/>
        </w:rPr>
        <w:t>Iram Mehmooda</w:t>
      </w:r>
    </w:p>
    <w:p w14:paraId="32FEF2CD" w14:textId="79B5665B" w:rsidR="00EC51D6" w:rsidRDefault="00EC51D6" w:rsidP="00EC51D6">
      <w:pPr>
        <w:spacing w:after="0" w:line="240" w:lineRule="auto"/>
        <w:rPr>
          <w:rFonts w:ascii="Copperplate Gothic Bold" w:hAnsi="Copperplate Gothic Bold"/>
          <w:sz w:val="24"/>
          <w:szCs w:val="24"/>
        </w:rPr>
      </w:pPr>
    </w:p>
    <w:p w14:paraId="3F24A0A1" w14:textId="2DAD4848" w:rsidR="00EC51D6" w:rsidRDefault="00EC51D6" w:rsidP="00EC51D6">
      <w:pPr>
        <w:spacing w:after="0" w:line="240" w:lineRule="auto"/>
        <w:rPr>
          <w:rFonts w:ascii="Times New Roman" w:hAnsi="Times New Roman" w:cs="Times New Roman"/>
        </w:rPr>
      </w:pPr>
      <w:r w:rsidRPr="00EC51D6">
        <w:rPr>
          <w:rFonts w:ascii="Times New Roman" w:hAnsi="Times New Roman" w:cs="Times New Roman"/>
        </w:rPr>
        <w:t>Story:</w:t>
      </w:r>
    </w:p>
    <w:p w14:paraId="6BBAC2A0" w14:textId="76C97779" w:rsidR="004F102C" w:rsidRDefault="004F102C" w:rsidP="00EC51D6">
      <w:pPr>
        <w:spacing w:after="0" w:line="240" w:lineRule="auto"/>
        <w:rPr>
          <w:rFonts w:ascii="Times New Roman" w:hAnsi="Times New Roman" w:cs="Times New Roman"/>
        </w:rPr>
      </w:pPr>
    </w:p>
    <w:p w14:paraId="3B89D0F6" w14:textId="20588FD2" w:rsidR="00D36C99" w:rsidRDefault="00D36C99" w:rsidP="00EC51D6">
      <w:pPr>
        <w:spacing w:after="0" w:line="240" w:lineRule="auto"/>
        <w:rPr>
          <w:rFonts w:ascii="Times New Roman" w:hAnsi="Times New Roman" w:cs="Times New Roman"/>
        </w:rPr>
      </w:pPr>
      <w:r>
        <w:rPr>
          <w:rFonts w:ascii="Times New Roman" w:hAnsi="Times New Roman" w:cs="Times New Roman"/>
        </w:rPr>
        <w:t>Revenues generated by v</w:t>
      </w:r>
      <w:r w:rsidR="00DA56EB">
        <w:rPr>
          <w:rFonts w:ascii="Times New Roman" w:hAnsi="Times New Roman" w:cs="Times New Roman"/>
        </w:rPr>
        <w:t xml:space="preserve">ideo gaming have crossed the </w:t>
      </w:r>
      <w:r>
        <w:rPr>
          <w:rFonts w:ascii="Times New Roman" w:hAnsi="Times New Roman" w:cs="Times New Roman"/>
        </w:rPr>
        <w:t xml:space="preserve">revenues generated by </w:t>
      </w:r>
      <w:r w:rsidR="00DA56EB">
        <w:rPr>
          <w:rFonts w:ascii="Times New Roman" w:hAnsi="Times New Roman" w:cs="Times New Roman"/>
        </w:rPr>
        <w:t xml:space="preserve">riverboat gaming since </w:t>
      </w:r>
      <w:r>
        <w:rPr>
          <w:rFonts w:ascii="Times New Roman" w:hAnsi="Times New Roman" w:cs="Times New Roman"/>
        </w:rPr>
        <w:t xml:space="preserve">the </w:t>
      </w:r>
      <w:r w:rsidR="00DA56EB">
        <w:rPr>
          <w:rFonts w:ascii="Times New Roman" w:hAnsi="Times New Roman" w:cs="Times New Roman"/>
        </w:rPr>
        <w:t xml:space="preserve">last quarter of 2016. </w:t>
      </w:r>
      <w:r w:rsidR="00DC1DDB">
        <w:rPr>
          <w:rFonts w:ascii="Times New Roman" w:hAnsi="Times New Roman" w:cs="Times New Roman"/>
        </w:rPr>
        <w:t xml:space="preserve">However, in counties </w:t>
      </w:r>
      <w:r>
        <w:rPr>
          <w:rFonts w:ascii="Times New Roman" w:hAnsi="Times New Roman" w:cs="Times New Roman"/>
        </w:rPr>
        <w:t xml:space="preserve">that </w:t>
      </w:r>
      <w:r w:rsidR="00DC1DDB">
        <w:rPr>
          <w:rFonts w:ascii="Times New Roman" w:hAnsi="Times New Roman" w:cs="Times New Roman"/>
        </w:rPr>
        <w:t xml:space="preserve">has </w:t>
      </w:r>
      <w:r>
        <w:rPr>
          <w:rFonts w:ascii="Times New Roman" w:hAnsi="Times New Roman" w:cs="Times New Roman"/>
        </w:rPr>
        <w:t xml:space="preserve">both </w:t>
      </w:r>
      <w:r w:rsidR="00DC1DDB">
        <w:rPr>
          <w:rFonts w:ascii="Times New Roman" w:hAnsi="Times New Roman" w:cs="Times New Roman"/>
        </w:rPr>
        <w:t xml:space="preserve">riverboat </w:t>
      </w:r>
      <w:r>
        <w:rPr>
          <w:rFonts w:ascii="Times New Roman" w:hAnsi="Times New Roman" w:cs="Times New Roman"/>
        </w:rPr>
        <w:t xml:space="preserve">and video </w:t>
      </w:r>
      <w:r w:rsidR="00DC1DDB">
        <w:rPr>
          <w:rFonts w:ascii="Times New Roman" w:hAnsi="Times New Roman" w:cs="Times New Roman"/>
        </w:rPr>
        <w:t>gaming, the adjusted gross receipt</w:t>
      </w:r>
      <w:r>
        <w:rPr>
          <w:rFonts w:ascii="Times New Roman" w:hAnsi="Times New Roman" w:cs="Times New Roman"/>
        </w:rPr>
        <w:t xml:space="preserve"> </w:t>
      </w:r>
      <w:r w:rsidR="00DC1DDB">
        <w:rPr>
          <w:rFonts w:ascii="Times New Roman" w:hAnsi="Times New Roman" w:cs="Times New Roman"/>
        </w:rPr>
        <w:t>(funds in – funds out) of rive</w:t>
      </w:r>
      <w:r>
        <w:rPr>
          <w:rFonts w:ascii="Times New Roman" w:hAnsi="Times New Roman" w:cs="Times New Roman"/>
        </w:rPr>
        <w:t xml:space="preserve">r </w:t>
      </w:r>
      <w:r w:rsidR="00DC1DDB">
        <w:rPr>
          <w:rFonts w:ascii="Times New Roman" w:hAnsi="Times New Roman" w:cs="Times New Roman"/>
        </w:rPr>
        <w:t>boat</w:t>
      </w:r>
      <w:r>
        <w:rPr>
          <w:rFonts w:ascii="Times New Roman" w:hAnsi="Times New Roman" w:cs="Times New Roman"/>
        </w:rPr>
        <w:t xml:space="preserve"> gaming is way more than the net wager (funds in – funds out) of video gaming.  </w:t>
      </w:r>
    </w:p>
    <w:p w14:paraId="00923C11" w14:textId="05170450" w:rsidR="00D36C99" w:rsidRDefault="00D36C99" w:rsidP="00EC51D6">
      <w:pPr>
        <w:spacing w:after="0" w:line="240" w:lineRule="auto"/>
        <w:rPr>
          <w:rFonts w:ascii="Times New Roman" w:hAnsi="Times New Roman" w:cs="Times New Roman"/>
        </w:rPr>
      </w:pPr>
    </w:p>
    <w:p w14:paraId="50FA5770" w14:textId="77777777" w:rsidR="00885DFF" w:rsidRDefault="00D36C99" w:rsidP="00EC51D6">
      <w:pPr>
        <w:spacing w:after="0" w:line="240" w:lineRule="auto"/>
        <w:rPr>
          <w:rFonts w:ascii="Times New Roman" w:hAnsi="Times New Roman" w:cs="Times New Roman"/>
        </w:rPr>
      </w:pPr>
      <w:r>
        <w:rPr>
          <w:rFonts w:ascii="Times New Roman" w:hAnsi="Times New Roman" w:cs="Times New Roman"/>
        </w:rPr>
        <w:t>In the first graph, we s</w:t>
      </w:r>
      <w:r w:rsidR="00885DFF">
        <w:rPr>
          <w:rFonts w:ascii="Times New Roman" w:hAnsi="Times New Roman" w:cs="Times New Roman"/>
        </w:rPr>
        <w:t xml:space="preserve">ee the AGR produced by </w:t>
      </w:r>
      <w:r>
        <w:rPr>
          <w:rFonts w:ascii="Times New Roman" w:hAnsi="Times New Roman" w:cs="Times New Roman"/>
        </w:rPr>
        <w:t xml:space="preserve">all eight counties that has river boat gaming casinos in it. </w:t>
      </w:r>
      <w:r w:rsidR="00885DFF">
        <w:rPr>
          <w:rFonts w:ascii="Times New Roman" w:hAnsi="Times New Roman" w:cs="Times New Roman"/>
        </w:rPr>
        <w:t>In second graph, we see the net wager produced by all counties that has video gaming consoles in it. The comparison of these revenues is done in the third graph where it is clearly seen that all counties that has river boat gaming in it, produce more revenue from river boat gaming only.</w:t>
      </w:r>
    </w:p>
    <w:p w14:paraId="7C6386DC" w14:textId="77777777" w:rsidR="00885DFF" w:rsidRDefault="00885DFF" w:rsidP="00EC51D6">
      <w:pPr>
        <w:spacing w:after="0" w:line="240" w:lineRule="auto"/>
        <w:rPr>
          <w:rFonts w:ascii="Times New Roman" w:hAnsi="Times New Roman" w:cs="Times New Roman"/>
        </w:rPr>
      </w:pPr>
    </w:p>
    <w:p w14:paraId="5F0D2403" w14:textId="6A4475B8" w:rsidR="00D36C99" w:rsidRDefault="00885DFF" w:rsidP="00EC51D6">
      <w:pPr>
        <w:spacing w:after="0" w:line="240" w:lineRule="auto"/>
        <w:rPr>
          <w:rFonts w:ascii="Times New Roman" w:hAnsi="Times New Roman" w:cs="Times New Roman"/>
        </w:rPr>
      </w:pPr>
      <w:r>
        <w:rPr>
          <w:rFonts w:ascii="Times New Roman" w:hAnsi="Times New Roman" w:cs="Times New Roman"/>
        </w:rPr>
        <w:t xml:space="preserve">In the later two graphs (4 and 5), AGR of river boat gaming is keenly observed in each county with respect of the number of admissions and casino square feet. </w:t>
      </w:r>
      <w:r w:rsidR="00E02FF5">
        <w:rPr>
          <w:rFonts w:ascii="Times New Roman" w:hAnsi="Times New Roman" w:cs="Times New Roman"/>
        </w:rPr>
        <w:t xml:space="preserve">This observation was done </w:t>
      </w:r>
      <w:proofErr w:type="gramStart"/>
      <w:r w:rsidR="00E02FF5">
        <w:rPr>
          <w:rFonts w:ascii="Times New Roman" w:hAnsi="Times New Roman" w:cs="Times New Roman"/>
        </w:rPr>
        <w:t>in order to</w:t>
      </w:r>
      <w:proofErr w:type="gramEnd"/>
      <w:r w:rsidR="00E02FF5">
        <w:rPr>
          <w:rFonts w:ascii="Times New Roman" w:hAnsi="Times New Roman" w:cs="Times New Roman"/>
        </w:rPr>
        <w:t xml:space="preserve"> know if the county having more admissions or casino square feet generates the higher AGR. However, this was not the reason. As you can see, </w:t>
      </w:r>
      <w:proofErr w:type="gramStart"/>
      <w:r w:rsidR="00E02FF5">
        <w:rPr>
          <w:rFonts w:ascii="Times New Roman" w:hAnsi="Times New Roman" w:cs="Times New Roman"/>
        </w:rPr>
        <w:t>Will</w:t>
      </w:r>
      <w:proofErr w:type="gramEnd"/>
      <w:r w:rsidR="00E02FF5">
        <w:rPr>
          <w:rFonts w:ascii="Times New Roman" w:hAnsi="Times New Roman" w:cs="Times New Roman"/>
        </w:rPr>
        <w:t xml:space="preserve"> county, despite of having more number of admissions and</w:t>
      </w:r>
      <w:r>
        <w:rPr>
          <w:rFonts w:ascii="Times New Roman" w:hAnsi="Times New Roman" w:cs="Times New Roman"/>
        </w:rPr>
        <w:t xml:space="preserve"> </w:t>
      </w:r>
      <w:r w:rsidR="00E02FF5">
        <w:rPr>
          <w:rFonts w:ascii="Times New Roman" w:hAnsi="Times New Roman" w:cs="Times New Roman"/>
        </w:rPr>
        <w:t>casino square feet, generates less AGR per admission and AGR per casino.</w:t>
      </w:r>
    </w:p>
    <w:p w14:paraId="5F64F6D3" w14:textId="77777777" w:rsidR="00E02FF5" w:rsidRDefault="00E02FF5" w:rsidP="00EC51D6">
      <w:pPr>
        <w:spacing w:after="0" w:line="240" w:lineRule="auto"/>
        <w:rPr>
          <w:rFonts w:ascii="Times New Roman" w:hAnsi="Times New Roman" w:cs="Times New Roman"/>
        </w:rPr>
      </w:pPr>
    </w:p>
    <w:p w14:paraId="1A5B527A" w14:textId="0020BE03" w:rsidR="00DC1DDB" w:rsidRDefault="00E02FF5" w:rsidP="00EC51D6">
      <w:pPr>
        <w:spacing w:after="0" w:line="240" w:lineRule="auto"/>
        <w:rPr>
          <w:rFonts w:ascii="Times New Roman" w:hAnsi="Times New Roman" w:cs="Times New Roman"/>
        </w:rPr>
      </w:pPr>
      <w:r>
        <w:rPr>
          <w:rFonts w:ascii="Times New Roman" w:hAnsi="Times New Roman" w:cs="Times New Roman"/>
        </w:rPr>
        <w:t xml:space="preserve">In the last graph, </w:t>
      </w:r>
      <w:proofErr w:type="gramStart"/>
      <w:r>
        <w:rPr>
          <w:rFonts w:ascii="Times New Roman" w:hAnsi="Times New Roman" w:cs="Times New Roman"/>
        </w:rPr>
        <w:t>The</w:t>
      </w:r>
      <w:proofErr w:type="gramEnd"/>
      <w:r>
        <w:rPr>
          <w:rFonts w:ascii="Times New Roman" w:hAnsi="Times New Roman" w:cs="Times New Roman"/>
        </w:rPr>
        <w:t xml:space="preserve"> yearly ARG of river boat gaming is compared with the yearly net wager of video gaming and it is observed that the</w:t>
      </w:r>
      <w:r w:rsidR="00E37656">
        <w:rPr>
          <w:rFonts w:ascii="Times New Roman" w:hAnsi="Times New Roman" w:cs="Times New Roman"/>
        </w:rPr>
        <w:t>re is not much variations in</w:t>
      </w:r>
      <w:r>
        <w:rPr>
          <w:rFonts w:ascii="Times New Roman" w:hAnsi="Times New Roman" w:cs="Times New Roman"/>
        </w:rPr>
        <w:t xml:space="preserve"> river boat gaming</w:t>
      </w:r>
      <w:r w:rsidR="00E37656">
        <w:rPr>
          <w:rFonts w:ascii="Times New Roman" w:hAnsi="Times New Roman" w:cs="Times New Roman"/>
        </w:rPr>
        <w:t xml:space="preserve"> AGR whereas the net wager of video gaming is increasing rapidly and crossed the AGR of river boat gaming in the last quarter of 2016. However, it should be kept in that there are very few counties having river boat gaming it.</w:t>
      </w:r>
    </w:p>
    <w:p w14:paraId="0326180A" w14:textId="6774EBC8" w:rsidR="00E37656" w:rsidRDefault="00E37656" w:rsidP="00EC51D6">
      <w:pPr>
        <w:spacing w:after="0" w:line="240" w:lineRule="auto"/>
        <w:rPr>
          <w:rFonts w:ascii="Times New Roman" w:hAnsi="Times New Roman" w:cs="Times New Roman"/>
        </w:rPr>
      </w:pPr>
    </w:p>
    <w:p w14:paraId="0B86500F" w14:textId="3AB9FF08" w:rsidR="00E37656" w:rsidRDefault="00E37656" w:rsidP="00EC51D6">
      <w:pPr>
        <w:spacing w:after="0" w:line="240" w:lineRule="auto"/>
        <w:rPr>
          <w:rFonts w:ascii="Times New Roman" w:hAnsi="Times New Roman" w:cs="Times New Roman"/>
        </w:rPr>
      </w:pPr>
    </w:p>
    <w:p w14:paraId="0C79967F" w14:textId="365328AA" w:rsidR="00E37656" w:rsidRDefault="00E37656" w:rsidP="00EC51D6">
      <w:pPr>
        <w:spacing w:after="0" w:line="240" w:lineRule="auto"/>
        <w:rPr>
          <w:rFonts w:ascii="Times New Roman" w:hAnsi="Times New Roman" w:cs="Times New Roman"/>
        </w:rPr>
      </w:pPr>
      <w:r>
        <w:rPr>
          <w:rFonts w:ascii="Times New Roman" w:hAnsi="Times New Roman" w:cs="Times New Roman"/>
        </w:rPr>
        <w:t>Contribution:</w:t>
      </w:r>
    </w:p>
    <w:p w14:paraId="2F4BCF4F" w14:textId="430EDA94" w:rsidR="00E37656" w:rsidRDefault="00E37656" w:rsidP="00EC51D6">
      <w:pPr>
        <w:spacing w:after="0" w:line="240" w:lineRule="auto"/>
        <w:rPr>
          <w:rFonts w:ascii="Times New Roman" w:hAnsi="Times New Roman" w:cs="Times New Roman"/>
        </w:rPr>
      </w:pPr>
      <w:proofErr w:type="spellStart"/>
      <w:r>
        <w:rPr>
          <w:rFonts w:ascii="Times New Roman" w:hAnsi="Times New Roman" w:cs="Times New Roman"/>
        </w:rPr>
        <w:t>Inzemamuddin</w:t>
      </w:r>
      <w:proofErr w:type="spellEnd"/>
      <w:r>
        <w:rPr>
          <w:rFonts w:ascii="Times New Roman" w:hAnsi="Times New Roman" w:cs="Times New Roman"/>
        </w:rPr>
        <w:t xml:space="preserve"> Mohammed:   graph 1, graph 2, graph 3</w:t>
      </w:r>
    </w:p>
    <w:p w14:paraId="6BFAA40D" w14:textId="205DC6FE" w:rsidR="00E37656" w:rsidRDefault="00E37656" w:rsidP="00EC51D6">
      <w:pPr>
        <w:spacing w:after="0" w:line="240" w:lineRule="auto"/>
        <w:rPr>
          <w:rFonts w:ascii="Times New Roman" w:hAnsi="Times New Roman" w:cs="Times New Roman"/>
        </w:rPr>
      </w:pPr>
      <w:r>
        <w:rPr>
          <w:rFonts w:ascii="Times New Roman" w:hAnsi="Times New Roman" w:cs="Times New Roman"/>
        </w:rPr>
        <w:t xml:space="preserve">Iram Mehmooda:                    graph 4, graph 5, graph 6 </w:t>
      </w:r>
    </w:p>
    <w:p w14:paraId="0FD4BC1C" w14:textId="77777777" w:rsidR="00E02FF5" w:rsidRDefault="00E02FF5" w:rsidP="00EC51D6">
      <w:pPr>
        <w:spacing w:after="0" w:line="240" w:lineRule="auto"/>
        <w:rPr>
          <w:rFonts w:ascii="Times New Roman" w:hAnsi="Times New Roman" w:cs="Times New Roman"/>
        </w:rPr>
      </w:pPr>
    </w:p>
    <w:sectPr w:rsidR="00E02F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pperplate Gothic Bold">
    <w:panose1 w:val="020E07050202060204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F2A"/>
    <w:rsid w:val="000F1716"/>
    <w:rsid w:val="00274771"/>
    <w:rsid w:val="004F102C"/>
    <w:rsid w:val="00847A63"/>
    <w:rsid w:val="00885DFF"/>
    <w:rsid w:val="00D36C99"/>
    <w:rsid w:val="00DA56EB"/>
    <w:rsid w:val="00DC1DDB"/>
    <w:rsid w:val="00E02FF5"/>
    <w:rsid w:val="00E37656"/>
    <w:rsid w:val="00E74F2A"/>
    <w:rsid w:val="00EC51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3C208"/>
  <w15:chartTrackingRefBased/>
  <w15:docId w15:val="{8A9FA500-347C-4989-A1E2-E061142AA6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1</Pages>
  <Words>274</Words>
  <Characters>1568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Iram Mehmooda</dc:creator>
  <cp:keywords/>
  <dc:description/>
  <cp:lastModifiedBy>Iram Mehmooda</cp:lastModifiedBy>
  <cp:revision>4</cp:revision>
  <dcterms:created xsi:type="dcterms:W3CDTF">2018-04-09T03:51:00Z</dcterms:created>
  <dcterms:modified xsi:type="dcterms:W3CDTF">2018-04-09T06:02:00Z</dcterms:modified>
</cp:coreProperties>
</file>