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40"/>
        <w:jc w:val="center"/>
      </w:pPr>
      <w:r>
        <w:rPr>
          <w:rFonts w:ascii="Times New Roman" w:hAnsi="Times New Roman" w:eastAsia="Times New Roman"/>
          <w:b/>
          <w:sz w:val="26"/>
        </w:rPr>
        <w:t>PENJELASAN PENYUSUNAN KISI-KISI DAN PEDOMAN WAWANCARA</w:t>
      </w:r>
    </w:p>
    <w:p>
      <w:pPr>
        <w:spacing w:line="360" w:lineRule="auto" w:after="40"/>
        <w:jc w:val="center"/>
      </w:pPr>
    </w:p>
    <w:p>
      <w:pPr>
        <w:spacing w:line="360" w:lineRule="auto" w:after="200"/>
        <w:jc w:val="center"/>
      </w:pPr>
      <w:r>
        <w:rPr>
          <w:rFonts w:ascii="Times New Roman" w:hAnsi="Times New Roman" w:eastAsia="Times New Roman"/>
          <w:b/>
          <w:sz w:val="24"/>
        </w:rPr>
        <w:t>Penelitian: Strategi Manajemen Reputasi dalam Memperkuat Keunggulan Kompetitif di SD Muhammadiyah Condongcatur</w:t>
      </w:r>
    </w:p>
    <w:p>
      <w:pPr>
        <w:spacing w:before="160" w:after="80" w:line="360" w:lineRule="auto"/>
      </w:pPr>
      <w:r>
        <w:rPr>
          <w:rFonts w:ascii="Times New Roman" w:hAnsi="Times New Roman" w:eastAsia="Times New Roman"/>
          <w:b/>
          <w:sz w:val="24"/>
        </w:rPr>
        <w:t>A. Kedudukan Instrumen dalam Penelitian Kualitatif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 w:eastAsia="Times New Roman"/>
          <w:b w:val="0"/>
          <w:sz w:val="24"/>
        </w:rPr>
        <w:t>Penelitian ini menggunakan pendekatan kualitatif dengan jenis studi kasus (</w:t>
      </w:r>
      <w:r>
        <w:rPr>
          <w:rFonts w:ascii="Times New Roman" w:hAnsi="Times New Roman" w:eastAsia="Times New Roman"/>
          <w:b w:val="0"/>
          <w:i/>
          <w:sz w:val="24"/>
        </w:rPr>
        <w:t>case study</w:t>
      </w:r>
      <w:r>
        <w:rPr>
          <w:rFonts w:ascii="Times New Roman" w:hAnsi="Times New Roman" w:eastAsia="Times New Roman"/>
          <w:b w:val="0"/>
          <w:sz w:val="24"/>
        </w:rPr>
        <w:t>). Dalam penelitian kualitatif, instrumen utama adalah peneliti sendiri (</w:t>
      </w:r>
      <w:r>
        <w:rPr>
          <w:rFonts w:ascii="Times New Roman" w:hAnsi="Times New Roman" w:eastAsia="Times New Roman"/>
          <w:b w:val="0"/>
          <w:i/>
          <w:sz w:val="24"/>
        </w:rPr>
        <w:t>human instrument</w:t>
      </w:r>
      <w:r>
        <w:rPr>
          <w:rFonts w:ascii="Times New Roman" w:hAnsi="Times New Roman" w:eastAsia="Times New Roman"/>
          <w:b w:val="0"/>
          <w:sz w:val="24"/>
        </w:rPr>
        <w:t>), sedangkan kisi-kisi dan pedoman wawancara berperan sebagai alat bantu agar penggalian data terarah, konsisten, dan dapat dipertanggungjawabkan (Creswell &amp; Poth, 2018; Sugiyono, 2019; Yin, 2018). Oleh karena itu, butir-butir pedoman wawancara tidak bersifat kaku, melainkan dikembangkan secara luwes melalui pertanyaan lanjutan (</w:t>
      </w:r>
      <w:r>
        <w:rPr>
          <w:rFonts w:ascii="Times New Roman" w:hAnsi="Times New Roman" w:eastAsia="Times New Roman"/>
          <w:b w:val="0"/>
          <w:i/>
          <w:sz w:val="24"/>
        </w:rPr>
        <w:t>probing</w:t>
      </w:r>
      <w:r>
        <w:rPr>
          <w:rFonts w:ascii="Times New Roman" w:hAnsi="Times New Roman" w:eastAsia="Times New Roman"/>
          <w:b w:val="0"/>
          <w:sz w:val="24"/>
        </w:rPr>
        <w:t>) sesuai konteks jawaban informan.</w:t>
      </w:r>
    </w:p>
    <w:p>
      <w:pPr>
        <w:spacing w:before="160" w:after="80" w:line="360" w:lineRule="auto"/>
      </w:pPr>
      <w:r>
        <w:rPr>
          <w:rFonts w:ascii="Times New Roman" w:hAnsi="Times New Roman" w:eastAsia="Times New Roman"/>
          <w:b/>
          <w:sz w:val="24"/>
        </w:rPr>
        <w:t>B. Prosedur Penyusunan Kisi-kisi dan Pedoman Wawancara</w:t>
      </w:r>
    </w:p>
    <w:p>
      <w:pPr>
        <w:spacing w:line="360" w:lineRule="auto" w:after="80"/>
        <w:ind w:firstLine="720"/>
        <w:jc w:val="both"/>
      </w:pPr>
      <w:r>
        <w:rPr>
          <w:rFonts w:ascii="Times New Roman" w:hAnsi="Times New Roman" w:eastAsia="Times New Roman"/>
          <w:b w:val="0"/>
          <w:sz w:val="24"/>
        </w:rPr>
        <w:t>Penyusunan instrumen ditempuh melalui tujuh langkah sistematis berikut.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1. Menetapkan fokus penelitian dan menjabarkan rumusan masalah serta pertanyaan penelitian sebagai titik tolak penyusunan instrumen.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2. Menelaah kajian teori (BAB II) untuk menentukan konsep utama, yaitu manajemen reputasi dan keunggulan kompetitif, beserta teori yang melandasinya.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3. Menurunkan konsep menjadi dimensi dan aspek berdasarkan sintesis teori, yaitu dimensi reputasi (mutu, moral/etika, tata kelola, dan citra) serta aspek keunggulan kompetitif (diferensiasi, nilai, daya tarik, dan keberlanjutan).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4. Menjabarkan setiap aspek menjadi sub-aspek dan butir pertanyaan wawancara yang operasional dan dapat dipahami informan.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5. Menentukan teknik pengumpulan data dan sumber data (informan) yang relevan untuk setiap aspek, serta menyusun matriks kisi-kisi.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6. Melakukan validasi instrumen melalui pertimbangan ahli (</w:t>
      </w:r>
      <w:r>
        <w:rPr>
          <w:rFonts w:ascii="Times New Roman" w:hAnsi="Times New Roman" w:eastAsia="Times New Roman"/>
          <w:b w:val="0"/>
          <w:i/>
          <w:sz w:val="24"/>
        </w:rPr>
        <w:t>expert judgment</w:t>
      </w:r>
      <w:r>
        <w:rPr>
          <w:rFonts w:ascii="Times New Roman" w:hAnsi="Times New Roman" w:eastAsia="Times New Roman"/>
          <w:b w:val="0"/>
          <w:sz w:val="24"/>
        </w:rPr>
        <w:t>), yakni dosen pembimbing dan/atau pakar, serta uji keterbacaan butir.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7. Merevisi instrumen berdasarkan masukan validator hingga dinyatakan layak digunakan.</w:t>
      </w:r>
    </w:p>
    <w:p>
      <w:pPr>
        <w:spacing w:line="360" w:lineRule="auto" w:after="40"/>
        <w:jc w:val="both"/>
      </w:pP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 w:eastAsia="Times New Roman"/>
          <w:b w:val="0"/>
          <w:sz w:val="24"/>
        </w:rPr>
        <w:t>Alur penurunan instrumen dapat diringkas sebagai berikut: Pertanyaan Penelitian → Konsep → Teori → Dimensi/Aspek → Sub-aspek → Butir Pertanyaan → Teknik &amp; Sumber Data.</w:t>
      </w:r>
    </w:p>
    <w:p>
      <w:pPr>
        <w:spacing w:before="160" w:after="80" w:line="360" w:lineRule="auto"/>
      </w:pPr>
      <w:r>
        <w:rPr>
          <w:rFonts w:ascii="Times New Roman" w:hAnsi="Times New Roman" w:eastAsia="Times New Roman"/>
          <w:b/>
          <w:sz w:val="24"/>
        </w:rPr>
        <w:t>C. Landasan Teori Setiap Aspek Instrumen</w:t>
      </w:r>
    </w:p>
    <w:p>
      <w:pPr>
        <w:spacing w:line="360" w:lineRule="auto" w:after="80"/>
        <w:ind w:firstLine="720"/>
        <w:jc w:val="both"/>
      </w:pPr>
      <w:r>
        <w:rPr>
          <w:rFonts w:ascii="Times New Roman" w:hAnsi="Times New Roman" w:eastAsia="Times New Roman"/>
          <w:b w:val="0"/>
          <w:sz w:val="24"/>
        </w:rPr>
        <w:t>Tabel 1 memperlihatkan keterkaitan setiap aspek instrumen dengan teori dan rujukan yang melandasinya. Tabel inilah yang dapat dijadikan dasar untuk menjelaskan “dari teori mana” setiap butir wawancara diturunkan.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eastAsia="Times New Roman"/>
          <w:b/>
          <w:sz w:val="22"/>
        </w:rPr>
        <w:t>Tabel 1. Penjabaran Aspek Instrumen dan Landasan Teorinya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</w:tblGrid>
      <w:tr>
        <w:tc>
          <w:tcPr>
            <w:tcW w:type="dxa" w:w="1701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Konsep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Aspek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Sub-aspek (cakupan butir)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Landasan Teori / Rujukan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Manajemen Reputasi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Pengertian &amp; kondisi reputasi</w:t>
            </w:r>
          </w:p>
        </w:tc>
        <w:tc>
          <w:tcPr>
            <w:tcW w:type="dxa" w:w="306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Makna reputasi sekolah; kondisi/persepsi reputasi awal</w:t>
            </w:r>
          </w:p>
        </w:tc>
        <w:tc>
          <w:tcPr>
            <w:tcW w:type="dxa" w:w="317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Fombrun (1996); Ravasi et al. (2018); Van Riel &amp; Fombrun (2007)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Manajemen Reputasi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Dimensi reputasi</w:t>
            </w:r>
          </w:p>
        </w:tc>
        <w:tc>
          <w:tcPr>
            <w:tcW w:type="dxa" w:w="306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Mutu/kinerja; moral-etika; tata kelola; citra</w:t>
            </w:r>
          </w:p>
        </w:tc>
        <w:tc>
          <w:tcPr>
            <w:tcW w:type="dxa" w:w="317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Overman et al. (2020); Tay et al. (2020); Agarwal &amp; Osiyevskyy (2021); Van der Waldt (2022)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Manajemen Reputasi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Perencanaan strategi</w:t>
            </w:r>
          </w:p>
        </w:tc>
        <w:tc>
          <w:tcPr>
            <w:tcW w:type="dxa" w:w="306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Tujuan reputasi; pemetaan pemangku kepentingan; perumusan program</w:t>
            </w:r>
          </w:p>
        </w:tc>
        <w:tc>
          <w:tcPr>
            <w:tcW w:type="dxa" w:w="317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Van Riel &amp; Fombrun (2007); Şirzad (2022); Lee (2022)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Manajemen Reputasi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Pelaksanaan strategi</w:t>
            </w:r>
          </w:p>
        </w:tc>
        <w:tc>
          <w:tcPr>
            <w:tcW w:type="dxa" w:w="306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Kehumasan &amp; komunikasi; mutu layanan; pengelolaan prestasi; media daring; nilai keislaman</w:t>
            </w:r>
          </w:p>
        </w:tc>
        <w:tc>
          <w:tcPr>
            <w:tcW w:type="dxa" w:w="317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Lee (2022); Rosmayani et al. (2025); Astuti et al. (2024); Peco-Torres et al. (2023); Hifza &amp; Aslan (2020)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Manajemen Reputasi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Pemantauan &amp; evaluasi</w:t>
            </w:r>
          </w:p>
        </w:tc>
        <w:tc>
          <w:tcPr>
            <w:tcW w:type="dxa" w:w="306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Pengukuran reputasi; umpan balik; pengelolaan keluhan &amp; krisis; tindak lanjut</w:t>
            </w:r>
          </w:p>
        </w:tc>
        <w:tc>
          <w:tcPr>
            <w:tcW w:type="dxa" w:w="317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Van Riel &amp; Fombrun (2007); Seyferth &amp; Chung (2025); Perera et al. (2022); Aprilianti et al. (2023)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Keunggulan Kompetitif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Diferensiasi &amp; nilai</w:t>
            </w:r>
          </w:p>
        </w:tc>
        <w:tc>
          <w:tcPr>
            <w:tcW w:type="dxa" w:w="306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Keunikan sekolah; nilai bagi pemangku kepentingan</w:t>
            </w:r>
          </w:p>
        </w:tc>
        <w:tc>
          <w:tcPr>
            <w:tcW w:type="dxa" w:w="317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Porter (1985); Barney (1991); Assensoh-Kodua (2019); Asrulla et al. (2025)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Keunggulan Kompetitif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Daya tarik &amp; keberlanjutan</w:t>
            </w:r>
          </w:p>
        </w:tc>
        <w:tc>
          <w:tcPr>
            <w:tcW w:type="dxa" w:w="306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Animo pendaftar &amp; loyalitas; keberlanjutan &amp; predikat unggul</w:t>
            </w:r>
          </w:p>
        </w:tc>
        <w:tc>
          <w:tcPr>
            <w:tcW w:type="dxa" w:w="317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Hart &amp; Rodgers (2024); Supardi &amp; Herawan (2020); Warta et al. (2024); Sahrul et al. (2024)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Keterkaitan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Reputasi sbg sumber keunggulan</w:t>
            </w:r>
          </w:p>
        </w:tc>
        <w:tc>
          <w:tcPr>
            <w:tcW w:type="dxa" w:w="306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Kontribusi reputasi pada keunggulan kompetitif sekolah</w:t>
            </w:r>
          </w:p>
        </w:tc>
        <w:tc>
          <w:tcPr>
            <w:tcW w:type="dxa" w:w="317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Gao et al. (2017); Hidalgo-Peñate et al. (2024); Farida &amp; Setiawan (2022)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Faktor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Pendukung &amp; penghambat</w:t>
            </w:r>
          </w:p>
        </w:tc>
        <w:tc>
          <w:tcPr>
            <w:tcW w:type="dxa" w:w="306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Kepemimpinan, SDM, budaya, sumber daya; hambatan &amp; upaya mengatasi</w:t>
            </w:r>
          </w:p>
        </w:tc>
        <w:tc>
          <w:tcPr>
            <w:tcW w:type="dxa" w:w="317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Mahdi &amp; Nassar (2021); Hamadamin &amp; Atan (2019); Bari et al. (2024)</w:t>
            </w:r>
          </w:p>
        </w:tc>
      </w:tr>
    </w:tbl>
    <w:p>
      <w:r>
        <w:br w:type="page"/>
      </w:r>
    </w:p>
    <w:p>
      <w:pPr>
        <w:spacing w:before="160" w:after="80" w:line="360" w:lineRule="auto"/>
      </w:pPr>
      <w:r>
        <w:rPr>
          <w:rFonts w:ascii="Times New Roman" w:hAnsi="Times New Roman" w:eastAsia="Times New Roman"/>
          <w:b/>
          <w:sz w:val="24"/>
        </w:rPr>
        <w:t>D. Keterkaitan Aspek dengan Pertanyaan Penelitian dan Sumber Data</w:t>
      </w:r>
    </w:p>
    <w:p>
      <w:pPr>
        <w:spacing w:line="360" w:lineRule="auto" w:after="80"/>
        <w:ind w:firstLine="720"/>
        <w:jc w:val="both"/>
      </w:pPr>
      <w:r>
        <w:rPr>
          <w:rFonts w:ascii="Times New Roman" w:hAnsi="Times New Roman" w:eastAsia="Times New Roman"/>
          <w:b w:val="0"/>
          <w:sz w:val="24"/>
        </w:rPr>
        <w:t>Tabel 2 menunjukkan bahwa setiap aspek instrumen terhubung dengan pertanyaan penelitian dan sumber data tertentu, sehingga seluruh data yang dikumpulkan benar-benar menjawab pertanyaan penelitian (prinsip keselarasan/</w:t>
      </w:r>
      <w:r>
        <w:rPr>
          <w:rFonts w:ascii="Times New Roman" w:hAnsi="Times New Roman" w:eastAsia="Times New Roman"/>
          <w:b w:val="0"/>
          <w:i/>
          <w:sz w:val="24"/>
        </w:rPr>
        <w:t>alignment</w:t>
      </w:r>
      <w:r>
        <w:rPr>
          <w:rFonts w:ascii="Times New Roman" w:hAnsi="Times New Roman" w:eastAsia="Times New Roman"/>
          <w:b w:val="0"/>
          <w:sz w:val="24"/>
        </w:rPr>
        <w:t>).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eastAsia="Times New Roman"/>
          <w:b/>
          <w:sz w:val="22"/>
        </w:rPr>
        <w:t>Tabel 2. Keterkaitan Aspek, Pertanyaan Penelitian, dan Sumber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</w:tblGrid>
      <w:tr>
        <w:tc>
          <w:tcPr>
            <w:tcW w:type="dxa" w:w="2721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Pertanyaan Penelitian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Aspek Terkait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Sumber Data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Nomor Butir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PP-1: Bagaimana strategi manajemen reputasi dalam memperkuat keunggulan kompetitif?</w:t>
            </w:r>
          </w:p>
        </w:tc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Perencanaan; Pelaksanaan; Pemantauan &amp; evaluasi; Diferensiasi; Nilai; Daya tarik; Keberlanjutan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Kepala Sekolah; Waka Kurikulum; Waka Humas; Wali Murid; Observasi; Dokumentasi</w:t>
            </w:r>
          </w:p>
        </w:tc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KS 1–8; WKK 1–7; WKH 1–9; WM 1–7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PP-2: Apa faktor pendukung dan penghambat strategi manajemen reputasi?</w:t>
            </w:r>
          </w:p>
        </w:tc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Faktor pendukung; Faktor penghambat &amp; upaya mengatasi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Kepala Sekolah; Waka Kurikulum; Waka Humas; Wali Murid</w:t>
            </w:r>
          </w:p>
        </w:tc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KS 9; WKK 8; WKH 10; WM 8</w:t>
            </w:r>
          </w:p>
        </w:tc>
      </w:tr>
    </w:tbl>
    <w:p>
      <w:pPr>
        <w:spacing w:before="160" w:after="80" w:line="360" w:lineRule="auto"/>
      </w:pPr>
      <w:r>
        <w:rPr>
          <w:rFonts w:ascii="Times New Roman" w:hAnsi="Times New Roman" w:eastAsia="Times New Roman"/>
          <w:b/>
          <w:sz w:val="24"/>
        </w:rPr>
        <w:t>E. Validitas dan Keabsahan Instrumen</w:t>
      </w:r>
    </w:p>
    <w:p>
      <w:pPr>
        <w:spacing w:line="360" w:lineRule="auto" w:after="80"/>
        <w:ind w:firstLine="720"/>
        <w:jc w:val="both"/>
      </w:pPr>
      <w:r>
        <w:rPr>
          <w:rFonts w:ascii="Times New Roman" w:hAnsi="Times New Roman" w:eastAsia="Times New Roman"/>
          <w:b w:val="0"/>
          <w:sz w:val="24"/>
        </w:rPr>
        <w:t>Karena penelitian ini bersifat kualitatif, kualitas instrumen tidak diuji melalui validitas-reliabilitas statistik, melainkan melalui upaya menjamin keabsahan data (</w:t>
      </w:r>
      <w:r>
        <w:rPr>
          <w:rFonts w:ascii="Times New Roman" w:hAnsi="Times New Roman" w:eastAsia="Times New Roman"/>
          <w:b w:val="0"/>
          <w:i/>
          <w:sz w:val="24"/>
        </w:rPr>
        <w:t>trustworthiness</w:t>
      </w:r>
      <w:r>
        <w:rPr>
          <w:rFonts w:ascii="Times New Roman" w:hAnsi="Times New Roman" w:eastAsia="Times New Roman"/>
          <w:b w:val="0"/>
          <w:sz w:val="24"/>
        </w:rPr>
        <w:t>) sebagai berikut.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1. Validasi isi melalui pertimbangan ahli (</w:t>
      </w:r>
      <w:r>
        <w:rPr>
          <w:rFonts w:ascii="Times New Roman" w:hAnsi="Times New Roman" w:eastAsia="Times New Roman"/>
          <w:b w:val="0"/>
          <w:i/>
          <w:sz w:val="24"/>
        </w:rPr>
        <w:t>expert judgment</w:t>
      </w:r>
      <w:r>
        <w:rPr>
          <w:rFonts w:ascii="Times New Roman" w:hAnsi="Times New Roman" w:eastAsia="Times New Roman"/>
          <w:b w:val="0"/>
          <w:sz w:val="24"/>
        </w:rPr>
        <w:t>) oleh dosen pembimbing/pakar untuk menilai kesesuaian butir dengan aspek dan teori.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2. Uji keterbacaan untuk memastikan pertanyaan mudah dipahami informan.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3. Triangulasi sumber (membandingkan jawaban antarinforman) dan triangulasi teknik (wawancara, observasi, dokumentasi).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4. Pengecekan anggota (</w:t>
      </w:r>
      <w:r>
        <w:rPr>
          <w:rFonts w:ascii="Times New Roman" w:hAnsi="Times New Roman" w:eastAsia="Times New Roman"/>
          <w:b w:val="0"/>
          <w:i/>
          <w:sz w:val="24"/>
        </w:rPr>
        <w:t>member checking</w:t>
      </w:r>
      <w:r>
        <w:rPr>
          <w:rFonts w:ascii="Times New Roman" w:hAnsi="Times New Roman" w:eastAsia="Times New Roman"/>
          <w:b w:val="0"/>
          <w:sz w:val="24"/>
        </w:rPr>
        <w:t>) untuk mengonfirmasi kebenaran transkrip dan tafsir kepada informan.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5. Penyusunan jejak audit (</w:t>
      </w:r>
      <w:r>
        <w:rPr>
          <w:rFonts w:ascii="Times New Roman" w:hAnsi="Times New Roman" w:eastAsia="Times New Roman"/>
          <w:b w:val="0"/>
          <w:i/>
          <w:sz w:val="24"/>
        </w:rPr>
        <w:t>audit trail</w:t>
      </w:r>
      <w:r>
        <w:rPr>
          <w:rFonts w:ascii="Times New Roman" w:hAnsi="Times New Roman" w:eastAsia="Times New Roman"/>
          <w:b w:val="0"/>
          <w:sz w:val="24"/>
        </w:rPr>
        <w:t>) untuk menjamin kebergantungan (</w:t>
      </w:r>
      <w:r>
        <w:rPr>
          <w:rFonts w:ascii="Times New Roman" w:hAnsi="Times New Roman" w:eastAsia="Times New Roman"/>
          <w:b w:val="0"/>
          <w:i/>
          <w:sz w:val="24"/>
        </w:rPr>
        <w:t>dependability</w:t>
      </w:r>
      <w:r>
        <w:rPr>
          <w:rFonts w:ascii="Times New Roman" w:hAnsi="Times New Roman" w:eastAsia="Times New Roman"/>
          <w:b w:val="0"/>
          <w:sz w:val="24"/>
        </w:rPr>
        <w:t>) dan kepastian (</w:t>
      </w:r>
      <w:r>
        <w:rPr>
          <w:rFonts w:ascii="Times New Roman" w:hAnsi="Times New Roman" w:eastAsia="Times New Roman"/>
          <w:b w:val="0"/>
          <w:i/>
          <w:sz w:val="24"/>
        </w:rPr>
        <w:t>confirmability</w:t>
      </w:r>
      <w:r>
        <w:rPr>
          <w:rFonts w:ascii="Times New Roman" w:hAnsi="Times New Roman" w:eastAsia="Times New Roman"/>
          <w:b w:val="0"/>
          <w:sz w:val="24"/>
        </w:rPr>
        <w:t>).</w:t>
      </w:r>
    </w:p>
    <w:p>
      <w:pPr>
        <w:spacing w:before="160" w:after="80" w:line="360" w:lineRule="auto"/>
      </w:pPr>
      <w:r>
        <w:rPr>
          <w:rFonts w:ascii="Times New Roman" w:hAnsi="Times New Roman" w:eastAsia="Times New Roman"/>
          <w:b/>
          <w:sz w:val="24"/>
        </w:rPr>
        <w:t>F. Antisipasi Pertanyaan Penguji</w:t>
      </w:r>
    </w:p>
    <w:p>
      <w:pPr>
        <w:spacing w:line="360" w:lineRule="auto" w:after="80"/>
        <w:ind w:firstLine="720"/>
        <w:jc w:val="both"/>
      </w:pPr>
      <w:r>
        <w:rPr>
          <w:rFonts w:ascii="Times New Roman" w:hAnsi="Times New Roman" w:eastAsia="Times New Roman"/>
          <w:b w:val="0"/>
          <w:sz w:val="24"/>
        </w:rPr>
        <w:t>Beberapa kemungkinan pertanyaan penguji beserta arah jawabannya disajikan untuk membantu mahasiswa.</w:t>
      </w:r>
    </w:p>
    <w:p>
      <w:pPr>
        <w:spacing w:line="360" w:lineRule="auto" w:after="20"/>
        <w:ind w:firstLine="720"/>
        <w:jc w:val="both"/>
      </w:pPr>
      <w:r>
        <w:rPr>
          <w:rFonts w:ascii="Times New Roman" w:hAnsi="Times New Roman" w:eastAsia="Times New Roman"/>
          <w:b/>
          <w:sz w:val="24"/>
        </w:rPr>
        <w:t>“Dari mana aspek-aspek wawancara diturunkan?”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Dari sintesis kajian teori pada BAB II: dimensi reputasi (Fombrun, 1996; Ravasi et al., 2018; Van Riel &amp; Fombrun, 2007) dan aspek keunggulan kompetitif (Porter, 1985; Barney, 1991), yang dikontekstualisasikan dengan temuan pada lembaga pendidikan (Warta et al., 2024; Rosmayani et al., 2025).</w:t>
      </w:r>
    </w:p>
    <w:p>
      <w:pPr>
        <w:spacing w:line="360" w:lineRule="auto" w:after="20"/>
        <w:ind w:firstLine="720"/>
        <w:jc w:val="both"/>
      </w:pPr>
      <w:r>
        <w:rPr>
          <w:rFonts w:ascii="Times New Roman" w:hAnsi="Times New Roman" w:eastAsia="Times New Roman"/>
          <w:b/>
          <w:sz w:val="24"/>
        </w:rPr>
        <w:t>“Mengapa menggunakan tahap perencanaan–pelaksanaan–evaluasi?”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Karena manajemen reputasi merupakan proses yang berlangsung melalui tahap-tahap tersebut sebagaimana dijelaskan Van Riel dan Fombrun (2007), dan tahap ini menjadi kerangka analisis pada alur pikir penelitian.</w:t>
      </w:r>
    </w:p>
    <w:p>
      <w:pPr>
        <w:spacing w:line="360" w:lineRule="auto" w:after="20"/>
        <w:ind w:firstLine="720"/>
        <w:jc w:val="both"/>
      </w:pPr>
      <w:r>
        <w:rPr>
          <w:rFonts w:ascii="Times New Roman" w:hAnsi="Times New Roman" w:eastAsia="Times New Roman"/>
          <w:b/>
          <w:sz w:val="24"/>
        </w:rPr>
        <w:t>“Mengapa keempat informan ini yang dipilih?”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Pemilihan bersifat </w:t>
      </w:r>
      <w:r>
        <w:rPr>
          <w:rFonts w:ascii="Times New Roman" w:hAnsi="Times New Roman" w:eastAsia="Times New Roman"/>
          <w:b w:val="0"/>
          <w:i/>
          <w:sz w:val="24"/>
        </w:rPr>
        <w:t>purposive</w:t>
      </w:r>
      <w:r>
        <w:rPr>
          <w:rFonts w:ascii="Times New Roman" w:hAnsi="Times New Roman" w:eastAsia="Times New Roman"/>
          <w:b w:val="0"/>
          <w:sz w:val="24"/>
        </w:rPr>
        <w:t>: Kepala Sekolah (perumus kebijakan), Waka Kurikulum (mutu akademik), Waka Humas (komunikasi &amp; reputasi), dan Wali Murid (penilai reputasi dari sisi eksternal). Keempatnya memungkinkan triangulasi sumber.</w:t>
      </w:r>
    </w:p>
    <w:p>
      <w:pPr>
        <w:spacing w:line="360" w:lineRule="auto" w:after="20"/>
        <w:ind w:firstLine="720"/>
        <w:jc w:val="both"/>
      </w:pPr>
      <w:r>
        <w:rPr>
          <w:rFonts w:ascii="Times New Roman" w:hAnsi="Times New Roman" w:eastAsia="Times New Roman"/>
          <w:b/>
          <w:sz w:val="24"/>
        </w:rPr>
        <w:t>“Bagaimana menjamin instrumen valid?”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Melalui validasi ahli (</w:t>
      </w:r>
      <w:r>
        <w:rPr>
          <w:rFonts w:ascii="Times New Roman" w:hAnsi="Times New Roman" w:eastAsia="Times New Roman"/>
          <w:b w:val="0"/>
          <w:i/>
          <w:sz w:val="24"/>
        </w:rPr>
        <w:t>expert judgment</w:t>
      </w:r>
      <w:r>
        <w:rPr>
          <w:rFonts w:ascii="Times New Roman" w:hAnsi="Times New Roman" w:eastAsia="Times New Roman"/>
          <w:b w:val="0"/>
          <w:sz w:val="24"/>
        </w:rPr>
        <w:t xml:space="preserve">), uji keterbacaan, serta triangulasi dan </w:t>
      </w:r>
      <w:r>
        <w:rPr>
          <w:rFonts w:ascii="Times New Roman" w:hAnsi="Times New Roman" w:eastAsia="Times New Roman"/>
          <w:b w:val="0"/>
          <w:i/>
          <w:sz w:val="24"/>
        </w:rPr>
        <w:t>member checking</w:t>
      </w:r>
      <w:r>
        <w:rPr>
          <w:rFonts w:ascii="Times New Roman" w:hAnsi="Times New Roman" w:eastAsia="Times New Roman"/>
          <w:b w:val="0"/>
          <w:sz w:val="24"/>
        </w:rPr>
        <w:t xml:space="preserve"> pada tahap pengumpulan dan analisis data.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 w:eastAsia="Times New Roman"/>
          <w:b w:val="0"/>
          <w:sz w:val="24"/>
        </w:rPr>
        <w:t>Dengan demikian, kisi-kisi dan pedoman wawancara dalam penelitian ini disusun secara sistematis, berbasis teori, dan selaras dengan fokus, pendekatan, serta pertanyaan penelitian, sehingga dapat dipertanggungjawabkan secara akademik.</w:t>
      </w:r>
    </w:p>
    <w:p>
      <w:pPr>
        <w:spacing w:before="160" w:after="80" w:line="360" w:lineRule="auto"/>
      </w:pPr>
      <w:r>
        <w:rPr>
          <w:rFonts w:ascii="Times New Roman" w:hAnsi="Times New Roman" w:eastAsia="Times New Roman"/>
          <w:b/>
          <w:sz w:val="24"/>
        </w:rPr>
        <w:t>Rujukan</w:t>
      </w:r>
    </w:p>
    <w:p>
      <w:pPr>
        <w:spacing w:line="360" w:lineRule="auto" w:after="80"/>
        <w:ind w:left="720" w:hanging="720"/>
        <w:jc w:val="both"/>
      </w:pPr>
      <w:r>
        <w:rPr>
          <w:rFonts w:ascii="Times New Roman" w:hAnsi="Times New Roman" w:eastAsia="Times New Roman"/>
          <w:b w:val="0"/>
          <w:sz w:val="22"/>
        </w:rPr>
        <w:t xml:space="preserve">Assensoh-Kodua, A. (2019). The resource-based view: A tool of key competency for competitive advantage. </w:t>
      </w:r>
      <w:r>
        <w:rPr>
          <w:rFonts w:ascii="Times New Roman" w:hAnsi="Times New Roman" w:eastAsia="Times New Roman"/>
          <w:b w:val="0"/>
          <w:i/>
          <w:sz w:val="22"/>
        </w:rPr>
        <w:t>Problems and Perspectives in Management, 17</w:t>
      </w:r>
      <w:r>
        <w:rPr>
          <w:rFonts w:ascii="Times New Roman" w:hAnsi="Times New Roman" w:eastAsia="Times New Roman"/>
          <w:b w:val="0"/>
          <w:sz w:val="22"/>
        </w:rPr>
        <w:t>(3), 143–152.</w:t>
      </w:r>
    </w:p>
    <w:p>
      <w:pPr>
        <w:spacing w:line="360" w:lineRule="auto" w:after="80"/>
        <w:ind w:left="720" w:hanging="720"/>
        <w:jc w:val="both"/>
      </w:pPr>
      <w:r>
        <w:rPr>
          <w:rFonts w:ascii="Times New Roman" w:hAnsi="Times New Roman" w:eastAsia="Times New Roman"/>
          <w:b w:val="0"/>
          <w:sz w:val="22"/>
        </w:rPr>
        <w:t xml:space="preserve">Barney, J. (1991). Firm resources and sustained competitive advantage. </w:t>
      </w:r>
      <w:r>
        <w:rPr>
          <w:rFonts w:ascii="Times New Roman" w:hAnsi="Times New Roman" w:eastAsia="Times New Roman"/>
          <w:b w:val="0"/>
          <w:i/>
          <w:sz w:val="22"/>
        </w:rPr>
        <w:t>Journal of Management, 17</w:t>
      </w:r>
      <w:r>
        <w:rPr>
          <w:rFonts w:ascii="Times New Roman" w:hAnsi="Times New Roman" w:eastAsia="Times New Roman"/>
          <w:b w:val="0"/>
          <w:sz w:val="22"/>
        </w:rPr>
        <w:t>(1), 99–120.</w:t>
      </w:r>
    </w:p>
    <w:p>
      <w:pPr>
        <w:spacing w:line="360" w:lineRule="auto" w:after="80"/>
        <w:ind w:left="720" w:hanging="720"/>
        <w:jc w:val="both"/>
      </w:pPr>
      <w:r>
        <w:rPr>
          <w:rFonts w:ascii="Times New Roman" w:hAnsi="Times New Roman" w:eastAsia="Times New Roman"/>
          <w:b w:val="0"/>
          <w:sz w:val="22"/>
        </w:rPr>
        <w:t xml:space="preserve">Creswell, J. W., &amp; Poth, C. N. (2018). </w:t>
      </w:r>
      <w:r>
        <w:rPr>
          <w:rFonts w:ascii="Times New Roman" w:hAnsi="Times New Roman" w:eastAsia="Times New Roman"/>
          <w:b w:val="0"/>
          <w:i/>
          <w:sz w:val="22"/>
        </w:rPr>
        <w:t>Qualitative inquiry and research design</w:t>
      </w:r>
      <w:r>
        <w:rPr>
          <w:rFonts w:ascii="Times New Roman" w:hAnsi="Times New Roman" w:eastAsia="Times New Roman"/>
          <w:b w:val="0"/>
          <w:sz w:val="22"/>
        </w:rPr>
        <w:t xml:space="preserve"> (4th ed.). SAGE Publications.</w:t>
      </w:r>
    </w:p>
    <w:p>
      <w:pPr>
        <w:spacing w:line="360" w:lineRule="auto" w:after="80"/>
        <w:ind w:left="720" w:hanging="720"/>
        <w:jc w:val="both"/>
      </w:pPr>
      <w:r>
        <w:rPr>
          <w:rFonts w:ascii="Times New Roman" w:hAnsi="Times New Roman" w:eastAsia="Times New Roman"/>
          <w:b w:val="0"/>
          <w:sz w:val="22"/>
        </w:rPr>
        <w:t xml:space="preserve">Fombrun, C. J. (1996). </w:t>
      </w:r>
      <w:r>
        <w:rPr>
          <w:rFonts w:ascii="Times New Roman" w:hAnsi="Times New Roman" w:eastAsia="Times New Roman"/>
          <w:b w:val="0"/>
          <w:i/>
          <w:sz w:val="22"/>
        </w:rPr>
        <w:t>Reputation: Realizing value from the corporate image.</w:t>
      </w:r>
      <w:r>
        <w:rPr>
          <w:rFonts w:ascii="Times New Roman" w:hAnsi="Times New Roman" w:eastAsia="Times New Roman"/>
          <w:b w:val="0"/>
          <w:sz w:val="22"/>
        </w:rPr>
        <w:t xml:space="preserve"> Harvard Business School Press.</w:t>
      </w:r>
    </w:p>
    <w:p>
      <w:pPr>
        <w:spacing w:line="360" w:lineRule="auto" w:after="80"/>
        <w:ind w:left="720" w:hanging="720"/>
        <w:jc w:val="both"/>
      </w:pPr>
      <w:r>
        <w:rPr>
          <w:rFonts w:ascii="Times New Roman" w:hAnsi="Times New Roman" w:eastAsia="Times New Roman"/>
          <w:b w:val="0"/>
          <w:sz w:val="22"/>
        </w:rPr>
        <w:t xml:space="preserve">Porter, M. E. (1985). </w:t>
      </w:r>
      <w:r>
        <w:rPr>
          <w:rFonts w:ascii="Times New Roman" w:hAnsi="Times New Roman" w:eastAsia="Times New Roman"/>
          <w:b w:val="0"/>
          <w:i/>
          <w:sz w:val="22"/>
        </w:rPr>
        <w:t>Competitive advantage.</w:t>
      </w:r>
      <w:r>
        <w:rPr>
          <w:rFonts w:ascii="Times New Roman" w:hAnsi="Times New Roman" w:eastAsia="Times New Roman"/>
          <w:b w:val="0"/>
          <w:sz w:val="22"/>
        </w:rPr>
        <w:t xml:space="preserve"> Free Press.</w:t>
      </w:r>
    </w:p>
    <w:p>
      <w:pPr>
        <w:spacing w:line="360" w:lineRule="auto" w:after="80"/>
        <w:ind w:left="720" w:hanging="720"/>
        <w:jc w:val="both"/>
      </w:pPr>
      <w:r>
        <w:rPr>
          <w:rFonts w:ascii="Times New Roman" w:hAnsi="Times New Roman" w:eastAsia="Times New Roman"/>
          <w:b w:val="0"/>
          <w:sz w:val="22"/>
        </w:rPr>
        <w:t xml:space="preserve">Ravasi, D., Rindova, V., Etter, M., &amp; Cornelissen, J. (2018). The formation of organizational reputation. </w:t>
      </w:r>
      <w:r>
        <w:rPr>
          <w:rFonts w:ascii="Times New Roman" w:hAnsi="Times New Roman" w:eastAsia="Times New Roman"/>
          <w:b w:val="0"/>
          <w:i/>
          <w:sz w:val="22"/>
        </w:rPr>
        <w:t>Academy of Management Annals, 12</w:t>
      </w:r>
      <w:r>
        <w:rPr>
          <w:rFonts w:ascii="Times New Roman" w:hAnsi="Times New Roman" w:eastAsia="Times New Roman"/>
          <w:b w:val="0"/>
          <w:sz w:val="22"/>
        </w:rPr>
        <w:t>(2), 574–599.</w:t>
      </w:r>
    </w:p>
    <w:p>
      <w:pPr>
        <w:spacing w:line="360" w:lineRule="auto" w:after="80"/>
        <w:ind w:left="720" w:hanging="720"/>
        <w:jc w:val="both"/>
      </w:pPr>
      <w:r>
        <w:rPr>
          <w:rFonts w:ascii="Times New Roman" w:hAnsi="Times New Roman" w:eastAsia="Times New Roman"/>
          <w:b w:val="0"/>
          <w:sz w:val="22"/>
        </w:rPr>
        <w:t xml:space="preserve">Rosmayani, M., Julaihah, S., &amp; Wijaya, I. S. (2025). Strategi humas dalam membangun citra, kepercayaan, dan reputasi sekolah Islam. </w:t>
      </w:r>
      <w:r>
        <w:rPr>
          <w:rFonts w:ascii="Times New Roman" w:hAnsi="Times New Roman" w:eastAsia="Times New Roman"/>
          <w:b w:val="0"/>
          <w:i/>
          <w:sz w:val="22"/>
        </w:rPr>
        <w:t>ITQAN, 16</w:t>
      </w:r>
      <w:r>
        <w:rPr>
          <w:rFonts w:ascii="Times New Roman" w:hAnsi="Times New Roman" w:eastAsia="Times New Roman"/>
          <w:b w:val="0"/>
          <w:sz w:val="22"/>
        </w:rPr>
        <w:t>(1), 25–36.</w:t>
      </w:r>
    </w:p>
    <w:p>
      <w:pPr>
        <w:spacing w:line="360" w:lineRule="auto" w:after="80"/>
        <w:ind w:left="720" w:hanging="720"/>
        <w:jc w:val="both"/>
      </w:pPr>
      <w:r>
        <w:rPr>
          <w:rFonts w:ascii="Times New Roman" w:hAnsi="Times New Roman" w:eastAsia="Times New Roman"/>
          <w:b w:val="0"/>
          <w:sz w:val="22"/>
        </w:rPr>
        <w:t xml:space="preserve">Sugiyono. (2019). </w:t>
      </w:r>
      <w:r>
        <w:rPr>
          <w:rFonts w:ascii="Times New Roman" w:hAnsi="Times New Roman" w:eastAsia="Times New Roman"/>
          <w:b w:val="0"/>
          <w:i/>
          <w:sz w:val="22"/>
        </w:rPr>
        <w:t>Metode penelitian kuantitatif, kualitatif, dan R&amp;D.</w:t>
      </w:r>
      <w:r>
        <w:rPr>
          <w:rFonts w:ascii="Times New Roman" w:hAnsi="Times New Roman" w:eastAsia="Times New Roman"/>
          <w:b w:val="0"/>
          <w:sz w:val="22"/>
        </w:rPr>
        <w:t xml:space="preserve"> Alfabeta.</w:t>
      </w:r>
    </w:p>
    <w:p>
      <w:pPr>
        <w:spacing w:line="360" w:lineRule="auto" w:after="80"/>
        <w:ind w:left="720" w:hanging="720"/>
        <w:jc w:val="both"/>
      </w:pPr>
      <w:r>
        <w:rPr>
          <w:rFonts w:ascii="Times New Roman" w:hAnsi="Times New Roman" w:eastAsia="Times New Roman"/>
          <w:b w:val="0"/>
          <w:sz w:val="22"/>
        </w:rPr>
        <w:t xml:space="preserve">Van Riel, C. B. M., &amp; Fombrun, C. J. (2007). </w:t>
      </w:r>
      <w:r>
        <w:rPr>
          <w:rFonts w:ascii="Times New Roman" w:hAnsi="Times New Roman" w:eastAsia="Times New Roman"/>
          <w:b w:val="0"/>
          <w:i/>
          <w:sz w:val="22"/>
        </w:rPr>
        <w:t>Essentials of corporate communication.</w:t>
      </w:r>
      <w:r>
        <w:rPr>
          <w:rFonts w:ascii="Times New Roman" w:hAnsi="Times New Roman" w:eastAsia="Times New Roman"/>
          <w:b w:val="0"/>
          <w:sz w:val="22"/>
        </w:rPr>
        <w:t xml:space="preserve"> Routledge.</w:t>
      </w:r>
    </w:p>
    <w:p>
      <w:pPr>
        <w:spacing w:line="360" w:lineRule="auto" w:after="80"/>
        <w:ind w:left="720" w:hanging="720"/>
        <w:jc w:val="both"/>
      </w:pPr>
      <w:r>
        <w:rPr>
          <w:rFonts w:ascii="Times New Roman" w:hAnsi="Times New Roman" w:eastAsia="Times New Roman"/>
          <w:b w:val="0"/>
          <w:sz w:val="22"/>
        </w:rPr>
        <w:t xml:space="preserve">Warta, W., Syam, R. Z. A., &amp; Rahmatullah, T. (2024). School reputation management for institutional sustainability. </w:t>
      </w:r>
      <w:r>
        <w:rPr>
          <w:rFonts w:ascii="Times New Roman" w:hAnsi="Times New Roman" w:eastAsia="Times New Roman"/>
          <w:b w:val="0"/>
          <w:i/>
          <w:sz w:val="22"/>
        </w:rPr>
        <w:t>QALAMUNA, 16</w:t>
      </w:r>
      <w:r>
        <w:rPr>
          <w:rFonts w:ascii="Times New Roman" w:hAnsi="Times New Roman" w:eastAsia="Times New Roman"/>
          <w:b w:val="0"/>
          <w:sz w:val="22"/>
        </w:rPr>
        <w:t>(1), 633–646.</w:t>
      </w:r>
    </w:p>
    <w:p>
      <w:pPr>
        <w:spacing w:line="360" w:lineRule="auto" w:after="80"/>
        <w:ind w:left="720" w:hanging="720"/>
        <w:jc w:val="both"/>
      </w:pPr>
      <w:r>
        <w:rPr>
          <w:rFonts w:ascii="Times New Roman" w:hAnsi="Times New Roman" w:eastAsia="Times New Roman"/>
          <w:b w:val="0"/>
          <w:sz w:val="22"/>
        </w:rPr>
        <w:t xml:space="preserve">Yin, R. K. (2018). </w:t>
      </w:r>
      <w:r>
        <w:rPr>
          <w:rFonts w:ascii="Times New Roman" w:hAnsi="Times New Roman" w:eastAsia="Times New Roman"/>
          <w:b w:val="0"/>
          <w:i/>
          <w:sz w:val="22"/>
        </w:rPr>
        <w:t>Case study research and applications</w:t>
      </w:r>
      <w:r>
        <w:rPr>
          <w:rFonts w:ascii="Times New Roman" w:hAnsi="Times New Roman" w:eastAsia="Times New Roman"/>
          <w:b w:val="0"/>
          <w:sz w:val="22"/>
        </w:rPr>
        <w:t xml:space="preserve"> (6th ed.). SAGE Publications.</w:t>
      </w:r>
    </w:p>
    <w:sectPr w:rsidR="00FC693F" w:rsidRPr="0006063C" w:rsidSect="00034616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