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right="90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bfbfbf" w:val="clear"/>
        <w:ind w:right="27"/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 FOCUS DATA ACTION RESPONSE (FDAR) FORM</w:t>
      </w:r>
    </w:p>
    <w:p w:rsidR="00000000" w:rsidDel="00000000" w:rsidP="00000000" w:rsidRDefault="00000000" w:rsidRPr="00000000" w14:paraId="00000004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entury Gothic" w:cs="Century Gothic" w:eastAsia="Century Gothic" w:hAnsi="Century Gothic"/>
          <w:sz w:val="22"/>
          <w:szCs w:val="22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Name: 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 ${pn}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Age: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 ${age}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 Gender: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 ${g} </w:t>
      </w:r>
    </w:p>
    <w:p w:rsidR="00000000" w:rsidDel="00000000" w:rsidP="00000000" w:rsidRDefault="00000000" w:rsidRPr="00000000" w14:paraId="00000006">
      <w:pPr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Strand/Program: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 ${pc}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 Year:_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${year}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 Sem: 1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vertAlign w:val="superscript"/>
          <w:rtl w:val="0"/>
        </w:rPr>
        <w:t xml:space="preserve">st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 ${sem1}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2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vertAlign w:val="superscript"/>
          <w:rtl w:val="0"/>
        </w:rPr>
        <w:t xml:space="preserve">nd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${sem2}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entury Gothic" w:cs="Century Gothic" w:eastAsia="Century Gothic" w:hAnsi="Century Gothic"/>
          <w:sz w:val="22"/>
          <w:szCs w:val="22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Address: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 ${sad}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 Date: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 ${date}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 Time: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 ${time}</w:t>
      </w:r>
    </w:p>
    <w:p w:rsidR="00000000" w:rsidDel="00000000" w:rsidP="00000000" w:rsidRDefault="00000000" w:rsidRPr="00000000" w14:paraId="00000008">
      <w:pPr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righ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495"/>
        <w:gridCol w:w="1305"/>
        <w:tblGridChange w:id="0">
          <w:tblGrid>
            <w:gridCol w:w="9495"/>
            <w:gridCol w:w="1305"/>
          </w:tblGrid>
        </w:tblGridChange>
      </w:tblGrid>
      <w:tr>
        <w:trPr>
          <w:cantSplit w:val="0"/>
          <w:trHeight w:val="69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  </w:t>
            </w:r>
          </w:p>
          <w:tbl>
            <w:tblPr>
              <w:tblStyle w:val="Table2"/>
              <w:tblW w:w="9295.0" w:type="dxa"/>
              <w:jc w:val="left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9295"/>
              <w:tblGridChange w:id="0">
                <w:tblGrid>
                  <w:gridCol w:w="9295"/>
                </w:tblGrid>
              </w:tblGridChange>
            </w:tblGrid>
            <w:tr>
              <w:trPr>
                <w:cantSplit w:val="0"/>
                <w:trHeight w:val="118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A">
                  <w:pPr>
                    <w:widowControl w:val="0"/>
                    <w:rPr>
                      <w:rFonts w:ascii="Century Gothic" w:cs="Century Gothic" w:eastAsia="Century Gothic" w:hAnsi="Century Gothic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sz w:val="20"/>
                      <w:szCs w:val="20"/>
                      <w:rtl w:val="0"/>
                    </w:rPr>
                    <w:t xml:space="preserve">Focus: ${foc}</w:t>
                  </w:r>
                </w:p>
              </w:tc>
            </w:tr>
            <w:tr>
              <w:trPr>
                <w:cantSplit w:val="0"/>
                <w:trHeight w:val="111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entury Gothic" w:cs="Century Gothic" w:eastAsia="Century Gothic" w:hAnsi="Century Gothic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sz w:val="20"/>
                      <w:szCs w:val="20"/>
                      <w:rtl w:val="0"/>
                    </w:rPr>
                    <w:t xml:space="preserve">Data: ${dat}</w:t>
                  </w:r>
                </w:p>
              </w:tc>
            </w:tr>
            <w:tr>
              <w:trPr>
                <w:cantSplit w:val="0"/>
                <w:trHeight w:val="97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entury Gothic" w:cs="Century Gothic" w:eastAsia="Century Gothic" w:hAnsi="Century Gothic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sz w:val="20"/>
                      <w:szCs w:val="20"/>
                      <w:rtl w:val="0"/>
                    </w:rPr>
                    <w:t xml:space="preserve">Action: ${act}</w:t>
                  </w:r>
                </w:p>
              </w:tc>
            </w:tr>
            <w:tr>
              <w:trPr>
                <w:cantSplit w:val="0"/>
                <w:trHeight w:val="192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entury Gothic" w:cs="Century Gothic" w:eastAsia="Century Gothic" w:hAnsi="Century Gothic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sz w:val="20"/>
                      <w:szCs w:val="20"/>
                      <w:rtl w:val="0"/>
                    </w:rPr>
                    <w:t xml:space="preserve">Response: ${res}</w:t>
                  </w:r>
                </w:p>
              </w:tc>
            </w:tr>
          </w:tbl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360" w:lineRule="auto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Wt.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u w:val="single"/>
                <w:rtl w:val="0"/>
              </w:rPr>
              <w:t xml:space="preserve"> ${wt}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line="360" w:lineRule="auto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Ht.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u w:val="single"/>
                <w:rtl w:val="0"/>
              </w:rPr>
              <w:t xml:space="preserve"> ${ht}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line="360" w:lineRule="auto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BP: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u w:val="single"/>
                <w:rtl w:val="0"/>
              </w:rPr>
              <w:t xml:space="preserve"> ${bp}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line="360" w:lineRule="auto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CR: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u w:val="single"/>
                <w:rtl w:val="0"/>
              </w:rPr>
              <w:t xml:space="preserve">${cr}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line="360" w:lineRule="auto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RR: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u w:val="single"/>
                <w:rtl w:val="0"/>
              </w:rPr>
              <w:t xml:space="preserve">${rr}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line="360" w:lineRule="auto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T: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u w:val="single"/>
                <w:rtl w:val="0"/>
              </w:rPr>
              <w:t xml:space="preserve">${tmp}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line="360" w:lineRule="auto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 SAT: </w:t>
            </w:r>
          </w:p>
          <w:p w:rsidR="00000000" w:rsidDel="00000000" w:rsidP="00000000" w:rsidRDefault="00000000" w:rsidRPr="00000000" w14:paraId="00000016">
            <w:pPr>
              <w:spacing w:line="360" w:lineRule="auto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LMP: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lef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7560"/>
          <w:tab w:val="right" w:leader="none" w:pos="10800"/>
        </w:tabs>
        <w:jc w:val="right"/>
        <w:rPr>
          <w:rFonts w:ascii="Cambria" w:cs="Cambria" w:eastAsia="Cambria" w:hAnsi="Cambria"/>
          <w:u w:val="single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   </w:t>
      </w:r>
      <w:r w:rsidDel="00000000" w:rsidR="00000000" w:rsidRPr="00000000">
        <w:rPr>
          <w:rFonts w:ascii="Cambria" w:cs="Cambria" w:eastAsia="Cambria" w:hAnsi="Cambria"/>
          <w:u w:val="single"/>
          <w:rtl w:val="0"/>
        </w:rPr>
        <w:t xml:space="preserve">${nn}     </w:t>
      </w:r>
    </w:p>
    <w:p w:rsidR="00000000" w:rsidDel="00000000" w:rsidP="00000000" w:rsidRDefault="00000000" w:rsidRPr="00000000" w14:paraId="0000001B">
      <w:pPr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Garamond" w:cs="Garamond" w:eastAsia="Garamond" w:hAnsi="Garamond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Signature Over Printed Name</w:t>
      </w:r>
    </w:p>
    <w:p w:rsidR="00000000" w:rsidDel="00000000" w:rsidP="00000000" w:rsidRDefault="00000000" w:rsidRPr="00000000" w14:paraId="0000001C">
      <w:pPr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      </w:t>
        <w:tab/>
        <w:tab/>
        <w:tab/>
        <w:t xml:space="preserve"> License No. 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${nl}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ab/>
        <w:tab/>
        <w:tab/>
        <w:t xml:space="preserve"> PTR No. 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${nptr}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S2 No. ______________</w:t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footerReference r:id="rId11" w:type="even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Verdana"/>
  <w:font w:name="Cambria"/>
  <w:font w:name="Times New Roman"/>
  <w:font w:name="Calibri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ld English Text MT"/>
  <w:font w:name="Arial Narr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althazar">
    <w:embedRegular w:fontKey="{00000000-0000-0000-0000-000000000000}" r:id="rId9" w:subsetted="0"/>
  </w:font>
  <w:font w:name="Century Gothic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0">
    <w:pPr>
      <w:tabs>
        <w:tab w:val="center" w:leader="none" w:pos="4680"/>
        <w:tab w:val="left" w:leader="none" w:pos="7662"/>
      </w:tabs>
      <w:ind w:right="-137" w:hanging="2"/>
      <w:jc w:val="right"/>
      <w:rPr>
        <w:rFonts w:ascii="Arial Narrow" w:cs="Arial Narrow" w:eastAsia="Arial Narrow" w:hAnsi="Arial Narrow"/>
        <w:color w:val="000000"/>
      </w:rPr>
    </w:pPr>
    <w:r w:rsidDel="00000000" w:rsidR="00000000" w:rsidRPr="00000000">
      <w:rPr>
        <w:rFonts w:ascii="Arial Narrow" w:cs="Arial Narrow" w:eastAsia="Arial Narrow" w:hAnsi="Arial Narrow"/>
        <w:color w:val="000000"/>
        <w:rtl w:val="0"/>
      </w:rPr>
      <w:t xml:space="preserve">PNC:AF-FO-07 rev.0 02012023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373379</wp:posOffset>
          </wp:positionH>
          <wp:positionV relativeFrom="paragraph">
            <wp:posOffset>139065</wp:posOffset>
          </wp:positionV>
          <wp:extent cx="982980" cy="1241425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82980" cy="12414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fffff" w:val="clear"/>
      <w:tabs>
        <w:tab w:val="center" w:leader="none" w:pos="4680"/>
        <w:tab w:val="right" w:leader="none" w:pos="9360"/>
      </w:tabs>
      <w:spacing w:after="0" w:before="280" w:line="192" w:lineRule="auto"/>
      <w:ind w:left="2" w:right="0" w:hanging="4"/>
      <w:jc w:val="center"/>
      <w:rPr>
        <w:rFonts w:ascii="Balthazar" w:cs="Balthazar" w:eastAsia="Balthazar" w:hAnsi="Balthazar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Republic of the Philippines</w:t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3300"/>
        <w:sz w:val="16"/>
        <w:szCs w:val="16"/>
        <w:u w:val="none"/>
        <w:shd w:fill="auto" w:val="clear"/>
        <w:vertAlign w:val="baseline"/>
        <w:rtl w:val="0"/>
      </w:rPr>
      <w:br w:type="textWrapping"/>
    </w:r>
    <w:r w:rsidDel="00000000" w:rsidR="00000000" w:rsidRPr="00000000">
      <w:rPr>
        <w:rFonts w:ascii="Old English Text MT" w:cs="Old English Text MT" w:eastAsia="Old English Text MT" w:hAnsi="Old English Text MT"/>
        <w:b w:val="1"/>
        <w:i w:val="0"/>
        <w:smallCaps w:val="0"/>
        <w:strike w:val="0"/>
        <w:color w:val="003300"/>
        <w:sz w:val="40"/>
        <w:szCs w:val="40"/>
        <w:u w:val="none"/>
        <w:shd w:fill="auto" w:val="clear"/>
        <w:vertAlign w:val="baseline"/>
        <w:rtl w:val="0"/>
      </w:rPr>
      <w:t xml:space="preserve">Pamantasan ng Cabuyao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3300"/>
        <w:sz w:val="28"/>
        <w:szCs w:val="28"/>
        <w:u w:val="none"/>
        <w:shd w:fill="auto" w:val="clear"/>
        <w:vertAlign w:val="baseline"/>
        <w:rtl w:val="0"/>
      </w:rPr>
      <w:br w:type="textWrapping"/>
    </w:r>
    <w:r w:rsidDel="00000000" w:rsidR="00000000" w:rsidRPr="00000000">
      <w:rPr>
        <w:rFonts w:ascii="Balthazar" w:cs="Balthazar" w:eastAsia="Balthazar" w:hAnsi="Balthazar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(University of Cabuyao)</w:t>
    </w:r>
  </w:p>
  <w:p w:rsidR="00000000" w:rsidDel="00000000" w:rsidP="00000000" w:rsidRDefault="00000000" w:rsidRPr="00000000" w14:paraId="0000002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fffff" w:val="clear"/>
      <w:tabs>
        <w:tab w:val="center" w:leader="none" w:pos="4680"/>
        <w:tab w:val="right" w:leader="none" w:pos="9360"/>
      </w:tabs>
      <w:spacing w:after="0" w:before="0" w:line="192" w:lineRule="auto"/>
      <w:ind w:left="0" w:right="0" w:hanging="2"/>
      <w:jc w:val="center"/>
      <w:rPr>
        <w:rFonts w:ascii="Calibri" w:cs="Calibri" w:eastAsia="Calibri" w:hAnsi="Calibri"/>
        <w:b w:val="1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Administration and Finance Division </w:t>
    </w:r>
  </w:p>
  <w:p w:rsidR="00000000" w:rsidDel="00000000" w:rsidP="00000000" w:rsidRDefault="00000000" w:rsidRPr="00000000" w14:paraId="0000002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fffff" w:val="clear"/>
      <w:tabs>
        <w:tab w:val="center" w:leader="none" w:pos="4680"/>
        <w:tab w:val="right" w:leader="none" w:pos="9360"/>
      </w:tabs>
      <w:spacing w:after="0" w:before="0" w:line="216" w:lineRule="auto"/>
      <w:ind w:left="0" w:right="0" w:hanging="2"/>
      <w:jc w:val="center"/>
      <w:rPr>
        <w:rFonts w:ascii="Calibri" w:cs="Calibri" w:eastAsia="Calibri" w:hAnsi="Calibri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University Health Department</w:t>
    </w:r>
  </w:p>
  <w:p w:rsidR="00000000" w:rsidDel="00000000" w:rsidP="00000000" w:rsidRDefault="00000000" w:rsidRPr="00000000" w14:paraId="0000002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fffff" w:val="clear"/>
      <w:tabs>
        <w:tab w:val="center" w:leader="none" w:pos="4680"/>
        <w:tab w:val="right" w:leader="none" w:pos="9360"/>
      </w:tabs>
      <w:spacing w:after="0" w:before="0" w:line="216" w:lineRule="auto"/>
      <w:ind w:left="0" w:right="0" w:hanging="2"/>
      <w:jc w:val="center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33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Katapatan Mutual Homes, Brgy. Banay-banay, City of Cabuyao, Laguna 4025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3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CenturyGothic-bold.ttf"/><Relationship Id="rId10" Type="http://schemas.openxmlformats.org/officeDocument/2006/relationships/font" Target="fonts/CenturyGothic-regular.ttf"/><Relationship Id="rId13" Type="http://schemas.openxmlformats.org/officeDocument/2006/relationships/font" Target="fonts/CenturyGothic-boldItalic.ttf"/><Relationship Id="rId12" Type="http://schemas.openxmlformats.org/officeDocument/2006/relationships/font" Target="fonts/CenturyGothic-italic.ttf"/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9" Type="http://schemas.openxmlformats.org/officeDocument/2006/relationships/font" Target="fonts/Balthazar-regular.ttf"/><Relationship Id="rId5" Type="http://schemas.openxmlformats.org/officeDocument/2006/relationships/font" Target="fonts/ArialNarrow-regular.ttf"/><Relationship Id="rId6" Type="http://schemas.openxmlformats.org/officeDocument/2006/relationships/font" Target="fonts/ArialNarrow-bold.ttf"/><Relationship Id="rId7" Type="http://schemas.openxmlformats.org/officeDocument/2006/relationships/font" Target="fonts/ArialNarrow-italic.ttf"/><Relationship Id="rId8" Type="http://schemas.openxmlformats.org/officeDocument/2006/relationships/font" Target="fonts/ArialNarrow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