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4F72"/>
          <w:sz w:val="40"/>
          <w:szCs w:val="40"/>
        </w:rPr>
        <w:t xml:space="preserve">AffordGrasp: In-Context Affordance Reasoning
for Open-Vocabulary Task-Oriented Grasping in Clutter</w:t>
      </w:r>
    </w:p>
    <w:p>
      <w:pPr>
        <w:spacing w:before="400"/>
        <w:jc w:val="center"/>
      </w:pPr>
      <w:r>
        <w:rPr>
          <w:rFonts w:ascii="Arial" w:cs="Arial" w:eastAsia="Arial" w:hAnsi="Arial"/>
          <w:color w:val="2E75B6"/>
          <w:sz w:val="30"/>
          <w:szCs w:val="30"/>
        </w:rPr>
        <w:t xml:space="preserve">Execution Strategy &amp; Implementation Guide</w:t>
      </w:r>
    </w:p>
    <w:p>
      <w:pPr>
        <w:spacing w:before="600"/>
        <w:jc w:val="center"/>
      </w:pPr>
      <w:r>
        <w:rPr>
          <w:rFonts w:ascii="Arial" w:cs="Arial" w:eastAsia="Arial" w:hAnsi="Arial"/>
          <w:b/>
          <w:bCs/>
          <w:sz w:val="26"/>
          <w:szCs w:val="26"/>
        </w:rPr>
        <w:t xml:space="preserve">Patel Irbaaz</w:t>
      </w:r>
    </w:p>
    <w:p>
      <w:pPr>
        <w:jc w:val="center"/>
      </w:pPr>
      <w:r>
        <w:rPr>
          <w:rFonts w:ascii="Arial" w:cs="Arial" w:eastAsia="Arial" w:hAnsi="Arial"/>
          <w:sz w:val="22"/>
          <w:szCs w:val="22"/>
        </w:rPr>
        <w:t xml:space="preserve">MSc Robotics &amp; Embedded Systems</w:t>
      </w:r>
    </w:p>
    <w:p>
      <w:pPr>
        <w:jc w:val="center"/>
      </w:pPr>
      <w:r>
        <w:rPr>
          <w:rFonts w:ascii="Arial" w:cs="Arial" w:eastAsia="Arial" w:hAnsi="Arial"/>
          <w:sz w:val="22"/>
          <w:szCs w:val="22"/>
        </w:rPr>
        <w:t xml:space="preserve">Heriot-Watt University, Edinburgh</w:t>
      </w:r>
    </w:p>
    <w:p>
      <w:pPr>
        <w:spacing w:before="400"/>
        <w:jc w:val="center"/>
      </w:pPr>
      <w:r>
        <w:rPr>
          <w:rFonts w:ascii="Arial" w:cs="Arial" w:eastAsia="Arial" w:hAnsi="Arial"/>
          <w:color w:val="666666"/>
          <w:sz w:val="22"/>
          <w:szCs w:val="22"/>
        </w:rPr>
        <w:t xml:space="preserve">March 2026</w:t>
      </w:r>
    </w:p>
    <w:p>
      <w:pPr>
        <w:spacing w:before="600"/>
        <w:jc w:val="center"/>
      </w:pPr>
      <w:r>
        <w:rPr>
          <w:rFonts w:ascii="Arial" w:cs="Arial" w:eastAsia="Arial" w:hAnsi="Arial"/>
          <w:i/>
          <w:iCs/>
          <w:color w:val="888888"/>
          <w:sz w:val="20"/>
          <w:szCs w:val="20"/>
        </w:rPr>
        <w:t xml:space="preserve">Reference: Tang et al., IROS 2025 — arXiv:2503.00778</w:t>
      </w:r>
    </w:p>
    <w:p>
      <w:r>
        <w:br w:type="page"/>
      </w:r>
    </w:p>
    <w:p>
      <w:pPr>
        <w:pStyle w:val="Heading1"/>
      </w:pPr>
      <w:r>
        <w:t xml:space="preserve">1. Introduction &amp; Motivation</w:t>
      </w:r>
    </w:p>
    <w:p>
      <w:pPr>
        <w:spacing w:after="120"/>
      </w:pPr>
      <w:r>
        <w:t xml:space="preserve">This document provides a complete execution strategy for reproducing the AffordGrasp framework as a simulation-based study. AffordGrasp addresses the challenge of task-oriented grasping in cluttered environments, where a robot must not only identify the right object but also determine </w:t>
      </w:r>
      <w:r>
        <w:rPr>
          <w:i/>
          <w:iCs/>
        </w:rPr>
        <w:t xml:space="preserve">where</w:t>
      </w:r>
      <w:r>
        <w:t xml:space="preserve"> on that object to grasp based on the intended task. For instance, when a user says </w:t>
      </w:r>
      <w:r>
        <w:rPr>
          <w:i/>
          <w:iCs/>
        </w:rPr>
        <w:t xml:space="preserve">"I want to drink coffee"</w:t>
      </w:r>
      <w:r>
        <w:t xml:space="preserve">, the robot must identify the mug, recognise that the handle is the optimal grasp region (not the rim or body), and generate a precise 6-DoF grasp pose on the handle.</w:t>
      </w:r>
    </w:p>
    <w:p>
      <w:pPr>
        <w:spacing w:after="120"/>
      </w:pPr>
      <w:r>
        <w:t xml:space="preserve">The framework introduces three key innovations: (1) using GPT-4o as a Vision-Language Model for in-context affordance reasoning from implicit instructions, (2) grounding the reasoning into pixel-level affordance masks using LangSAM, and (3) generating task-oriented grasps within the affordance region using AnyGrasp. The entire pipeline is training-free and open-vocabulary, meaning it generalises to novel objects and tasks without additional data collection.</w:t>
      </w:r>
    </w:p>
    <w:p>
      <w:pPr>
        <w:spacing w:after="200"/>
      </w:pPr>
      <w:r>
        <w:t xml:space="preserve">This reproduction targets the simulation experiments (PyBullet with UR5 arm) and provides drop-in alternatives for components requiring commercial licenses (AnyGrasp). The implementation is structured to facilitate understanding of each stage independently while also working as an integrated end-to-end system.</w:t>
      </w:r>
    </w:p>
    <w:p>
      <w:pPr>
        <w:pStyle w:val="Heading1"/>
      </w:pPr>
      <w:r>
        <w:t xml:space="preserve">2. System Architecture</w:t>
      </w:r>
    </w:p>
    <w:p>
      <w:pPr>
        <w:spacing w:after="120"/>
      </w:pPr>
      <w:r>
        <w:t xml:space="preserve">The AffordGrasp pipeline consists of four tightly-coupled stages. Each stage produces outputs that feed into the next, forming a principled cascade from natural language understanding to physical grasp execution.</w:t>
      </w:r>
    </w:p>
    <w:p>
      <w:pPr>
        <w:pStyle w:val="Heading2"/>
      </w:pPr>
      <w:r>
        <w:t xml:space="preserve">2.1 Pipeline Flow</w:t>
      </w:r>
    </w:p>
    <w:p>
      <w:pPr>
        <w:spacing w:after="120"/>
      </w:pPr>
      <w:r>
        <w:t xml:space="preserve">The pipeline proceeds as follows: the user provides a natural language instruction and the robot captures an RGB-D image of the cluttered scene. Stage 1 (In-Context Affordance Reasoning) uses GPT-4o to decompose the instruction into a task goal, identify the target object, and reason about which part of the object provides the optimal affordance for the task. Stage 2 (Visual Affordance Grounding) uses LangSAM to produce pixel-level segmentation masks for both the target object and its graspable part. Stage 3 (Task-Oriented Grasp Generation) converts the affordance mask into a 3D point cloud and samples candidate grasps, ranking them by proximity to the affordance centre. Stage 4 (Execution) selects the highest-scoring grasp and commands the robot arm to execute it.</w:t>
      </w:r>
    </w:p>
    <w:p>
      <w:pPr>
        <w:pStyle w:val="Heading2"/>
      </w:pPr>
      <w:r>
        <w:t xml:space="preserve">2.2 Module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826"/>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Technology</w:t>
            </w:r>
          </w:p>
        </w:tc>
        <w:tc>
          <w:tcPr>
            <w:tcW w:type="dxa" w:w="28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Output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Affordance Reasoning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GPT-4o (VLM)</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Task goal, target object, optimal part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Visual Grounding</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LangSAM / SimSeg</w:t>
            </w:r>
          </w:p>
        </w:tc>
        <w:tc>
          <w:tcPr>
            <w:tcW w:type="dxa" w:w="28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Object mask, affordance mask, 3D centre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Grasp Generation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AnyGrasp / Antipodal</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Ranked 6-DoF grasp poses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4</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Execution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PyBullet IK</w:t>
            </w:r>
          </w:p>
        </w:tc>
        <w:tc>
          <w:tcPr>
            <w:tcW w:type="dxa" w:w="28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Grasp success/failure</w:t>
            </w:r>
          </w:p>
        </w:tc>
      </w:tr>
    </w:tbl>
    <w:p>
      <w:r>
        <w:br w:type="page"/>
      </w:r>
    </w:p>
    <w:p>
      <w:pPr>
        <w:pStyle w:val="Heading1"/>
      </w:pPr>
      <w:r>
        <w:t xml:space="preserve">3. Installation &amp; Setup</w:t>
      </w:r>
    </w:p>
    <w:p>
      <w:pPr>
        <w:pStyle w:val="Heading2"/>
      </w:pPr>
      <w:r>
        <w:t xml:space="preserve">3.1 System Requirements</w:t>
      </w:r>
    </w:p>
    <w:p>
      <w:pPr>
        <w:pStyle w:val="ListParagraph"/>
        <w:numPr>
          <w:ilvl w:val="0"/>
          <w:numId w:val="2"/>
        </w:numPr>
      </w:pPr>
      <w:r>
        <w:t xml:space="preserve">Ubuntu 20.04+ or macOS (tested on Ubuntu 22.04)</w:t>
      </w:r>
    </w:p>
    <w:p>
      <w:pPr>
        <w:pStyle w:val="ListParagraph"/>
        <w:numPr>
          <w:ilvl w:val="0"/>
          <w:numId w:val="2"/>
        </w:numPr>
      </w:pPr>
      <w:r>
        <w:t xml:space="preserve">Python 3.9 or later</w:t>
      </w:r>
    </w:p>
    <w:p>
      <w:pPr>
        <w:pStyle w:val="ListParagraph"/>
        <w:numPr>
          <w:ilvl w:val="0"/>
          <w:numId w:val="2"/>
        </w:numPr>
      </w:pPr>
      <w:r>
        <w:t xml:space="preserve">NVIDIA GPU with CUDA 11.7+ (optional, for LangSAM; CPU mode supported)</w:t>
      </w:r>
    </w:p>
    <w:p>
      <w:pPr>
        <w:pStyle w:val="ListParagraph"/>
        <w:numPr>
          <w:ilvl w:val="0"/>
          <w:numId w:val="2"/>
        </w:numPr>
      </w:pPr>
      <w:r>
        <w:t xml:space="preserve">Minimum 8 GB RAM (16 GB recommended)</w:t>
      </w:r>
    </w:p>
    <w:p>
      <w:pPr>
        <w:pStyle w:val="ListParagraph"/>
        <w:numPr>
          <w:ilvl w:val="0"/>
          <w:numId w:val="2"/>
        </w:numPr>
        <w:spacing w:after="120"/>
      </w:pPr>
      <w:r>
        <w:t xml:space="preserve">OpenAI API key (optional; mock mode available for testing)</w:t>
      </w:r>
    </w:p>
    <w:p>
      <w:pPr>
        <w:pStyle w:val="Heading2"/>
      </w:pPr>
      <w:r>
        <w:t xml:space="preserve">3.2 Step-by-Step Installation</w:t>
      </w:r>
    </w:p>
    <w:p>
      <w:pPr>
        <w:spacing w:after="60"/>
      </w:pPr>
      <w:r>
        <w:rPr>
          <w:b/>
          <w:bCs/>
        </w:rPr>
        <w:t xml:space="preserve">Step 1: Create Virtual Environment</w:t>
      </w:r>
    </w:p>
    <w:p>
      <w:pPr>
        <w:spacing w:after="60"/>
      </w:pPr>
      <w:r>
        <w:rPr>
          <w:rFonts w:ascii="Courier New" w:cs="Courier New" w:eastAsia="Courier New" w:hAnsi="Courier New"/>
          <w:sz w:val="20"/>
          <w:szCs w:val="20"/>
        </w:rPr>
        <w:t xml:space="preserve">python -m venv affordgrasp_env &amp;&amp; source affordgrasp_env/bin/activate</w:t>
      </w:r>
    </w:p>
    <w:p>
      <w:pPr>
        <w:spacing w:after="60"/>
      </w:pPr>
      <w:r>
        <w:rPr>
          <w:b/>
          <w:bCs/>
        </w:rPr>
        <w:t xml:space="preserve">Step 2: Install Core Dependencies</w:t>
      </w:r>
    </w:p>
    <w:p>
      <w:pPr>
        <w:spacing w:after="60"/>
      </w:pPr>
      <w:r>
        <w:rPr>
          <w:rFonts w:ascii="Courier New" w:cs="Courier New" w:eastAsia="Courier New" w:hAnsi="Courier New"/>
          <w:sz w:val="18"/>
          <w:szCs w:val="18"/>
        </w:rPr>
        <w:t xml:space="preserve">pip install pybullet numpy scipy opencv-python matplotlib Pillow open3d openai torch torchvision transforms3d trimesh pyyaml tqdm</w:t>
      </w:r>
    </w:p>
    <w:p>
      <w:pPr>
        <w:spacing w:after="60"/>
      </w:pPr>
      <w:r>
        <w:rPr>
          <w:b/>
          <w:bCs/>
        </w:rPr>
        <w:t xml:space="preserve">Step 3: Install LangSAM (Optional)</w:t>
      </w:r>
    </w:p>
    <w:p>
      <w:pPr>
        <w:spacing w:after="60"/>
      </w:pPr>
      <w:r>
        <w:rPr>
          <w:rFonts w:ascii="Courier New" w:cs="Courier New" w:eastAsia="Courier New" w:hAnsi="Courier New"/>
          <w:sz w:val="20"/>
          <w:szCs w:val="20"/>
        </w:rPr>
        <w:t xml:space="preserve">pip install lang-sam</w:t>
      </w:r>
    </w:p>
    <w:p>
      <w:pPr>
        <w:spacing w:after="120"/>
      </w:pPr>
      <w:r>
        <w:rPr>
          <w:b/>
          <w:bCs/>
        </w:rPr>
        <w:t xml:space="preserve">Step 4: Set API Key (Optional)</w:t>
      </w:r>
    </w:p>
    <w:p>
      <w:pPr>
        <w:spacing w:after="200"/>
      </w:pPr>
      <w:r>
        <w:rPr>
          <w:rFonts w:ascii="Courier New" w:cs="Courier New" w:eastAsia="Courier New" w:hAnsi="Courier New"/>
          <w:sz w:val="20"/>
          <w:szCs w:val="20"/>
        </w:rPr>
        <w:t xml:space="preserve">export OPENAI_API_KEY="sk-your-key-here"</w:t>
      </w:r>
    </w:p>
    <w:p>
      <w:pPr>
        <w:pStyle w:val="Heading1"/>
      </w:pPr>
      <w:r>
        <w:t xml:space="preserve">4. Detailed Module Walkthrough</w:t>
      </w:r>
    </w:p>
    <w:p>
      <w:pPr>
        <w:pStyle w:val="Heading2"/>
      </w:pPr>
      <w:r>
        <w:t xml:space="preserve">4.1 Simulation Environment (sim_env.py)</w:t>
      </w:r>
    </w:p>
    <w:p>
      <w:pPr>
        <w:spacing w:after="120"/>
      </w:pPr>
      <w:r>
        <w:t xml:space="preserve">The simulation environment uses PyBullet to create a tabletop scene with a UR5 robot arm. Objects are spawned as geometric primitives with randomised positions, reproducing the cluttered scenarios from the paper. The camera system captures RGB images, metric depth maps, and segmentation masks from an eye-to-hand configuration, simulating the Intel RealSense L515 used in the real-world experiments.</w:t>
      </w:r>
    </w:p>
    <w:p>
      <w:pPr>
        <w:spacing w:after="120"/>
      </w:pPr>
      <w:r>
        <w:rPr>
          <w:b/>
          <w:bCs/>
        </w:rPr>
        <w:t xml:space="preserve">Key parameters: </w:t>
      </w:r>
      <w:r>
        <w:t xml:space="preserve">Camera FOV 60°, resolution 640×480, 5–7 distractor objects, workspace bounds constrained to the table surface. Objects are spawned with collision-free placement using a minimum inter-object distance of 8cm.</w:t>
      </w:r>
    </w:p>
    <w:p>
      <w:pPr>
        <w:spacing w:after="120"/>
      </w:pPr>
      <w:r>
        <w:rPr>
          <w:b/>
          <w:bCs/>
        </w:rPr>
        <w:t xml:space="preserve">Depth-to-point-cloud conversion: </w:t>
      </w:r>
      <w:r>
        <w:t xml:space="preserve">The depth image is back-projected using the camera intrinsics (focal length and principal point) to produce a 3D point cloud in the camera frame, then transformed to the world frame using the camera extrinsics. This point cloud is essential for Stage 3 (grasp generation).</w:t>
      </w:r>
    </w:p>
    <w:p>
      <w:pPr>
        <w:pStyle w:val="Heading2"/>
      </w:pPr>
      <w:r>
        <w:t xml:space="preserve">4.2 In-Context Affordance Reasoning (affordance_reasoning.py)</w:t>
      </w:r>
    </w:p>
    <w:p>
      <w:pPr>
        <w:spacing w:after="120"/>
      </w:pPr>
      <w:r>
        <w:t xml:space="preserve">This is the intellectual core of AffordGrasp. The module sends structured prompts to GPT-4o in three sequential steps, each building on the previous output. The prompts are carefully designed to elicit JSON-formatted responses that can be programmatically parsed.</w:t>
      </w:r>
    </w:p>
    <w:p>
      <w:pPr>
        <w:spacing w:after="60"/>
      </w:pPr>
      <w:r>
        <w:rPr>
          <w:b/>
          <w:bCs/>
        </w:rPr>
        <w:t xml:space="preserve">Step 1 — Task Analysis: </w:t>
      </w:r>
      <w:r>
        <w:t xml:space="preserve">Takes the raw user instruction (e.g., "I want to scoop something") and extracts the implicit task goal ("use a concave tool to gather material"), functional requirements ("concave surface, long handle"), and the type of object needed ("spoon or ladle"). This step operates on text only — no image is needed.</w:t>
      </w:r>
    </w:p>
    <w:p>
      <w:pPr>
        <w:spacing w:after="60"/>
      </w:pPr>
      <w:r>
        <w:rPr>
          <w:b/>
          <w:bCs/>
        </w:rPr>
        <w:t xml:space="preserve">Step 2 — Object Identification: </w:t>
      </w:r>
      <w:r>
        <w:t xml:space="preserve">Takes the task analysis output plus the RGB scene image and identifies which specific object in the cluttered scene best matches the task requirements. The VLM sees the image and uses its visual understanding to pick the most suitable object, returning its name, a description of why it was chosen, and a confidence score.</w:t>
      </w:r>
    </w:p>
    <w:p>
      <w:pPr>
        <w:spacing w:after="200"/>
      </w:pPr>
      <w:r>
        <w:rPr>
          <w:b/>
          <w:bCs/>
        </w:rPr>
        <w:t xml:space="preserve">Step 3 — Part &amp; Affordance Reasoning: </w:t>
      </w:r>
      <w:r>
        <w:t xml:space="preserve">Decomposes the identified object into its functional parts (e.g., a spoon has a "bowl" and a "handle"), analyses each part’s affordance for the given task, and selects the optimal graspable part. For a scooping task, the handle is optimal because it allows secure grip while the bowl faces downward for scooping. This step also suggests an approach direction (top, side, or angled).</w:t>
      </w:r>
    </w:p>
    <w:p>
      <w:pPr>
        <w:pStyle w:val="Heading2"/>
      </w:pPr>
      <w:r>
        <w:t xml:space="preserve">4.3 Visual Affordance Grounding (visual_grounding.py)</w:t>
      </w:r>
    </w:p>
    <w:p>
      <w:pPr>
        <w:spacing w:after="120"/>
      </w:pPr>
      <w:r>
        <w:t xml:space="preserve">The visual grounding module translates the VLM’s semantic understanding into precise pixel-level masks. In the full implementation, LangSAM first uses GroundingDINO to produce a bounding box around the target object given its text name, then feeds this box to SAM (Segment Anything Model) to produce a high-quality segmentation mask. A second pass localises the specific part (e.g., "handle of wooden spoon") and intersects it with the object mask to produce the final affordance mask.</w:t>
      </w:r>
    </w:p>
    <w:p>
      <w:pPr>
        <w:spacing w:after="120"/>
      </w:pPr>
      <w:r>
        <w:t xml:space="preserve">In simulation mode, the module uses PyBullet’s built-in segmentation mask (which provides perfect object-level segmentation) and applies a heuristic to estimate the part region. For elongated objects like spoons and hammers, the handle is estimated as one half of the object’s extent along its principal axis. The affordance centre is computed as the centroid of the affordance mask, then projected into 3D using the depth image and camera intrinsics.</w:t>
      </w:r>
    </w:p>
    <w:p>
      <w:pPr>
        <w:pStyle w:val="Heading2"/>
      </w:pPr>
      <w:r>
        <w:t xml:space="preserve">4.4 Task-Oriented Grasp Generation (grasp_generation.py)</w:t>
      </w:r>
    </w:p>
    <w:p>
      <w:pPr>
        <w:spacing w:after="120"/>
      </w:pPr>
      <w:r>
        <w:t xml:space="preserve">The grasp generator produces 6-DoF grasp poses that are both physically stable and aligned with the affordance region. The paper uses AnyGrasp, which requires a commercial license from GraspNet. This reproduction provides an antipodal grasp sampling alternative that follows the same conceptual framework.</w:t>
      </w:r>
    </w:p>
    <w:p>
      <w:pPr>
        <w:spacing w:after="120"/>
      </w:pPr>
      <w:r>
        <w:rPr>
          <w:b/>
          <w:bCs/>
        </w:rPr>
        <w:t xml:space="preserve">Sampling: </w:t>
      </w:r>
      <w:r>
        <w:t xml:space="preserve">For each candidate, a contact point is sampled on the affordance point cloud. The surface normal at that point determines the approach direction, which is perturbed by small angles to generate diverse candidates. The grasp frame is constructed with the z-axis along the approach direction and x-axis along the closing direction.</w:t>
      </w:r>
    </w:p>
    <w:p>
      <w:pPr>
        <w:spacing w:after="120"/>
      </w:pPr>
      <w:r>
        <w:rPr>
          <w:b/>
          <w:bCs/>
        </w:rPr>
        <w:t xml:space="preserve">Affordance-Guided Ranking: </w:t>
      </w:r>
      <w:r>
        <w:t xml:space="preserve">Each grasp receives a combined score: </w:t>
      </w:r>
      <w:r>
        <w:rPr>
          <w:i/>
          <w:iCs/>
        </w:rPr>
        <w:t xml:space="preserve">S = w_aff × exp(-d²/2σ²) + w_qual × Q</w:t>
      </w:r>
      <w:r>
        <w:t xml:space="preserve">, where d is the distance from the grasp centre to the affordance centre, and Q is the force-closure quality. The affordance weight (default 0.7) ensures grasps near the intended part are strongly preferred.</w:t>
      </w:r>
    </w:p>
    <w:p>
      <w:r>
        <w:br w:type="page"/>
      </w:r>
    </w:p>
    <w:p>
      <w:pPr>
        <w:pStyle w:val="Heading1"/>
      </w:pPr>
      <w:r>
        <w:t xml:space="preserve">5. Execution Guide</w:t>
      </w:r>
    </w:p>
    <w:p>
      <w:pPr>
        <w:pStyle w:val="Heading2"/>
      </w:pPr>
      <w:r>
        <w:t xml:space="preserve">5.1 Running a Single Trial</w:t>
      </w:r>
    </w:p>
    <w:p>
      <w:pPr>
        <w:spacing w:after="60"/>
      </w:pPr>
      <w:r>
        <w:rPr>
          <w:rFonts w:ascii="Courier New" w:cs="Courier New" w:eastAsia="Courier New" w:hAnsi="Courier New"/>
          <w:sz w:val="19"/>
          <w:szCs w:val="19"/>
        </w:rPr>
        <w:t xml:space="preserve">python pipeline.py --instruction "I want to drink some coffee." --target mug --distractors 5</w:t>
      </w:r>
    </w:p>
    <w:p>
      <w:pPr>
        <w:spacing w:after="120"/>
      </w:pPr>
      <w:r>
        <w:t xml:space="preserve">This command spawns a cluttered scene with a mug and 5 distractor objects, runs the full reasoning-grounding-grasping pipeline, and attempts to execute the grasp. Results are saved to the results/ directory including RGB images, depth maps, affordance visualisations, grasp pose visualisations, and a JSON log of all pipeline outputs.</w:t>
      </w:r>
    </w:p>
    <w:p>
      <w:pPr>
        <w:pStyle w:val="Heading2"/>
      </w:pPr>
      <w:r>
        <w:t xml:space="preserve">5.2 Running the Full Benchmark</w:t>
      </w:r>
    </w:p>
    <w:p>
      <w:pPr>
        <w:spacing w:after="60"/>
      </w:pPr>
      <w:r>
        <w:rPr>
          <w:rFonts w:ascii="Courier New" w:cs="Courier New" w:eastAsia="Courier New" w:hAnsi="Courier New"/>
          <w:sz w:val="20"/>
          <w:szCs w:val="20"/>
        </w:rPr>
        <w:t xml:space="preserve">python pipeline.py --benchmark --no-gui</w:t>
      </w:r>
    </w:p>
    <w:p>
      <w:pPr>
        <w:spacing w:after="200"/>
      </w:pPr>
      <w:r>
        <w:t xml:space="preserve">Runs all 7 evaluation scenarios from the paper (cup, spoon, hammer, bowl, screwdriver, scissors, wine glass) with 5 trials each, computing Grasp Success Rate (GSR) per category and overall. Uses headless mode for faster execution.</w:t>
      </w:r>
    </w:p>
    <w:p>
      <w:pPr>
        <w:pStyle w:val="Heading2"/>
      </w:pPr>
      <w:r>
        <w:t xml:space="preserve">5.3 Expected Output Structure</w:t>
      </w:r>
    </w:p>
    <w:p>
      <w:pPr>
        <w:spacing w:after="60"/>
      </w:pPr>
      <w:r>
        <w:rPr>
          <w:rFonts w:ascii="Courier New" w:cs="Courier New" w:eastAsia="Courier New" w:hAnsi="Courier New"/>
          <w:sz w:val="20"/>
          <w:szCs w:val="20"/>
        </w:rPr>
        <w:t xml:space="preserve">results/trial_20260301_143022_mug/</w:t>
      </w:r>
    </w:p>
    <w:p>
      <w:pPr>
        <w:pStyle w:val="ListParagraph"/>
        <w:numPr>
          <w:ilvl w:val="0"/>
          <w:numId w:val="2"/>
        </w:numPr>
      </w:pPr>
      <w:r>
        <w:rPr>
          <w:rFonts w:ascii="Courier New" w:cs="Courier New" w:eastAsia="Courier New" w:hAnsi="Courier New"/>
          <w:sz w:val="20"/>
          <w:szCs w:val="20"/>
        </w:rPr>
        <w:t xml:space="preserve">scene_rgb.png</w:t>
      </w:r>
      <w:r>
        <w:t xml:space="preserve"> — Captured RGB image of the cluttered scene</w:t>
      </w:r>
    </w:p>
    <w:p>
      <w:pPr>
        <w:pStyle w:val="ListParagraph"/>
        <w:numPr>
          <w:ilvl w:val="0"/>
          <w:numId w:val="2"/>
        </w:numPr>
      </w:pPr>
      <w:r>
        <w:rPr>
          <w:rFonts w:ascii="Courier New" w:cs="Courier New" w:eastAsia="Courier New" w:hAnsi="Courier New"/>
          <w:sz w:val="20"/>
          <w:szCs w:val="20"/>
        </w:rPr>
        <w:t xml:space="preserve">scene_depth.png</w:t>
      </w:r>
      <w:r>
        <w:t xml:space="preserve"> — 16-bit depth map in millimetres</w:t>
      </w:r>
    </w:p>
    <w:p>
      <w:pPr>
        <w:pStyle w:val="ListParagraph"/>
        <w:numPr>
          <w:ilvl w:val="0"/>
          <w:numId w:val="2"/>
        </w:numPr>
      </w:pPr>
      <w:r>
        <w:rPr>
          <w:rFonts w:ascii="Courier New" w:cs="Courier New" w:eastAsia="Courier New" w:hAnsi="Courier New"/>
          <w:sz w:val="20"/>
          <w:szCs w:val="20"/>
        </w:rPr>
        <w:t xml:space="preserve">reasoning_result.json</w:t>
      </w:r>
      <w:r>
        <w:t xml:space="preserve"> — VLM reasoning output (task, object, part)</w:t>
      </w:r>
    </w:p>
    <w:p>
      <w:pPr>
        <w:pStyle w:val="ListParagraph"/>
        <w:numPr>
          <w:ilvl w:val="0"/>
          <w:numId w:val="2"/>
        </w:numPr>
      </w:pPr>
      <w:r>
        <w:rPr>
          <w:rFonts w:ascii="Courier New" w:cs="Courier New" w:eastAsia="Courier New" w:hAnsi="Courier New"/>
          <w:sz w:val="20"/>
          <w:szCs w:val="20"/>
        </w:rPr>
        <w:t xml:space="preserve">grounding_visualisation.png</w:t>
      </w:r>
      <w:r>
        <w:t xml:space="preserve"> — Affordance mask overlay on RGB</w:t>
      </w:r>
    </w:p>
    <w:p>
      <w:pPr>
        <w:pStyle w:val="ListParagraph"/>
        <w:numPr>
          <w:ilvl w:val="0"/>
          <w:numId w:val="2"/>
        </w:numPr>
      </w:pPr>
      <w:r>
        <w:rPr>
          <w:rFonts w:ascii="Courier New" w:cs="Courier New" w:eastAsia="Courier New" w:hAnsi="Courier New"/>
          <w:sz w:val="20"/>
          <w:szCs w:val="20"/>
        </w:rPr>
        <w:t xml:space="preserve">grasp_visualisation.png</w:t>
      </w:r>
      <w:r>
        <w:t xml:space="preserve"> — 3D visualisation of top-K grasp poses</w:t>
      </w:r>
    </w:p>
    <w:p>
      <w:pPr>
        <w:pStyle w:val="ListParagraph"/>
        <w:numPr>
          <w:ilvl w:val="0"/>
          <w:numId w:val="2"/>
        </w:numPr>
        <w:spacing w:after="200"/>
      </w:pPr>
      <w:r>
        <w:rPr>
          <w:rFonts w:ascii="Courier New" w:cs="Courier New" w:eastAsia="Courier New" w:hAnsi="Courier New"/>
          <w:sz w:val="20"/>
          <w:szCs w:val="20"/>
        </w:rPr>
        <w:t xml:space="preserve">pipeline_results.json</w:t>
      </w:r>
      <w:r>
        <w:t xml:space="preserve"> — Complete pipeline log with all metrics</w:t>
      </w:r>
    </w:p>
    <w:p>
      <w:pPr>
        <w:pStyle w:val="Heading1"/>
      </w:pPr>
      <w:r>
        <w:t xml:space="preserve">6. Evaluation Protocol &amp; Expected Results</w:t>
      </w:r>
    </w:p>
    <w:p>
      <w:pPr>
        <w:spacing w:after="120"/>
      </w:pPr>
      <w:r>
        <w:t xml:space="preserve">The paper evaluates AffordGrasp using two primary metrics: Grasp Success Rate (GSR), defined as the fraction of trials where the object is successfully lifted at least 5cm above the table, and Task Success Rate (TSR), which additionally requires the grasp to be on the correct affordance region. The simulation benchmark uses 7 object categories with implicit user instructions in cluttered scenes containing 5–7 distractor objects.</w:t>
      </w:r>
    </w:p>
    <w:p>
      <w:pPr>
        <w:pStyle w:val="Heading2"/>
      </w:pPr>
      <w:r>
        <w:t xml:space="preserve">6.1 Paper’s Reported Results (Table II)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900"/>
        <w:gridCol w:w="900"/>
        <w:gridCol w:w="1100"/>
        <w:gridCol w:w="900"/>
        <w:gridCol w:w="900"/>
        <w:gridCol w:w="726"/>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Method</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Cup</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Spoon</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18"/>
                <w:szCs w:val="18"/>
              </w:rPr>
              <w:t xml:space="preserve">Hammer</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Bowl</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Screwdr.</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Scissors</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Wine</w:t>
            </w:r>
          </w:p>
        </w:tc>
        <w:tc>
          <w:tcPr>
            <w:tcW w:type="dxa" w:w="7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Avg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ThinkGrasp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0.70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0.88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0.76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0.96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0.16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0.30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0.00</w:t>
            </w:r>
          </w:p>
        </w:tc>
        <w:tc>
          <w:tcPr>
            <w:tcW w:type="dxa" w:w="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0.54</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000000"/>
                <w:sz w:val="22"/>
                <w:szCs w:val="22"/>
              </w:rPr>
              <w:t xml:space="preserve">AffordGrasp</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0.84</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0.92</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0.90</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0.94</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0.76</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0.50</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0.52</w:t>
            </w:r>
          </w:p>
        </w:tc>
        <w:tc>
          <w:tcPr>
            <w:tcW w:type="dxa" w:w="7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000000"/>
                <w:sz w:val="22"/>
                <w:szCs w:val="22"/>
              </w:rPr>
              <w:t xml:space="preserve">0.77</w:t>
            </w:r>
          </w:p>
        </w:tc>
      </w:tr>
    </w:tbl>
    <w:p>
      <w:r>
        <w:br w:type="page"/>
      </w:r>
    </w:p>
    <w:p>
      <w:pPr>
        <w:pStyle w:val="Heading1"/>
      </w:pPr>
      <w:r>
        <w:t xml:space="preserve">7. Extensions for Dissertation Work</w:t>
      </w:r>
    </w:p>
    <w:p>
      <w:pPr>
        <w:spacing w:after="120"/>
      </w:pPr>
      <w:r>
        <w:t xml:space="preserve">This reproduction serves as a foundation that can be extended for the MSc dissertation on vision-based intention-aware task-oriented grasping using the Toyota Human Support Robot (HSR). The following extensions are recommended.</w:t>
      </w:r>
    </w:p>
    <w:p>
      <w:pPr>
        <w:spacing w:after="60"/>
      </w:pPr>
      <w:r>
        <w:rPr>
          <w:b/>
          <w:bCs/>
        </w:rPr>
        <w:t xml:space="preserve">Toyota HSR Integration: </w:t>
      </w:r>
      <w:r>
        <w:t xml:space="preserve">Replace the UR5 URDF with the HSR URDF in the simulation environment, adjusting the end-effector index, joint limits, and gripper parameters. The HSR’s different kinematic structure will require updating the IK solver configuration and pre-grasp approach strategies.</w:t>
      </w:r>
    </w:p>
    <w:p>
      <w:pPr>
        <w:spacing w:after="60"/>
      </w:pPr>
      <w:r>
        <w:rPr>
          <w:b/>
          <w:bCs/>
        </w:rPr>
        <w:t xml:space="preserve">Intention-Aware Reasoning: </w:t>
      </w:r>
      <w:r>
        <w:t xml:space="preserve">Extend the VLM prompts to incorporate user intention modelling, where the system not only infers the immediate task but also anticipates the user’s broader goal and context. This could involve multi-turn conversation history or contextual cues from the environment.</w:t>
      </w:r>
    </w:p>
    <w:p>
      <w:pPr>
        <w:spacing w:after="60"/>
      </w:pPr>
      <w:r>
        <w:rPr>
          <w:b/>
          <w:bCs/>
        </w:rPr>
        <w:t xml:space="preserve">ROS Integration: </w:t>
      </w:r>
      <w:r>
        <w:t xml:space="preserve">Wrap the pipeline in ROS nodes for deployment on the physical HSR. The simulation environment can be replaced with ROS topic subscribers for the robot’s camera feeds and action clients for the manipulation controller.</w:t>
      </w:r>
    </w:p>
    <w:p>
      <w:pPr>
        <w:spacing w:after="60"/>
      </w:pPr>
      <w:r>
        <w:rPr>
          <w:b/>
          <w:bCs/>
        </w:rPr>
        <w:t xml:space="preserve">AnyGrasp Integration: </w:t>
      </w:r>
      <w:r>
        <w:t xml:space="preserve">If the AnyGrasp license is obtained from graspnet.net, replace the antipodal sampling module with the AnyGrasp SDK for higher-quality grasp proposals. The affordance-guided filtering and ranking logic remains unchanged.</w:t>
      </w:r>
    </w:p>
    <w:p>
      <w:pPr>
        <w:spacing w:after="200"/>
      </w:pPr>
      <w:r>
        <w:rPr>
          <w:b/>
          <w:bCs/>
        </w:rPr>
        <w:t xml:space="preserve">Ablation Studies: </w:t>
      </w:r>
      <w:r>
        <w:t xml:space="preserve">Conduct ablations to understand the contribution of each component: (a) without affordance reasoning (random grasps), (b) without visual grounding (full-object grasps), (c) without affordance-guided ranking (quality-only scoring). These ablations are straightforward to implement by toggling flags in the pipeline configuration.</w:t>
      </w:r>
    </w:p>
    <w:p>
      <w:pPr>
        <w:pStyle w:val="Heading1"/>
      </w:pPr>
      <w:r>
        <w:t xml:space="preserve">8. File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w:t>
            </w:r>
          </w:p>
        </w:tc>
        <w:tc>
          <w:tcPr>
            <w:tcW w:type="dxa" w:w="58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pipeline.py</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Main entry point; end-to-end pipeline with CLI and Python API</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modules/config.py</w:t>
            </w:r>
          </w:p>
        </w:tc>
        <w:tc>
          <w:tcPr>
            <w:tcW w:type="dxa" w:w="58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All configuration dataclasses for simulation, VLM, grounding, and grasping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modules/sim_env.py</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PyBullet simulation with UR5, camera, clutter generation, and grasp execution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modules/affordance_reasoning.py</w:t>
            </w:r>
          </w:p>
        </w:tc>
        <w:tc>
          <w:tcPr>
            <w:tcW w:type="dxa" w:w="58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Three-step VLM reasoning with GPT-4o; includes mock mode for testing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modules/visual_grounding.py</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LangSAM-based visual grounding with simulation and heuristic fallbacks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modules/grasp_generation.py</w:t>
            </w:r>
          </w:p>
        </w:tc>
        <w:tc>
          <w:tcPr>
            <w:tcW w:type="dxa" w:w="58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Antipodal grasp sampling with affordance-guided scoring and ranking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requirements.txt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Python package dependencies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README.md</w:t>
            </w:r>
          </w:p>
        </w:tc>
        <w:tc>
          <w:tcPr>
            <w:tcW w:type="dxa" w:w="58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Project overview, usage instructions, and architecture documentation</w:t>
            </w:r>
          </w:p>
        </w:tc>
      </w:tr>
    </w:tbl>
    <w:p>
      <w:pPr>
        <w:spacing w:before="400"/>
      </w:pPr>
      <w:r>
        <w:rPr>
          <w:i/>
          <w:iCs/>
          <w:color w:val="888888"/>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AffordGrasp Reproduction — Execution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2026-03-01T06:06:55.123Z</dcterms:created>
  <dcterms:modified xsi:type="dcterms:W3CDTF">2026-03-01T06:06:55.124Z</dcterms:modified>
</cp:coreProperties>
</file>

<file path=docProps/custom.xml><?xml version="1.0" encoding="utf-8"?>
<Properties xmlns="http://schemas.openxmlformats.org/officeDocument/2006/custom-properties" xmlns:vt="http://schemas.openxmlformats.org/officeDocument/2006/docPropsVTypes"/>
</file>