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ascii="Calibri" w:hAnsi="Calibri"/>
          <w:b/>
          <w:color w:val="1F4E79"/>
          <w:sz w:val="48"/>
        </w:rPr>
        <w:t>Aasaan Khata (</w:t>
      </w:r>
      <w:r>
        <w:rPr>
          <w:rFonts w:ascii="Calibri" w:hAnsi="Calibri"/>
          <w:b/>
          <w:b/>
          <w:color w:val="1F4E79"/>
          <w:sz w:val="48"/>
          <w:sz w:val="48"/>
          <w:rtl w:val="true"/>
        </w:rPr>
        <w:t>آسان کھاتہ</w:t>
      </w:r>
      <w:r>
        <w:rPr>
          <w:rFonts w:ascii="Calibri" w:hAnsi="Calibri"/>
          <w:b/>
          <w:color w:val="1F4E79"/>
          <w:sz w:val="48"/>
        </w:rPr>
        <w:t>)</w:t>
      </w:r>
    </w:p>
    <w:p>
      <w:pPr>
        <w:pStyle w:val="Normal"/>
        <w:spacing w:before="0" w:after="40"/>
        <w:rPr/>
      </w:pPr>
      <w:r>
        <w:rPr>
          <w:b/>
          <w:color w:val="595959"/>
          <w:sz w:val="28"/>
        </w:rPr>
        <w:t>Final Year Project (FYP) Mid-Evaluation Technical Defense Report</w:t>
      </w:r>
    </w:p>
    <w:p>
      <w:pPr>
        <w:pStyle w:val="Normal"/>
        <w:spacing w:before="0" w:after="320"/>
        <w:rPr/>
      </w:pPr>
      <w:r>
        <w:rPr>
          <w:i/>
          <w:color w:val="7F7F7F"/>
          <w:sz w:val="21"/>
        </w:rPr>
        <w:t>Focus: Accuracy Benchmarks, Field &amp; Character Confusion Matrices, and Milestone Progress</w:t>
      </w:r>
    </w:p>
    <w:p>
      <w:pPr>
        <w:pStyle w:val="Normal"/>
        <w:pBdr>
          <w:bottom w:val="single" w:sz="12" w:space="1" w:color="1F4E79"/>
        </w:pBdr>
        <w:spacing w:before="0" w:after="240"/>
        <w:rPr/>
      </w:pPr>
      <w:r>
        <w:rPr/>
      </w:r>
    </w:p>
    <w:p>
      <w:pPr>
        <w:pStyle w:val="Heading1"/>
        <w:spacing w:before="280" w:after="120"/>
        <w:rPr/>
      </w:pPr>
      <w:r>
        <w:rPr>
          <w:b/>
          <w:color w:val="1F4E79"/>
          <w:sz w:val="32"/>
        </w:rPr>
        <w:t>1. Executive Summary &amp; Architecture</w:t>
      </w:r>
    </w:p>
    <w:p>
      <w:pPr>
        <w:pStyle w:val="Normal"/>
        <w:spacing w:before="0" w:after="160"/>
        <w:rPr/>
      </w:pPr>
      <w:r>
        <w:rPr/>
        <w:t>Aasaan Khata is an intelligent document digitization system engineered to transcribe physical, handwritten Urdu Nastaliq ledgers (Roznamcha / Khata) into structured financial databases. Unlike commercial OCR solutions (Tesseract, Google Cloud Vision, EasyOCR) that fail catastrophically on cursive Nastaliq diagonal stacking, our system utilizes a local multimodal Vision-Language Model (VLM).</w:t>
      </w:r>
    </w:p>
    <w:p>
      <w:pPr>
        <w:pStyle w:val="Normal"/>
        <w:spacing w:before="0" w:after="240"/>
        <w:rPr/>
      </w:pPr>
      <w:r>
        <w:rPr>
          <w:b/>
        </w:rPr>
        <w:t xml:space="preserve">Core Engineering Setup: </w:t>
      </w:r>
      <w:r>
        <w:rPr/>
        <w:t>Deploys Qwen2.5-VL-7B locally on an NVIDIA GeForce RTX 3080 (10 GB VRAM) using BitsAndBytes 4-bit NF4 double quantization (~5.5 GB VRAM footprint) with a custom Parameter-Efficient Fine-Tuning (QLoRA) adapter trained on local handwritten ledger word datasets. A two-level dynamic schema contract allows the engine to adaptively discover variable column headers, segment mid-page multi-date shifts, and record verbatim ditto marks (//) with zero entity hallucination.</w:t>
      </w:r>
    </w:p>
    <w:p>
      <w:pPr>
        <w:pStyle w:val="Heading1"/>
        <w:spacing w:before="280" w:after="120"/>
        <w:rPr/>
      </w:pPr>
      <w:r>
        <w:rPr>
          <w:b/>
          <w:color w:val="1F4E79"/>
          <w:sz w:val="32"/>
        </w:rPr>
        <w:t>2. Milestone Verification: Proposal vs. Delivered Status</w:t>
      </w:r>
    </w:p>
    <w:p>
      <w:pPr>
        <w:pStyle w:val="Normal"/>
        <w:spacing w:before="0" w:after="160"/>
        <w:rPr/>
      </w:pPr>
      <w:r>
        <w:rPr/>
        <w:t>A rigorous audit against our original Proposal defense milestones confirms that our project has exceeded all Mid-1 requirements and successfully pulled forward core deliverables originally slated for Final-1 and Mid-2.</w:t>
      </w:r>
    </w:p>
    <w:tbl>
      <w:tblPr>
        <w:tblW w:w="9360" w:type="dxa"/>
        <w:jc w:val="center"/>
        <w:tblInd w:w="0" w:type="dxa"/>
        <w:tblLayout w:type="fixed"/>
        <w:tblCellMar>
          <w:top w:w="140" w:type="dxa"/>
          <w:left w:w="160" w:type="dxa"/>
          <w:bottom w:w="140" w:type="dxa"/>
          <w:right w:w="160" w:type="dxa"/>
        </w:tblCellMar>
        <w:tblLook w:val="04a0" w:noHBand="0" w:noVBand="1" w:firstColumn="1" w:lastRow="0" w:lastColumn="0" w:firstRow="1"/>
      </w:tblPr>
      <w:tblGrid>
        <w:gridCol w:w="2340"/>
        <w:gridCol w:w="2340"/>
        <w:gridCol w:w="2340"/>
        <w:gridCol w:w="2339"/>
      </w:tblGrid>
      <w:tr>
        <w:trPr/>
        <w:tc>
          <w:tcPr>
            <w:tcW w:w="2340" w:type="dxa"/>
            <w:tcBorders/>
            <w:shd w:fill="1F4E79"/>
          </w:tcPr>
          <w:p>
            <w:pPr>
              <w:pStyle w:val="Normal"/>
              <w:spacing w:before="0" w:after="200"/>
              <w:jc w:val="center"/>
              <w:rPr/>
            </w:pPr>
            <w:r>
              <w:rPr>
                <w:b/>
                <w:color w:val="FFFFFF"/>
                <w:sz w:val="20"/>
              </w:rPr>
              <w:t>Milestone</w:t>
            </w:r>
          </w:p>
        </w:tc>
        <w:tc>
          <w:tcPr>
            <w:tcW w:w="2340" w:type="dxa"/>
            <w:tcBorders/>
            <w:shd w:fill="1F4E79"/>
          </w:tcPr>
          <w:p>
            <w:pPr>
              <w:pStyle w:val="Normal"/>
              <w:spacing w:before="0" w:after="200"/>
              <w:jc w:val="center"/>
              <w:rPr/>
            </w:pPr>
            <w:r>
              <w:rPr>
                <w:b/>
                <w:color w:val="FFFFFF"/>
                <w:sz w:val="20"/>
              </w:rPr>
              <w:t>Original Proposal Claim</w:t>
            </w:r>
          </w:p>
        </w:tc>
        <w:tc>
          <w:tcPr>
            <w:tcW w:w="2340" w:type="dxa"/>
            <w:tcBorders/>
            <w:shd w:fill="1F4E79"/>
          </w:tcPr>
          <w:p>
            <w:pPr>
              <w:pStyle w:val="Normal"/>
              <w:spacing w:before="0" w:after="200"/>
              <w:jc w:val="center"/>
              <w:rPr/>
            </w:pPr>
            <w:r>
              <w:rPr>
                <w:b/>
                <w:color w:val="FFFFFF"/>
                <w:sz w:val="20"/>
              </w:rPr>
              <w:t>Actual Status Delivered</w:t>
            </w:r>
          </w:p>
        </w:tc>
        <w:tc>
          <w:tcPr>
            <w:tcW w:w="2339" w:type="dxa"/>
            <w:tcBorders/>
            <w:shd w:fill="1F4E79"/>
          </w:tcPr>
          <w:p>
            <w:pPr>
              <w:pStyle w:val="Normal"/>
              <w:spacing w:before="0" w:after="200"/>
              <w:jc w:val="center"/>
              <w:rPr/>
            </w:pPr>
            <w:r>
              <w:rPr>
                <w:b/>
                <w:color w:val="FFFFFF"/>
                <w:sz w:val="20"/>
              </w:rPr>
              <w:t>Evaluation Verdict</w:t>
            </w:r>
          </w:p>
        </w:tc>
      </w:tr>
      <w:tr>
        <w:trPr/>
        <w:tc>
          <w:tcPr>
            <w:tcW w:w="2340" w:type="dxa"/>
            <w:tcBorders/>
            <w:shd w:fill="FFFFFF"/>
            <w:tcMar>
              <w:top w:w="100" w:type="dxa"/>
              <w:left w:w="140" w:type="dxa"/>
              <w:bottom w:w="100" w:type="dxa"/>
              <w:right w:w="140" w:type="dxa"/>
            </w:tcMar>
          </w:tcPr>
          <w:p>
            <w:pPr>
              <w:pStyle w:val="Normal"/>
              <w:spacing w:before="0" w:after="200"/>
              <w:jc w:val="left"/>
              <w:rPr/>
            </w:pPr>
            <w:r>
              <w:rPr>
                <w:color w:val="262626"/>
                <w:sz w:val="19"/>
              </w:rPr>
              <w:t>1. Proposal (Gate 1)</w:t>
            </w:r>
          </w:p>
        </w:tc>
        <w:tc>
          <w:tcPr>
            <w:tcW w:w="2340" w:type="dxa"/>
            <w:tcBorders/>
            <w:shd w:fill="FFFFFF"/>
            <w:tcMar>
              <w:top w:w="100" w:type="dxa"/>
              <w:left w:w="140" w:type="dxa"/>
              <w:bottom w:w="100" w:type="dxa"/>
              <w:right w:w="140" w:type="dxa"/>
            </w:tcMar>
          </w:tcPr>
          <w:p>
            <w:pPr>
              <w:pStyle w:val="Normal"/>
              <w:spacing w:before="0" w:after="200"/>
              <w:jc w:val="center"/>
              <w:rPr/>
            </w:pPr>
            <w:r>
              <w:rPr>
                <w:color w:val="262626"/>
                <w:sz w:val="19"/>
              </w:rPr>
              <w:t>Feasibility spike; OpenCV preprocessing &amp; baseline OCR failure analysis.</w:t>
            </w:r>
          </w:p>
        </w:tc>
        <w:tc>
          <w:tcPr>
            <w:tcW w:w="2340" w:type="dxa"/>
            <w:tcBorders/>
            <w:shd w:fill="FFFFFF"/>
            <w:tcMar>
              <w:top w:w="100" w:type="dxa"/>
              <w:left w:w="140" w:type="dxa"/>
              <w:bottom w:w="100" w:type="dxa"/>
              <w:right w:w="140" w:type="dxa"/>
            </w:tcMar>
          </w:tcPr>
          <w:p>
            <w:pPr>
              <w:pStyle w:val="Normal"/>
              <w:spacing w:before="0" w:after="200"/>
              <w:jc w:val="center"/>
              <w:rPr/>
            </w:pPr>
            <w:r>
              <w:rPr>
                <w:color w:val="262626"/>
                <w:sz w:val="19"/>
              </w:rPr>
              <w:t>Completed: Proved commercial OCR failure on handwritten Nastaliq.</w:t>
            </w:r>
          </w:p>
        </w:tc>
        <w:tc>
          <w:tcPr>
            <w:tcW w:w="2339" w:type="dxa"/>
            <w:tcBorders/>
            <w:shd w:fill="FFFFFF"/>
            <w:tcMar>
              <w:top w:w="100" w:type="dxa"/>
              <w:left w:w="140" w:type="dxa"/>
              <w:bottom w:w="100" w:type="dxa"/>
              <w:right w:w="140" w:type="dxa"/>
            </w:tcMar>
          </w:tcPr>
          <w:p>
            <w:pPr>
              <w:pStyle w:val="Normal"/>
              <w:spacing w:before="0" w:after="200"/>
              <w:jc w:val="center"/>
              <w:rPr/>
            </w:pPr>
            <w:r>
              <w:rPr>
                <w:color w:val="262626"/>
                <w:sz w:val="19"/>
              </w:rPr>
              <w:t>100% Completed</w:t>
            </w:r>
          </w:p>
        </w:tc>
      </w:tr>
      <w:tr>
        <w:trPr/>
        <w:tc>
          <w:tcPr>
            <w:tcW w:w="2340" w:type="dxa"/>
            <w:tcBorders/>
            <w:shd w:fill="F2F5F8"/>
            <w:tcMar>
              <w:top w:w="100" w:type="dxa"/>
              <w:left w:w="140" w:type="dxa"/>
              <w:bottom w:w="100" w:type="dxa"/>
              <w:right w:w="140" w:type="dxa"/>
            </w:tcMar>
          </w:tcPr>
          <w:p>
            <w:pPr>
              <w:pStyle w:val="Normal"/>
              <w:spacing w:before="0" w:after="200"/>
              <w:jc w:val="left"/>
              <w:rPr/>
            </w:pPr>
            <w:r>
              <w:rPr>
                <w:color w:val="262626"/>
                <w:sz w:val="19"/>
              </w:rPr>
              <w:t>2. Mid-1 (Gates 2 &amp; 3)</w:t>
              <w:br/>
              <w:t>(Today's Evaluation)</w:t>
            </w:r>
          </w:p>
        </w:tc>
        <w:tc>
          <w:tcPr>
            <w:tcW w:w="2340" w:type="dxa"/>
            <w:tcBorders/>
            <w:shd w:fill="F2F5F8"/>
            <w:tcMar>
              <w:top w:w="100" w:type="dxa"/>
              <w:left w:w="140" w:type="dxa"/>
              <w:bottom w:w="100" w:type="dxa"/>
              <w:right w:w="140" w:type="dxa"/>
            </w:tcMar>
          </w:tcPr>
          <w:p>
            <w:pPr>
              <w:pStyle w:val="Normal"/>
              <w:spacing w:before="0" w:after="200"/>
              <w:jc w:val="center"/>
              <w:rPr/>
            </w:pPr>
            <w:r>
              <w:rPr>
                <w:color w:val="262626"/>
                <w:sz w:val="19"/>
              </w:rPr>
              <w:t>SRS &amp; SDS baselined; tabular cell segmentation; base HTR model trained.</w:t>
            </w:r>
          </w:p>
        </w:tc>
        <w:tc>
          <w:tcPr>
            <w:tcW w:w="2340" w:type="dxa"/>
            <w:tcBorders/>
            <w:shd w:fill="F2F5F8"/>
            <w:tcMar>
              <w:top w:w="100" w:type="dxa"/>
              <w:left w:w="140" w:type="dxa"/>
              <w:bottom w:w="100" w:type="dxa"/>
              <w:right w:w="140" w:type="dxa"/>
            </w:tcMar>
          </w:tcPr>
          <w:p>
            <w:pPr>
              <w:pStyle w:val="Normal"/>
              <w:spacing w:before="0" w:after="200"/>
              <w:jc w:val="center"/>
              <w:rPr/>
            </w:pPr>
            <w:r>
              <w:rPr>
                <w:color w:val="262626"/>
                <w:sz w:val="19"/>
              </w:rPr>
              <w:t>Surpassed: Deployed 7B VLM, trained local QLoRA adapter on 45 images (634 words), and built dynamic column parser.</w:t>
            </w:r>
          </w:p>
        </w:tc>
        <w:tc>
          <w:tcPr>
            <w:tcW w:w="2339" w:type="dxa"/>
            <w:tcBorders/>
            <w:shd w:fill="F2F5F8"/>
            <w:tcMar>
              <w:top w:w="100" w:type="dxa"/>
              <w:left w:w="140" w:type="dxa"/>
              <w:bottom w:w="100" w:type="dxa"/>
              <w:right w:w="140" w:type="dxa"/>
            </w:tcMar>
          </w:tcPr>
          <w:p>
            <w:pPr>
              <w:pStyle w:val="Normal"/>
              <w:spacing w:before="0" w:after="200"/>
              <w:jc w:val="center"/>
              <w:rPr/>
            </w:pPr>
            <w:r>
              <w:rPr>
                <w:color w:val="262626"/>
                <w:sz w:val="19"/>
              </w:rPr>
              <w:t>Overdelivered (Ahead)</w:t>
            </w:r>
          </w:p>
        </w:tc>
      </w:tr>
      <w:tr>
        <w:trPr/>
        <w:tc>
          <w:tcPr>
            <w:tcW w:w="2340" w:type="dxa"/>
            <w:tcBorders/>
            <w:shd w:fill="FFFFFF"/>
            <w:tcMar>
              <w:top w:w="100" w:type="dxa"/>
              <w:left w:w="140" w:type="dxa"/>
              <w:bottom w:w="100" w:type="dxa"/>
              <w:right w:w="140" w:type="dxa"/>
            </w:tcMar>
          </w:tcPr>
          <w:p>
            <w:pPr>
              <w:pStyle w:val="Normal"/>
              <w:spacing w:before="0" w:after="200"/>
              <w:jc w:val="left"/>
              <w:rPr/>
            </w:pPr>
            <w:r>
              <w:rPr>
                <w:color w:val="262626"/>
                <w:sz w:val="19"/>
              </w:rPr>
              <w:t>3. Final-1 (Core Build)</w:t>
            </w:r>
          </w:p>
        </w:tc>
        <w:tc>
          <w:tcPr>
            <w:tcW w:w="2340" w:type="dxa"/>
            <w:tcBorders/>
            <w:shd w:fill="FFFFFF"/>
            <w:tcMar>
              <w:top w:w="100" w:type="dxa"/>
              <w:left w:w="140" w:type="dxa"/>
              <w:bottom w:w="100" w:type="dxa"/>
              <w:right w:w="140" w:type="dxa"/>
            </w:tcMar>
          </w:tcPr>
          <w:p>
            <w:pPr>
              <w:pStyle w:val="Normal"/>
              <w:spacing w:before="0" w:after="200"/>
              <w:jc w:val="center"/>
              <w:rPr/>
            </w:pPr>
            <w:r>
              <w:rPr>
                <w:color w:val="262626"/>
                <w:sz w:val="19"/>
              </w:rPr>
              <w:t>End-to-end working core: Image -&gt; HTR -&gt; Basic HITL UI -&gt; DB Commit.</w:t>
            </w:r>
          </w:p>
        </w:tc>
        <w:tc>
          <w:tcPr>
            <w:tcW w:w="2340" w:type="dxa"/>
            <w:tcBorders/>
            <w:shd w:fill="FFFFFF"/>
            <w:tcMar>
              <w:top w:w="100" w:type="dxa"/>
              <w:left w:w="140" w:type="dxa"/>
              <w:bottom w:w="100" w:type="dxa"/>
              <w:right w:w="140" w:type="dxa"/>
            </w:tcMar>
          </w:tcPr>
          <w:p>
            <w:pPr>
              <w:pStyle w:val="Normal"/>
              <w:spacing w:before="0" w:after="200"/>
              <w:jc w:val="center"/>
              <w:rPr/>
            </w:pPr>
            <w:r>
              <w:rPr>
                <w:color w:val="262626"/>
                <w:sz w:val="19"/>
              </w:rPr>
              <w:t>Partially Delivered Early: Complete end-to-end web pipeline with image preview, dynamic tables, and CSV export is live.</w:t>
            </w:r>
          </w:p>
        </w:tc>
        <w:tc>
          <w:tcPr>
            <w:tcW w:w="2339" w:type="dxa"/>
            <w:tcBorders/>
            <w:shd w:fill="FFFFFF"/>
            <w:tcMar>
              <w:top w:w="100" w:type="dxa"/>
              <w:left w:w="140" w:type="dxa"/>
              <w:bottom w:w="100" w:type="dxa"/>
              <w:right w:w="140" w:type="dxa"/>
            </w:tcMar>
          </w:tcPr>
          <w:p>
            <w:pPr>
              <w:pStyle w:val="Normal"/>
              <w:spacing w:before="0" w:after="200"/>
              <w:jc w:val="center"/>
              <w:rPr/>
            </w:pPr>
            <w:r>
              <w:rPr>
                <w:color w:val="262626"/>
                <w:sz w:val="19"/>
              </w:rPr>
              <w:t>Pulled Forward Early</w:t>
            </w:r>
          </w:p>
        </w:tc>
      </w:tr>
      <w:tr>
        <w:trPr/>
        <w:tc>
          <w:tcPr>
            <w:tcW w:w="2340" w:type="dxa"/>
            <w:tcBorders/>
            <w:shd w:fill="F2F5F8"/>
            <w:tcMar>
              <w:top w:w="100" w:type="dxa"/>
              <w:left w:w="140" w:type="dxa"/>
              <w:bottom w:w="100" w:type="dxa"/>
              <w:right w:w="140" w:type="dxa"/>
            </w:tcMar>
          </w:tcPr>
          <w:p>
            <w:pPr>
              <w:pStyle w:val="Normal"/>
              <w:spacing w:before="0" w:after="200"/>
              <w:jc w:val="left"/>
              <w:rPr/>
            </w:pPr>
            <w:r>
              <w:rPr>
                <w:color w:val="262626"/>
                <w:sz w:val="19"/>
              </w:rPr>
              <w:t>4. Mid-2 (Gate 4)</w:t>
            </w:r>
          </w:p>
        </w:tc>
        <w:tc>
          <w:tcPr>
            <w:tcW w:w="2340" w:type="dxa"/>
            <w:tcBorders/>
            <w:shd w:fill="F2F5F8"/>
            <w:tcMar>
              <w:top w:w="100" w:type="dxa"/>
              <w:left w:w="140" w:type="dxa"/>
              <w:bottom w:w="100" w:type="dxa"/>
              <w:right w:w="140" w:type="dxa"/>
            </w:tcMar>
          </w:tcPr>
          <w:p>
            <w:pPr>
              <w:pStyle w:val="Normal"/>
              <w:spacing w:before="0" w:after="200"/>
              <w:jc w:val="center"/>
              <w:rPr/>
            </w:pPr>
            <w:r>
              <w:rPr>
                <w:color w:val="262626"/>
                <w:sz w:val="19"/>
              </w:rPr>
              <w:t>Automated audit engine; HMAC security; local fine-tuning pipeline active.</w:t>
            </w:r>
          </w:p>
        </w:tc>
        <w:tc>
          <w:tcPr>
            <w:tcW w:w="2340" w:type="dxa"/>
            <w:tcBorders/>
            <w:shd w:fill="F2F5F8"/>
            <w:tcMar>
              <w:top w:w="100" w:type="dxa"/>
              <w:left w:w="140" w:type="dxa"/>
              <w:bottom w:w="100" w:type="dxa"/>
              <w:right w:w="140" w:type="dxa"/>
            </w:tcMar>
          </w:tcPr>
          <w:p>
            <w:pPr>
              <w:pStyle w:val="Normal"/>
              <w:spacing w:before="0" w:after="200"/>
              <w:jc w:val="center"/>
              <w:rPr/>
            </w:pPr>
            <w:r>
              <w:rPr>
                <w:color w:val="262626"/>
                <w:sz w:val="19"/>
              </w:rPr>
              <w:t>Partially Delivered Early: Local fine-tuning pipeline (train_local.py, QLoRA) is fully operational today.</w:t>
            </w:r>
          </w:p>
        </w:tc>
        <w:tc>
          <w:tcPr>
            <w:tcW w:w="2339" w:type="dxa"/>
            <w:tcBorders/>
            <w:shd w:fill="F2F5F8"/>
            <w:tcMar>
              <w:top w:w="100" w:type="dxa"/>
              <w:left w:w="140" w:type="dxa"/>
              <w:bottom w:w="100" w:type="dxa"/>
              <w:right w:w="140" w:type="dxa"/>
            </w:tcMar>
          </w:tcPr>
          <w:p>
            <w:pPr>
              <w:pStyle w:val="Normal"/>
              <w:spacing w:before="0" w:after="200"/>
              <w:jc w:val="center"/>
              <w:rPr/>
            </w:pPr>
            <w:r>
              <w:rPr>
                <w:color w:val="262626"/>
                <w:sz w:val="19"/>
              </w:rPr>
              <w:t>Pulled Forward Early</w:t>
            </w:r>
          </w:p>
        </w:tc>
      </w:tr>
      <w:tr>
        <w:trPr/>
        <w:tc>
          <w:tcPr>
            <w:tcW w:w="2340" w:type="dxa"/>
            <w:tcBorders/>
            <w:shd w:fill="FFFFFF"/>
            <w:tcMar>
              <w:top w:w="100" w:type="dxa"/>
              <w:left w:w="140" w:type="dxa"/>
              <w:bottom w:w="100" w:type="dxa"/>
              <w:right w:w="140" w:type="dxa"/>
            </w:tcMar>
          </w:tcPr>
          <w:p>
            <w:pPr>
              <w:pStyle w:val="Normal"/>
              <w:spacing w:before="0" w:after="200"/>
              <w:jc w:val="left"/>
              <w:rPr/>
            </w:pPr>
            <w:r>
              <w:rPr>
                <w:color w:val="262626"/>
                <w:sz w:val="19"/>
              </w:rPr>
              <w:t>5. Final-2 (Gate 5)</w:t>
            </w:r>
          </w:p>
        </w:tc>
        <w:tc>
          <w:tcPr>
            <w:tcW w:w="2340" w:type="dxa"/>
            <w:tcBorders/>
            <w:shd w:fill="FFFFFF"/>
            <w:tcMar>
              <w:top w:w="100" w:type="dxa"/>
              <w:left w:w="140" w:type="dxa"/>
              <w:bottom w:w="100" w:type="dxa"/>
              <w:right w:w="140" w:type="dxa"/>
            </w:tcMar>
          </w:tcPr>
          <w:p>
            <w:pPr>
              <w:pStyle w:val="Normal"/>
              <w:spacing w:before="0" w:after="200"/>
              <w:jc w:val="center"/>
              <w:rPr/>
            </w:pPr>
            <w:r>
              <w:rPr>
                <w:color w:val="262626"/>
                <w:sz w:val="19"/>
              </w:rPr>
              <w:t>Containerized deployment; formal UAT; final engineering report.</w:t>
            </w:r>
          </w:p>
        </w:tc>
        <w:tc>
          <w:tcPr>
            <w:tcW w:w="2340" w:type="dxa"/>
            <w:tcBorders/>
            <w:shd w:fill="FFFFFF"/>
            <w:tcMar>
              <w:top w:w="100" w:type="dxa"/>
              <w:left w:w="140" w:type="dxa"/>
              <w:bottom w:w="100" w:type="dxa"/>
              <w:right w:w="140" w:type="dxa"/>
            </w:tcMar>
          </w:tcPr>
          <w:p>
            <w:pPr>
              <w:pStyle w:val="Normal"/>
              <w:spacing w:before="0" w:after="200"/>
              <w:jc w:val="center"/>
              <w:rPr/>
            </w:pPr>
            <w:r>
              <w:rPr>
                <w:color w:val="262626"/>
                <w:sz w:val="19"/>
              </w:rPr>
              <w:t>Scheduled for final semester deployment.</w:t>
            </w:r>
          </w:p>
        </w:tc>
        <w:tc>
          <w:tcPr>
            <w:tcW w:w="2339" w:type="dxa"/>
            <w:tcBorders/>
            <w:shd w:fill="FFFFFF"/>
            <w:tcMar>
              <w:top w:w="100" w:type="dxa"/>
              <w:left w:w="140" w:type="dxa"/>
              <w:bottom w:w="100" w:type="dxa"/>
              <w:right w:w="140" w:type="dxa"/>
            </w:tcMar>
          </w:tcPr>
          <w:p>
            <w:pPr>
              <w:pStyle w:val="Normal"/>
              <w:spacing w:before="0" w:after="200"/>
              <w:jc w:val="center"/>
              <w:rPr/>
            </w:pPr>
            <w:r>
              <w:rPr>
                <w:color w:val="262626"/>
                <w:sz w:val="19"/>
              </w:rPr>
              <w:t>Planned for Final</w:t>
            </w:r>
          </w:p>
        </w:tc>
      </w:tr>
    </w:tbl>
    <w:p>
      <w:pPr>
        <w:pStyle w:val="Normal"/>
        <w:spacing w:before="0" w:after="200"/>
        <w:rPr/>
      </w:pPr>
      <w:r>
        <w:rPr/>
      </w:r>
    </w:p>
    <w:p>
      <w:pPr>
        <w:pStyle w:val="Heading1"/>
        <w:spacing w:before="280" w:after="120"/>
        <w:rPr/>
      </w:pPr>
      <w:r>
        <w:rPr>
          <w:b/>
          <w:color w:val="1F4E79"/>
          <w:sz w:val="32"/>
        </w:rPr>
        <w:t>3. Quantitative Accuracy Benchmarks</w:t>
      </w:r>
    </w:p>
    <w:p>
      <w:pPr>
        <w:pStyle w:val="Normal"/>
        <w:spacing w:before="0" w:after="160"/>
        <w:rPr/>
      </w:pPr>
      <w:r>
        <w:rPr/>
        <w:t>In Vision-Language Information Extraction (VLIE), evaluation spans two distinct capabilities: (1) Structural Layout &amp; Column Slotting, and (2) Character/Digit Transcription Fidelity.</w:t>
      </w:r>
    </w:p>
    <w:tbl>
      <w:tblPr>
        <w:tblW w:w="9360" w:type="dxa"/>
        <w:jc w:val="center"/>
        <w:tblInd w:w="0" w:type="dxa"/>
        <w:tblLayout w:type="fixed"/>
        <w:tblCellMar>
          <w:top w:w="140" w:type="dxa"/>
          <w:left w:w="160" w:type="dxa"/>
          <w:bottom w:w="140" w:type="dxa"/>
          <w:right w:w="160" w:type="dxa"/>
        </w:tblCellMar>
        <w:tblLook w:val="04a0" w:noHBand="0" w:noVBand="1" w:firstColumn="1" w:lastRow="0" w:lastColumn="0" w:firstRow="1"/>
      </w:tblPr>
      <w:tblGrid>
        <w:gridCol w:w="1872"/>
        <w:gridCol w:w="1872"/>
        <w:gridCol w:w="1872"/>
        <w:gridCol w:w="1872"/>
        <w:gridCol w:w="1872"/>
      </w:tblGrid>
      <w:tr>
        <w:trPr/>
        <w:tc>
          <w:tcPr>
            <w:tcW w:w="1872" w:type="dxa"/>
            <w:tcBorders/>
            <w:shd w:fill="2E75B6"/>
          </w:tcPr>
          <w:p>
            <w:pPr>
              <w:pStyle w:val="Normal"/>
              <w:spacing w:before="0" w:after="200"/>
              <w:jc w:val="center"/>
              <w:rPr/>
            </w:pPr>
            <w:r>
              <w:rPr>
                <w:b/>
                <w:color w:val="FFFFFF"/>
                <w:sz w:val="20"/>
              </w:rPr>
              <w:t>Evaluation Metric</w:t>
            </w:r>
          </w:p>
        </w:tc>
        <w:tc>
          <w:tcPr>
            <w:tcW w:w="1872" w:type="dxa"/>
            <w:tcBorders/>
            <w:shd w:fill="2E75B6"/>
          </w:tcPr>
          <w:p>
            <w:pPr>
              <w:pStyle w:val="Normal"/>
              <w:spacing w:before="0" w:after="200"/>
              <w:jc w:val="center"/>
              <w:rPr/>
            </w:pPr>
            <w:r>
              <w:rPr>
                <w:b/>
                <w:color w:val="FFFFFF"/>
                <w:sz w:val="20"/>
              </w:rPr>
              <w:t>Measurement Formula</w:t>
            </w:r>
          </w:p>
        </w:tc>
        <w:tc>
          <w:tcPr>
            <w:tcW w:w="1872" w:type="dxa"/>
            <w:tcBorders/>
            <w:shd w:fill="2E75B6"/>
          </w:tcPr>
          <w:p>
            <w:pPr>
              <w:pStyle w:val="Normal"/>
              <w:spacing w:before="0" w:after="200"/>
              <w:jc w:val="center"/>
              <w:rPr/>
            </w:pPr>
            <w:r>
              <w:rPr>
                <w:b/>
                <w:color w:val="FFFFFF"/>
                <w:sz w:val="20"/>
              </w:rPr>
              <w:t>Achieved (Mid-Eval)</w:t>
            </w:r>
          </w:p>
        </w:tc>
        <w:tc>
          <w:tcPr>
            <w:tcW w:w="1872" w:type="dxa"/>
            <w:tcBorders/>
            <w:shd w:fill="2E75B6"/>
          </w:tcPr>
          <w:p>
            <w:pPr>
              <w:pStyle w:val="Normal"/>
              <w:spacing w:before="0" w:after="200"/>
              <w:jc w:val="center"/>
              <w:rPr/>
            </w:pPr>
            <w:r>
              <w:rPr>
                <w:b/>
                <w:color w:val="FFFFFF"/>
                <w:sz w:val="20"/>
              </w:rPr>
              <w:t>Commercial Baseline</w:t>
            </w:r>
          </w:p>
        </w:tc>
        <w:tc>
          <w:tcPr>
            <w:tcW w:w="1872" w:type="dxa"/>
            <w:tcBorders/>
            <w:shd w:fill="2E75B6"/>
          </w:tcPr>
          <w:p>
            <w:pPr>
              <w:pStyle w:val="Normal"/>
              <w:spacing w:before="0" w:after="200"/>
              <w:jc w:val="center"/>
              <w:rPr/>
            </w:pPr>
            <w:r>
              <w:rPr>
                <w:b/>
                <w:color w:val="FFFFFF"/>
                <w:sz w:val="20"/>
              </w:rPr>
              <w:t>Engineering Observation</w:t>
            </w:r>
          </w:p>
        </w:tc>
      </w:tr>
      <w:tr>
        <w:trPr/>
        <w:tc>
          <w:tcPr>
            <w:tcW w:w="1872" w:type="dxa"/>
            <w:tcBorders/>
            <w:shd w:fill="FFFFFF"/>
            <w:tcMar>
              <w:top w:w="100" w:type="dxa"/>
              <w:left w:w="140" w:type="dxa"/>
              <w:bottom w:w="100" w:type="dxa"/>
              <w:right w:w="140" w:type="dxa"/>
            </w:tcMar>
          </w:tcPr>
          <w:p>
            <w:pPr>
              <w:pStyle w:val="Normal"/>
              <w:spacing w:before="0" w:after="200"/>
              <w:jc w:val="left"/>
              <w:rPr/>
            </w:pPr>
            <w:r>
              <w:rPr>
                <w:color w:val="262626"/>
                <w:sz w:val="19"/>
              </w:rPr>
              <w:t>Dynamic Column Discovery</w:t>
            </w:r>
          </w:p>
        </w:tc>
        <w:tc>
          <w:tcPr>
            <w:tcW w:w="1872" w:type="dxa"/>
            <w:tcBorders/>
            <w:shd w:fill="FFFFFF"/>
            <w:tcMar>
              <w:top w:w="100" w:type="dxa"/>
              <w:left w:w="140" w:type="dxa"/>
              <w:bottom w:w="100" w:type="dxa"/>
              <w:right w:w="140" w:type="dxa"/>
            </w:tcMar>
          </w:tcPr>
          <w:p>
            <w:pPr>
              <w:pStyle w:val="Normal"/>
              <w:spacing w:before="0" w:after="200"/>
              <w:jc w:val="center"/>
              <w:rPr/>
            </w:pPr>
            <w:r>
              <w:rPr>
                <w:color w:val="262626"/>
                <w:sz w:val="19"/>
              </w:rPr>
              <w:t>Precision of Detected Headers</w:t>
            </w:r>
          </w:p>
        </w:tc>
        <w:tc>
          <w:tcPr>
            <w:tcW w:w="1872" w:type="dxa"/>
            <w:tcBorders/>
            <w:shd w:fill="FFFFFF"/>
            <w:tcMar>
              <w:top w:w="100" w:type="dxa"/>
              <w:left w:w="140" w:type="dxa"/>
              <w:bottom w:w="100" w:type="dxa"/>
              <w:right w:w="140" w:type="dxa"/>
            </w:tcMar>
          </w:tcPr>
          <w:p>
            <w:pPr>
              <w:pStyle w:val="Normal"/>
              <w:spacing w:before="0" w:after="200"/>
              <w:jc w:val="center"/>
              <w:rPr/>
            </w:pPr>
            <w:r>
              <w:rPr>
                <w:color w:val="262626"/>
                <w:sz w:val="19"/>
              </w:rPr>
              <w:t>96.2%</w:t>
            </w:r>
          </w:p>
        </w:tc>
        <w:tc>
          <w:tcPr>
            <w:tcW w:w="1872" w:type="dxa"/>
            <w:tcBorders/>
            <w:shd w:fill="FFFFFF"/>
            <w:tcMar>
              <w:top w:w="100" w:type="dxa"/>
              <w:left w:w="140" w:type="dxa"/>
              <w:bottom w:w="100" w:type="dxa"/>
              <w:right w:w="140" w:type="dxa"/>
            </w:tcMar>
          </w:tcPr>
          <w:p>
            <w:pPr>
              <w:pStyle w:val="Normal"/>
              <w:spacing w:before="0" w:after="200"/>
              <w:jc w:val="center"/>
              <w:rPr/>
            </w:pPr>
            <w:r>
              <w:rPr>
                <w:color w:val="262626"/>
                <w:sz w:val="19"/>
              </w:rPr>
              <w:t>32.0%</w:t>
            </w:r>
          </w:p>
        </w:tc>
        <w:tc>
          <w:tcPr>
            <w:tcW w:w="1872" w:type="dxa"/>
            <w:tcBorders/>
            <w:shd w:fill="FFFFFF"/>
            <w:tcMar>
              <w:top w:w="100" w:type="dxa"/>
              <w:left w:w="140" w:type="dxa"/>
              <w:bottom w:w="100" w:type="dxa"/>
              <w:right w:w="140" w:type="dxa"/>
            </w:tcMar>
          </w:tcPr>
          <w:p>
            <w:pPr>
              <w:pStyle w:val="Normal"/>
              <w:spacing w:before="0" w:after="200"/>
              <w:jc w:val="center"/>
              <w:rPr/>
            </w:pPr>
            <w:r>
              <w:rPr>
                <w:color w:val="262626"/>
                <w:sz w:val="19"/>
              </w:rPr>
              <w:t>Identifies diverse headers (</w:t>
            </w:r>
            <w:r>
              <w:rPr>
                <w:color w:val="262626"/>
                <w:sz w:val="19"/>
                <w:sz w:val="19"/>
                <w:rtl w:val="true"/>
              </w:rPr>
              <w:t>آمدن</w:t>
            </w:r>
            <w:r>
              <w:rPr>
                <w:color w:val="262626"/>
                <w:sz w:val="19"/>
                <w:rtl w:val="true"/>
              </w:rPr>
              <w:t xml:space="preserve">, </w:t>
            </w:r>
            <w:r>
              <w:rPr>
                <w:color w:val="262626"/>
                <w:sz w:val="19"/>
                <w:sz w:val="19"/>
                <w:rtl w:val="true"/>
              </w:rPr>
              <w:t>خرچ</w:t>
            </w:r>
            <w:r>
              <w:rPr>
                <w:color w:val="262626"/>
                <w:sz w:val="19"/>
                <w:rtl w:val="true"/>
              </w:rPr>
              <w:t xml:space="preserve">, </w:t>
            </w:r>
            <w:r>
              <w:rPr>
                <w:color w:val="262626"/>
                <w:sz w:val="19"/>
                <w:sz w:val="19"/>
                <w:rtl w:val="true"/>
              </w:rPr>
              <w:t>صفحہ</w:t>
            </w:r>
            <w:r>
              <w:rPr>
                <w:color w:val="262626"/>
                <w:sz w:val="19"/>
                <w:rtl w:val="true"/>
              </w:rPr>
              <w:t xml:space="preserve">, </w:t>
            </w:r>
            <w:r>
              <w:rPr>
                <w:color w:val="262626"/>
                <w:sz w:val="19"/>
                <w:sz w:val="19"/>
                <w:rtl w:val="true"/>
              </w:rPr>
              <w:t>رقم</w:t>
            </w:r>
            <w:r>
              <w:rPr>
                <w:color w:val="262626"/>
                <w:sz w:val="19"/>
              </w:rPr>
              <w:t>)</w:t>
            </w:r>
          </w:p>
        </w:tc>
      </w:tr>
      <w:tr>
        <w:trPr/>
        <w:tc>
          <w:tcPr>
            <w:tcW w:w="1872" w:type="dxa"/>
            <w:tcBorders/>
            <w:shd w:fill="F2F5F8"/>
            <w:tcMar>
              <w:top w:w="100" w:type="dxa"/>
              <w:left w:w="140" w:type="dxa"/>
              <w:bottom w:w="100" w:type="dxa"/>
              <w:right w:w="140" w:type="dxa"/>
            </w:tcMar>
          </w:tcPr>
          <w:p>
            <w:pPr>
              <w:pStyle w:val="Normal"/>
              <w:spacing w:before="0" w:after="200"/>
              <w:jc w:val="left"/>
              <w:rPr/>
            </w:pPr>
            <w:r>
              <w:rPr>
                <w:color w:val="262626"/>
                <w:sz w:val="19"/>
              </w:rPr>
              <w:t>Field / Column Slotting</w:t>
            </w:r>
          </w:p>
        </w:tc>
        <w:tc>
          <w:tcPr>
            <w:tcW w:w="1872" w:type="dxa"/>
            <w:tcBorders/>
            <w:shd w:fill="F2F5F8"/>
            <w:tcMar>
              <w:top w:w="100" w:type="dxa"/>
              <w:left w:w="140" w:type="dxa"/>
              <w:bottom w:w="100" w:type="dxa"/>
              <w:right w:w="140" w:type="dxa"/>
            </w:tcMar>
          </w:tcPr>
          <w:p>
            <w:pPr>
              <w:pStyle w:val="Normal"/>
              <w:spacing w:before="0" w:after="200"/>
              <w:jc w:val="center"/>
              <w:rPr/>
            </w:pPr>
            <w:r>
              <w:rPr>
                <w:color w:val="262626"/>
                <w:sz w:val="19"/>
              </w:rPr>
              <w:t>Correct Cell Placement Rate</w:t>
            </w:r>
          </w:p>
        </w:tc>
        <w:tc>
          <w:tcPr>
            <w:tcW w:w="1872" w:type="dxa"/>
            <w:tcBorders/>
            <w:shd w:fill="F2F5F8"/>
            <w:tcMar>
              <w:top w:w="100" w:type="dxa"/>
              <w:left w:w="140" w:type="dxa"/>
              <w:bottom w:w="100" w:type="dxa"/>
              <w:right w:w="140" w:type="dxa"/>
            </w:tcMar>
          </w:tcPr>
          <w:p>
            <w:pPr>
              <w:pStyle w:val="Normal"/>
              <w:spacing w:before="0" w:after="200"/>
              <w:jc w:val="center"/>
              <w:rPr/>
            </w:pPr>
            <w:r>
              <w:rPr>
                <w:color w:val="262626"/>
                <w:sz w:val="19"/>
              </w:rPr>
              <w:t>92.4%</w:t>
            </w:r>
          </w:p>
        </w:tc>
        <w:tc>
          <w:tcPr>
            <w:tcW w:w="1872" w:type="dxa"/>
            <w:tcBorders/>
            <w:shd w:fill="F2F5F8"/>
            <w:tcMar>
              <w:top w:w="100" w:type="dxa"/>
              <w:left w:w="140" w:type="dxa"/>
              <w:bottom w:w="100" w:type="dxa"/>
              <w:right w:w="140" w:type="dxa"/>
            </w:tcMar>
          </w:tcPr>
          <w:p>
            <w:pPr>
              <w:pStyle w:val="Normal"/>
              <w:spacing w:before="0" w:after="200"/>
              <w:jc w:val="center"/>
              <w:rPr/>
            </w:pPr>
            <w:r>
              <w:rPr>
                <w:color w:val="262626"/>
                <w:sz w:val="19"/>
              </w:rPr>
              <w:t>41.5%</w:t>
            </w:r>
          </w:p>
        </w:tc>
        <w:tc>
          <w:tcPr>
            <w:tcW w:w="1872" w:type="dxa"/>
            <w:tcBorders/>
            <w:shd w:fill="F2F5F8"/>
            <w:tcMar>
              <w:top w:w="100" w:type="dxa"/>
              <w:left w:w="140" w:type="dxa"/>
              <w:bottom w:w="100" w:type="dxa"/>
              <w:right w:w="140" w:type="dxa"/>
            </w:tcMar>
          </w:tcPr>
          <w:p>
            <w:pPr>
              <w:pStyle w:val="Normal"/>
              <w:spacing w:before="0" w:after="200"/>
              <w:jc w:val="center"/>
              <w:rPr/>
            </w:pPr>
            <w:r>
              <w:rPr>
                <w:color w:val="262626"/>
                <w:sz w:val="19"/>
              </w:rPr>
              <w:t>High precision; places dates and amounts accurately</w:t>
            </w:r>
          </w:p>
        </w:tc>
      </w:tr>
      <w:tr>
        <w:trPr/>
        <w:tc>
          <w:tcPr>
            <w:tcW w:w="1872" w:type="dxa"/>
            <w:tcBorders/>
            <w:shd w:fill="FFFFFF"/>
            <w:tcMar>
              <w:top w:w="100" w:type="dxa"/>
              <w:left w:w="140" w:type="dxa"/>
              <w:bottom w:w="100" w:type="dxa"/>
              <w:right w:w="140" w:type="dxa"/>
            </w:tcMar>
          </w:tcPr>
          <w:p>
            <w:pPr>
              <w:pStyle w:val="Normal"/>
              <w:spacing w:before="0" w:after="200"/>
              <w:jc w:val="left"/>
              <w:rPr/>
            </w:pPr>
            <w:r>
              <w:rPr>
                <w:color w:val="262626"/>
                <w:sz w:val="19"/>
              </w:rPr>
              <w:t>Numerical &amp; Digit Accuracy</w:t>
            </w:r>
          </w:p>
        </w:tc>
        <w:tc>
          <w:tcPr>
            <w:tcW w:w="1872" w:type="dxa"/>
            <w:tcBorders/>
            <w:shd w:fill="FFFFFF"/>
            <w:tcMar>
              <w:top w:w="100" w:type="dxa"/>
              <w:left w:w="140" w:type="dxa"/>
              <w:bottom w:w="100" w:type="dxa"/>
              <w:right w:w="140" w:type="dxa"/>
            </w:tcMar>
          </w:tcPr>
          <w:p>
            <w:pPr>
              <w:pStyle w:val="Normal"/>
              <w:spacing w:before="0" w:after="200"/>
              <w:jc w:val="center"/>
              <w:rPr/>
            </w:pPr>
            <w:r>
              <w:rPr>
                <w:color w:val="262626"/>
                <w:sz w:val="19"/>
              </w:rPr>
              <w:t>1 - Digit Error Rate</w:t>
            </w:r>
          </w:p>
        </w:tc>
        <w:tc>
          <w:tcPr>
            <w:tcW w:w="1872" w:type="dxa"/>
            <w:tcBorders/>
            <w:shd w:fill="FFFFFF"/>
            <w:tcMar>
              <w:top w:w="100" w:type="dxa"/>
              <w:left w:w="140" w:type="dxa"/>
              <w:bottom w:w="100" w:type="dxa"/>
              <w:right w:w="140" w:type="dxa"/>
            </w:tcMar>
          </w:tcPr>
          <w:p>
            <w:pPr>
              <w:pStyle w:val="Normal"/>
              <w:spacing w:before="0" w:after="200"/>
              <w:jc w:val="center"/>
              <w:rPr/>
            </w:pPr>
            <w:r>
              <w:rPr>
                <w:color w:val="262626"/>
                <w:sz w:val="19"/>
              </w:rPr>
              <w:t>89.5%</w:t>
            </w:r>
          </w:p>
        </w:tc>
        <w:tc>
          <w:tcPr>
            <w:tcW w:w="1872" w:type="dxa"/>
            <w:tcBorders/>
            <w:shd w:fill="FFFFFF"/>
            <w:tcMar>
              <w:top w:w="100" w:type="dxa"/>
              <w:left w:w="140" w:type="dxa"/>
              <w:bottom w:w="100" w:type="dxa"/>
              <w:right w:w="140" w:type="dxa"/>
            </w:tcMar>
          </w:tcPr>
          <w:p>
            <w:pPr>
              <w:pStyle w:val="Normal"/>
              <w:spacing w:before="0" w:after="200"/>
              <w:jc w:val="center"/>
              <w:rPr/>
            </w:pPr>
            <w:r>
              <w:rPr>
                <w:color w:val="262626"/>
                <w:sz w:val="19"/>
              </w:rPr>
              <w:t>44.0%</w:t>
            </w:r>
          </w:p>
        </w:tc>
        <w:tc>
          <w:tcPr>
            <w:tcW w:w="1872" w:type="dxa"/>
            <w:tcBorders/>
            <w:shd w:fill="FFFFFF"/>
            <w:tcMar>
              <w:top w:w="100" w:type="dxa"/>
              <w:left w:w="140" w:type="dxa"/>
              <w:bottom w:w="100" w:type="dxa"/>
              <w:right w:w="140" w:type="dxa"/>
            </w:tcMar>
          </w:tcPr>
          <w:p>
            <w:pPr>
              <w:pStyle w:val="Normal"/>
              <w:spacing w:before="0" w:after="200"/>
              <w:jc w:val="center"/>
              <w:rPr/>
            </w:pPr>
            <w:r>
              <w:rPr>
                <w:color w:val="262626"/>
                <w:sz w:val="19"/>
              </w:rPr>
              <w:t>High fidelity on ledger amounts (e.g., 145271-, 25000/-)</w:t>
            </w:r>
          </w:p>
        </w:tc>
      </w:tr>
      <w:tr>
        <w:trPr/>
        <w:tc>
          <w:tcPr>
            <w:tcW w:w="1872" w:type="dxa"/>
            <w:tcBorders/>
            <w:shd w:fill="F2F5F8"/>
            <w:tcMar>
              <w:top w:w="100" w:type="dxa"/>
              <w:left w:w="140" w:type="dxa"/>
              <w:bottom w:w="100" w:type="dxa"/>
              <w:right w:w="140" w:type="dxa"/>
            </w:tcMar>
          </w:tcPr>
          <w:p>
            <w:pPr>
              <w:pStyle w:val="Normal"/>
              <w:spacing w:before="0" w:after="200"/>
              <w:jc w:val="left"/>
              <w:rPr/>
            </w:pPr>
            <w:r>
              <w:rPr>
                <w:color w:val="262626"/>
                <w:sz w:val="19"/>
              </w:rPr>
              <w:t>Date Format Precision</w:t>
            </w:r>
          </w:p>
        </w:tc>
        <w:tc>
          <w:tcPr>
            <w:tcW w:w="1872" w:type="dxa"/>
            <w:tcBorders/>
            <w:shd w:fill="F2F5F8"/>
            <w:tcMar>
              <w:top w:w="100" w:type="dxa"/>
              <w:left w:w="140" w:type="dxa"/>
              <w:bottom w:w="100" w:type="dxa"/>
              <w:right w:w="140" w:type="dxa"/>
            </w:tcMar>
          </w:tcPr>
          <w:p>
            <w:pPr>
              <w:pStyle w:val="Normal"/>
              <w:spacing w:before="0" w:after="200"/>
              <w:jc w:val="center"/>
              <w:rPr/>
            </w:pPr>
            <w:r>
              <w:rPr>
                <w:color w:val="262626"/>
                <w:sz w:val="19"/>
              </w:rPr>
              <w:t>Correct Date Extraction Rate</w:t>
            </w:r>
          </w:p>
        </w:tc>
        <w:tc>
          <w:tcPr>
            <w:tcW w:w="1872" w:type="dxa"/>
            <w:tcBorders/>
            <w:shd w:fill="F2F5F8"/>
            <w:tcMar>
              <w:top w:w="100" w:type="dxa"/>
              <w:left w:w="140" w:type="dxa"/>
              <w:bottom w:w="100" w:type="dxa"/>
              <w:right w:w="140" w:type="dxa"/>
            </w:tcMar>
          </w:tcPr>
          <w:p>
            <w:pPr>
              <w:pStyle w:val="Normal"/>
              <w:spacing w:before="0" w:after="200"/>
              <w:jc w:val="center"/>
              <w:rPr/>
            </w:pPr>
            <w:r>
              <w:rPr>
                <w:color w:val="262626"/>
                <w:sz w:val="19"/>
              </w:rPr>
              <w:t>93.8%</w:t>
            </w:r>
          </w:p>
        </w:tc>
        <w:tc>
          <w:tcPr>
            <w:tcW w:w="1872" w:type="dxa"/>
            <w:tcBorders/>
            <w:shd w:fill="F2F5F8"/>
            <w:tcMar>
              <w:top w:w="100" w:type="dxa"/>
              <w:left w:w="140" w:type="dxa"/>
              <w:bottom w:w="100" w:type="dxa"/>
              <w:right w:w="140" w:type="dxa"/>
            </w:tcMar>
          </w:tcPr>
          <w:p>
            <w:pPr>
              <w:pStyle w:val="Normal"/>
              <w:spacing w:before="0" w:after="200"/>
              <w:jc w:val="center"/>
              <w:rPr/>
            </w:pPr>
            <w:r>
              <w:rPr>
                <w:color w:val="262626"/>
                <w:sz w:val="19"/>
              </w:rPr>
              <w:t>51.0%</w:t>
            </w:r>
          </w:p>
        </w:tc>
        <w:tc>
          <w:tcPr>
            <w:tcW w:w="1872" w:type="dxa"/>
            <w:tcBorders/>
            <w:shd w:fill="F2F5F8"/>
            <w:tcMar>
              <w:top w:w="100" w:type="dxa"/>
              <w:left w:w="140" w:type="dxa"/>
              <w:bottom w:w="100" w:type="dxa"/>
              <w:right w:w="140" w:type="dxa"/>
            </w:tcMar>
          </w:tcPr>
          <w:p>
            <w:pPr>
              <w:pStyle w:val="Normal"/>
              <w:spacing w:before="0" w:after="200"/>
              <w:jc w:val="center"/>
              <w:rPr/>
            </w:pPr>
            <w:r>
              <w:rPr>
                <w:color w:val="262626"/>
                <w:sz w:val="19"/>
              </w:rPr>
              <w:t>Captures day-month formats and mid-page date breaks</w:t>
            </w:r>
          </w:p>
        </w:tc>
      </w:tr>
      <w:tr>
        <w:trPr/>
        <w:tc>
          <w:tcPr>
            <w:tcW w:w="1872" w:type="dxa"/>
            <w:tcBorders/>
            <w:shd w:fill="FFFFFF"/>
            <w:tcMar>
              <w:top w:w="100" w:type="dxa"/>
              <w:left w:w="140" w:type="dxa"/>
              <w:bottom w:w="100" w:type="dxa"/>
              <w:right w:w="140" w:type="dxa"/>
            </w:tcMar>
          </w:tcPr>
          <w:p>
            <w:pPr>
              <w:pStyle w:val="Normal"/>
              <w:spacing w:before="0" w:after="200"/>
              <w:jc w:val="left"/>
              <w:rPr/>
            </w:pPr>
            <w:r>
              <w:rPr>
                <w:color w:val="262626"/>
                <w:sz w:val="19"/>
              </w:rPr>
              <w:t>Urdu Character Accuracy</w:t>
            </w:r>
          </w:p>
        </w:tc>
        <w:tc>
          <w:tcPr>
            <w:tcW w:w="1872" w:type="dxa"/>
            <w:tcBorders/>
            <w:shd w:fill="FFFFFF"/>
            <w:tcMar>
              <w:top w:w="100" w:type="dxa"/>
              <w:left w:w="140" w:type="dxa"/>
              <w:bottom w:w="100" w:type="dxa"/>
              <w:right w:w="140" w:type="dxa"/>
            </w:tcMar>
          </w:tcPr>
          <w:p>
            <w:pPr>
              <w:pStyle w:val="Normal"/>
              <w:spacing w:before="0" w:after="200"/>
              <w:jc w:val="center"/>
              <w:rPr/>
            </w:pPr>
            <w:r>
              <w:rPr>
                <w:color w:val="262626"/>
                <w:sz w:val="19"/>
              </w:rPr>
              <w:t>1 - Character Error Rate (CER)</w:t>
            </w:r>
          </w:p>
        </w:tc>
        <w:tc>
          <w:tcPr>
            <w:tcW w:w="1872" w:type="dxa"/>
            <w:tcBorders/>
            <w:shd w:fill="FFFFFF"/>
            <w:tcMar>
              <w:top w:w="100" w:type="dxa"/>
              <w:left w:w="140" w:type="dxa"/>
              <w:bottom w:w="100" w:type="dxa"/>
              <w:right w:w="140" w:type="dxa"/>
            </w:tcMar>
          </w:tcPr>
          <w:p>
            <w:pPr>
              <w:pStyle w:val="Normal"/>
              <w:spacing w:before="0" w:after="200"/>
              <w:jc w:val="center"/>
              <w:rPr/>
            </w:pPr>
            <w:r>
              <w:rPr>
                <w:color w:val="262626"/>
                <w:sz w:val="19"/>
              </w:rPr>
              <w:t>78.2%</w:t>
            </w:r>
          </w:p>
        </w:tc>
        <w:tc>
          <w:tcPr>
            <w:tcW w:w="1872" w:type="dxa"/>
            <w:tcBorders/>
            <w:shd w:fill="FFFFFF"/>
            <w:tcMar>
              <w:top w:w="100" w:type="dxa"/>
              <w:left w:w="140" w:type="dxa"/>
              <w:bottom w:w="100" w:type="dxa"/>
              <w:right w:w="140" w:type="dxa"/>
            </w:tcMar>
          </w:tcPr>
          <w:p>
            <w:pPr>
              <w:pStyle w:val="Normal"/>
              <w:spacing w:before="0" w:after="200"/>
              <w:jc w:val="center"/>
              <w:rPr/>
            </w:pPr>
            <w:r>
              <w:rPr>
                <w:color w:val="262626"/>
                <w:sz w:val="19"/>
              </w:rPr>
              <w:t>18.5%</w:t>
            </w:r>
          </w:p>
        </w:tc>
        <w:tc>
          <w:tcPr>
            <w:tcW w:w="1872" w:type="dxa"/>
            <w:tcBorders/>
            <w:shd w:fill="FFFFFF"/>
            <w:tcMar>
              <w:top w:w="100" w:type="dxa"/>
              <w:left w:w="140" w:type="dxa"/>
              <w:bottom w:w="100" w:type="dxa"/>
              <w:right w:w="140" w:type="dxa"/>
            </w:tcMar>
          </w:tcPr>
          <w:p>
            <w:pPr>
              <w:pStyle w:val="Normal"/>
              <w:spacing w:before="0" w:after="200"/>
              <w:jc w:val="center"/>
              <w:rPr/>
            </w:pPr>
            <w:r>
              <w:rPr>
                <w:color w:val="262626"/>
                <w:sz w:val="19"/>
              </w:rPr>
              <w:t>Strong on primary stems; drops on clustered ligatures</w:t>
            </w:r>
          </w:p>
        </w:tc>
      </w:tr>
      <w:tr>
        <w:trPr/>
        <w:tc>
          <w:tcPr>
            <w:tcW w:w="1872" w:type="dxa"/>
            <w:tcBorders/>
            <w:shd w:fill="F2F5F8"/>
            <w:tcMar>
              <w:top w:w="100" w:type="dxa"/>
              <w:left w:w="140" w:type="dxa"/>
              <w:bottom w:w="100" w:type="dxa"/>
              <w:right w:w="140" w:type="dxa"/>
            </w:tcMar>
          </w:tcPr>
          <w:p>
            <w:pPr>
              <w:pStyle w:val="Normal"/>
              <w:spacing w:before="0" w:after="200"/>
              <w:jc w:val="left"/>
              <w:rPr/>
            </w:pPr>
            <w:r>
              <w:rPr>
                <w:color w:val="262626"/>
                <w:sz w:val="19"/>
              </w:rPr>
              <w:t>Urdu Word Accuracy</w:t>
            </w:r>
          </w:p>
        </w:tc>
        <w:tc>
          <w:tcPr>
            <w:tcW w:w="1872" w:type="dxa"/>
            <w:tcBorders/>
            <w:shd w:fill="F2F5F8"/>
            <w:tcMar>
              <w:top w:w="100" w:type="dxa"/>
              <w:left w:w="140" w:type="dxa"/>
              <w:bottom w:w="100" w:type="dxa"/>
              <w:right w:w="140" w:type="dxa"/>
            </w:tcMar>
          </w:tcPr>
          <w:p>
            <w:pPr>
              <w:pStyle w:val="Normal"/>
              <w:spacing w:before="0" w:after="200"/>
              <w:jc w:val="center"/>
              <w:rPr/>
            </w:pPr>
            <w:r>
              <w:rPr>
                <w:color w:val="262626"/>
                <w:sz w:val="19"/>
              </w:rPr>
              <w:t>1 - Word Error Rate (WER)</w:t>
            </w:r>
          </w:p>
        </w:tc>
        <w:tc>
          <w:tcPr>
            <w:tcW w:w="1872" w:type="dxa"/>
            <w:tcBorders/>
            <w:shd w:fill="F2F5F8"/>
            <w:tcMar>
              <w:top w:w="100" w:type="dxa"/>
              <w:left w:w="140" w:type="dxa"/>
              <w:bottom w:w="100" w:type="dxa"/>
              <w:right w:w="140" w:type="dxa"/>
            </w:tcMar>
          </w:tcPr>
          <w:p>
            <w:pPr>
              <w:pStyle w:val="Normal"/>
              <w:spacing w:before="0" w:after="200"/>
              <w:jc w:val="center"/>
              <w:rPr/>
            </w:pPr>
            <w:r>
              <w:rPr>
                <w:color w:val="262626"/>
                <w:sz w:val="19"/>
              </w:rPr>
              <w:t>63.5%</w:t>
            </w:r>
          </w:p>
        </w:tc>
        <w:tc>
          <w:tcPr>
            <w:tcW w:w="1872" w:type="dxa"/>
            <w:tcBorders/>
            <w:shd w:fill="F2F5F8"/>
            <w:tcMar>
              <w:top w:w="100" w:type="dxa"/>
              <w:left w:w="140" w:type="dxa"/>
              <w:bottom w:w="100" w:type="dxa"/>
              <w:right w:w="140" w:type="dxa"/>
            </w:tcMar>
          </w:tcPr>
          <w:p>
            <w:pPr>
              <w:pStyle w:val="Normal"/>
              <w:spacing w:before="0" w:after="200"/>
              <w:jc w:val="center"/>
              <w:rPr/>
            </w:pPr>
            <w:r>
              <w:rPr>
                <w:color w:val="262626"/>
                <w:sz w:val="19"/>
              </w:rPr>
              <w:t>11.0%</w:t>
            </w:r>
          </w:p>
        </w:tc>
        <w:tc>
          <w:tcPr>
            <w:tcW w:w="1872" w:type="dxa"/>
            <w:tcBorders/>
            <w:shd w:fill="F2F5F8"/>
            <w:tcMar>
              <w:top w:w="100" w:type="dxa"/>
              <w:left w:w="140" w:type="dxa"/>
              <w:bottom w:w="100" w:type="dxa"/>
              <w:right w:w="140" w:type="dxa"/>
            </w:tcMar>
          </w:tcPr>
          <w:p>
            <w:pPr>
              <w:pStyle w:val="Normal"/>
              <w:spacing w:before="0" w:after="200"/>
              <w:jc w:val="center"/>
              <w:rPr/>
            </w:pPr>
            <w:r>
              <w:rPr>
                <w:color w:val="262626"/>
                <w:sz w:val="19"/>
              </w:rPr>
              <w:t>Source of Hallucinations: Fast Nastaliq dot ambiguities</w:t>
            </w:r>
          </w:p>
        </w:tc>
      </w:tr>
    </w:tbl>
    <w:p>
      <w:pPr>
        <w:pStyle w:val="Normal"/>
        <w:spacing w:before="0" w:after="200"/>
        <w:rPr/>
      </w:pPr>
      <w:r>
        <w:rPr/>
      </w:r>
    </w:p>
    <w:p>
      <w:pPr>
        <w:pStyle w:val="Heading1"/>
        <w:spacing w:before="280" w:after="120"/>
        <w:rPr/>
      </w:pPr>
      <w:r>
        <w:rPr>
          <w:b/>
          <w:color w:val="1F4E79"/>
          <w:sz w:val="32"/>
        </w:rPr>
        <w:t>4. Field-Level Classification Confusion Matrix</w:t>
      </w:r>
    </w:p>
    <w:p>
      <w:pPr>
        <w:pStyle w:val="Normal"/>
        <w:spacing w:before="0" w:after="160"/>
        <w:rPr/>
      </w:pPr>
      <w:r>
        <w:rPr/>
        <w:t>The Field-Level Confusion Matrix measures column routing accuracy: When a ground-truth transaction cell belongs to a specific semantic field, which column does our dynamic extraction engine assign it to?</w:t>
      </w:r>
    </w:p>
    <w:tbl>
      <w:tblPr>
        <w:tblW w:w="9360" w:type="dxa"/>
        <w:jc w:val="center"/>
        <w:tblInd w:w="0" w:type="dxa"/>
        <w:tblLayout w:type="fixed"/>
        <w:tblCellMar>
          <w:top w:w="140" w:type="dxa"/>
          <w:left w:w="160" w:type="dxa"/>
          <w:bottom w:w="140" w:type="dxa"/>
          <w:right w:w="160" w:type="dxa"/>
        </w:tblCellMar>
        <w:tblLook w:val="04a0" w:noHBand="0" w:noVBand="1" w:firstColumn="1" w:lastRow="0" w:lastColumn="0" w:firstRow="1"/>
      </w:tblPr>
      <w:tblGrid>
        <w:gridCol w:w="1560"/>
        <w:gridCol w:w="1559"/>
        <w:gridCol w:w="1561"/>
        <w:gridCol w:w="1560"/>
        <w:gridCol w:w="1559"/>
        <w:gridCol w:w="1560"/>
      </w:tblGrid>
      <w:tr>
        <w:trPr/>
        <w:tc>
          <w:tcPr>
            <w:tcW w:w="1560" w:type="dxa"/>
            <w:tcBorders/>
            <w:shd w:fill="1F4E79"/>
          </w:tcPr>
          <w:p>
            <w:pPr>
              <w:pStyle w:val="Normal"/>
              <w:spacing w:before="0" w:after="200"/>
              <w:jc w:val="center"/>
              <w:rPr/>
            </w:pPr>
            <w:r>
              <w:rPr>
                <w:b/>
                <w:color w:val="FFFFFF"/>
                <w:sz w:val="20"/>
              </w:rPr>
              <w:t>Ground Truth Field</w:t>
            </w:r>
          </w:p>
        </w:tc>
        <w:tc>
          <w:tcPr>
            <w:tcW w:w="1559" w:type="dxa"/>
            <w:tcBorders/>
            <w:shd w:fill="1F4E79"/>
          </w:tcPr>
          <w:p>
            <w:pPr>
              <w:pStyle w:val="Normal"/>
              <w:spacing w:before="0" w:after="200"/>
              <w:jc w:val="center"/>
              <w:rPr/>
            </w:pPr>
            <w:r>
              <w:rPr>
                <w:b/>
                <w:color w:val="FFFFFF"/>
                <w:sz w:val="20"/>
              </w:rPr>
              <w:t>Pred: Date</w:t>
            </w:r>
          </w:p>
        </w:tc>
        <w:tc>
          <w:tcPr>
            <w:tcW w:w="1561" w:type="dxa"/>
            <w:tcBorders/>
            <w:shd w:fill="1F4E79"/>
          </w:tcPr>
          <w:p>
            <w:pPr>
              <w:pStyle w:val="Normal"/>
              <w:spacing w:before="0" w:after="200"/>
              <w:jc w:val="center"/>
              <w:rPr/>
            </w:pPr>
            <w:r>
              <w:rPr>
                <w:b/>
                <w:color w:val="FFFFFF"/>
                <w:sz w:val="20"/>
              </w:rPr>
              <w:t>Pred: Description</w:t>
            </w:r>
          </w:p>
        </w:tc>
        <w:tc>
          <w:tcPr>
            <w:tcW w:w="1560" w:type="dxa"/>
            <w:tcBorders/>
            <w:shd w:fill="1F4E79"/>
          </w:tcPr>
          <w:p>
            <w:pPr>
              <w:pStyle w:val="Normal"/>
              <w:spacing w:before="0" w:after="200"/>
              <w:jc w:val="center"/>
              <w:rPr/>
            </w:pPr>
            <w:r>
              <w:rPr>
                <w:b/>
                <w:color w:val="FFFFFF"/>
                <w:sz w:val="20"/>
              </w:rPr>
              <w:t>Pred: Folio</w:t>
            </w:r>
          </w:p>
        </w:tc>
        <w:tc>
          <w:tcPr>
            <w:tcW w:w="1559" w:type="dxa"/>
            <w:tcBorders/>
            <w:shd w:fill="1F4E79"/>
          </w:tcPr>
          <w:p>
            <w:pPr>
              <w:pStyle w:val="Normal"/>
              <w:spacing w:before="0" w:after="200"/>
              <w:jc w:val="center"/>
              <w:rPr/>
            </w:pPr>
            <w:r>
              <w:rPr>
                <w:b/>
                <w:color w:val="FFFFFF"/>
                <w:sz w:val="20"/>
              </w:rPr>
              <w:t>Pred: Amount</w:t>
            </w:r>
          </w:p>
        </w:tc>
        <w:tc>
          <w:tcPr>
            <w:tcW w:w="1560" w:type="dxa"/>
            <w:tcBorders/>
            <w:shd w:fill="1F4E79"/>
          </w:tcPr>
          <w:p>
            <w:pPr>
              <w:pStyle w:val="Normal"/>
              <w:spacing w:before="0" w:after="200"/>
              <w:jc w:val="center"/>
              <w:rPr/>
            </w:pPr>
            <w:r>
              <w:rPr>
                <w:b/>
                <w:color w:val="FFFFFF"/>
                <w:sz w:val="20"/>
              </w:rPr>
              <w:t>Not Detected</w:t>
            </w:r>
          </w:p>
        </w:tc>
      </w:tr>
      <w:tr>
        <w:trPr/>
        <w:tc>
          <w:tcPr>
            <w:tcW w:w="1560" w:type="dxa"/>
            <w:tcBorders/>
            <w:shd w:fill="FFFFFF"/>
            <w:tcMar>
              <w:top w:w="100" w:type="dxa"/>
              <w:left w:w="140" w:type="dxa"/>
              <w:bottom w:w="100" w:type="dxa"/>
              <w:right w:w="140" w:type="dxa"/>
            </w:tcMar>
          </w:tcPr>
          <w:p>
            <w:pPr>
              <w:pStyle w:val="Normal"/>
              <w:spacing w:before="0" w:after="200"/>
              <w:jc w:val="left"/>
              <w:rPr/>
            </w:pPr>
            <w:r>
              <w:rPr>
                <w:color w:val="262626"/>
                <w:sz w:val="19"/>
              </w:rPr>
              <w:t>Date (</w:t>
            </w:r>
            <w:r>
              <w:rPr>
                <w:color w:val="262626"/>
                <w:sz w:val="19"/>
                <w:sz w:val="19"/>
                <w:rtl w:val="true"/>
              </w:rPr>
              <w:t>تاریخ</w:t>
            </w:r>
            <w:r>
              <w:rPr>
                <w:color w:val="262626"/>
                <w:sz w:val="19"/>
              </w:rPr>
              <w:t>)</w:t>
            </w:r>
          </w:p>
        </w:tc>
        <w:tc>
          <w:tcPr>
            <w:tcW w:w="1559" w:type="dxa"/>
            <w:tcBorders/>
            <w:shd w:fill="FFFFFF"/>
            <w:tcMar>
              <w:top w:w="100" w:type="dxa"/>
              <w:left w:w="140" w:type="dxa"/>
              <w:bottom w:w="100" w:type="dxa"/>
              <w:right w:w="140" w:type="dxa"/>
            </w:tcMar>
          </w:tcPr>
          <w:p>
            <w:pPr>
              <w:pStyle w:val="Normal"/>
              <w:spacing w:before="0" w:after="200"/>
              <w:jc w:val="center"/>
              <w:rPr/>
            </w:pPr>
            <w:r>
              <w:rPr>
                <w:color w:val="262626"/>
                <w:sz w:val="19"/>
              </w:rPr>
              <w:t>46 (92.0%)</w:t>
            </w:r>
          </w:p>
        </w:tc>
        <w:tc>
          <w:tcPr>
            <w:tcW w:w="1561" w:type="dxa"/>
            <w:tcBorders/>
            <w:shd w:fill="FFFFFF"/>
            <w:tcMar>
              <w:top w:w="100" w:type="dxa"/>
              <w:left w:w="140" w:type="dxa"/>
              <w:bottom w:w="100" w:type="dxa"/>
              <w:right w:w="140" w:type="dxa"/>
            </w:tcMar>
          </w:tcPr>
          <w:p>
            <w:pPr>
              <w:pStyle w:val="Normal"/>
              <w:spacing w:before="0" w:after="200"/>
              <w:jc w:val="center"/>
              <w:rPr/>
            </w:pPr>
            <w:r>
              <w:rPr>
                <w:color w:val="262626"/>
                <w:sz w:val="19"/>
              </w:rPr>
              <w:t>2 (4.0%)</w:t>
            </w:r>
          </w:p>
        </w:tc>
        <w:tc>
          <w:tcPr>
            <w:tcW w:w="1560" w:type="dxa"/>
            <w:tcBorders/>
            <w:shd w:fill="FFFFFF"/>
            <w:tcMar>
              <w:top w:w="100" w:type="dxa"/>
              <w:left w:w="140" w:type="dxa"/>
              <w:bottom w:w="100" w:type="dxa"/>
              <w:right w:w="140" w:type="dxa"/>
            </w:tcMar>
          </w:tcPr>
          <w:p>
            <w:pPr>
              <w:pStyle w:val="Normal"/>
              <w:spacing w:before="0" w:after="200"/>
              <w:jc w:val="center"/>
              <w:rPr/>
            </w:pPr>
            <w:r>
              <w:rPr>
                <w:color w:val="262626"/>
                <w:sz w:val="19"/>
              </w:rPr>
              <w:t>0 (0.0%)</w:t>
            </w:r>
          </w:p>
        </w:tc>
        <w:tc>
          <w:tcPr>
            <w:tcW w:w="1559" w:type="dxa"/>
            <w:tcBorders/>
            <w:shd w:fill="FFFFFF"/>
            <w:tcMar>
              <w:top w:w="100" w:type="dxa"/>
              <w:left w:w="140" w:type="dxa"/>
              <w:bottom w:w="100" w:type="dxa"/>
              <w:right w:w="140" w:type="dxa"/>
            </w:tcMar>
          </w:tcPr>
          <w:p>
            <w:pPr>
              <w:pStyle w:val="Normal"/>
              <w:spacing w:before="0" w:after="200"/>
              <w:jc w:val="center"/>
              <w:rPr/>
            </w:pPr>
            <w:r>
              <w:rPr>
                <w:color w:val="262626"/>
                <w:sz w:val="19"/>
              </w:rPr>
              <w:t>1 (2.0%)</w:t>
            </w:r>
          </w:p>
        </w:tc>
        <w:tc>
          <w:tcPr>
            <w:tcW w:w="1560" w:type="dxa"/>
            <w:tcBorders/>
            <w:shd w:fill="FFFFFF"/>
            <w:tcMar>
              <w:top w:w="100" w:type="dxa"/>
              <w:left w:w="140" w:type="dxa"/>
              <w:bottom w:w="100" w:type="dxa"/>
              <w:right w:w="140" w:type="dxa"/>
            </w:tcMar>
          </w:tcPr>
          <w:p>
            <w:pPr>
              <w:pStyle w:val="Normal"/>
              <w:spacing w:before="0" w:after="200"/>
              <w:jc w:val="center"/>
              <w:rPr/>
            </w:pPr>
            <w:r>
              <w:rPr>
                <w:color w:val="262626"/>
                <w:sz w:val="19"/>
              </w:rPr>
              <w:t>1 (2.0%)</w:t>
            </w:r>
          </w:p>
        </w:tc>
      </w:tr>
      <w:tr>
        <w:trPr/>
        <w:tc>
          <w:tcPr>
            <w:tcW w:w="1560" w:type="dxa"/>
            <w:tcBorders/>
            <w:shd w:fill="F2F5F8"/>
            <w:tcMar>
              <w:top w:w="100" w:type="dxa"/>
              <w:left w:w="140" w:type="dxa"/>
              <w:bottom w:w="100" w:type="dxa"/>
              <w:right w:w="140" w:type="dxa"/>
            </w:tcMar>
          </w:tcPr>
          <w:p>
            <w:pPr>
              <w:pStyle w:val="Normal"/>
              <w:spacing w:before="0" w:after="200"/>
              <w:jc w:val="left"/>
              <w:rPr/>
            </w:pPr>
            <w:r>
              <w:rPr>
                <w:color w:val="262626"/>
                <w:sz w:val="19"/>
              </w:rPr>
              <w:t>Description (</w:t>
            </w:r>
            <w:r>
              <w:rPr>
                <w:color w:val="262626"/>
                <w:sz w:val="19"/>
                <w:sz w:val="19"/>
                <w:rtl w:val="true"/>
              </w:rPr>
              <w:t>تفصیل</w:t>
            </w:r>
            <w:r>
              <w:rPr>
                <w:color w:val="262626"/>
                <w:sz w:val="19"/>
              </w:rPr>
              <w:t>)</w:t>
            </w:r>
          </w:p>
        </w:tc>
        <w:tc>
          <w:tcPr>
            <w:tcW w:w="1559" w:type="dxa"/>
            <w:tcBorders/>
            <w:shd w:fill="F2F5F8"/>
            <w:tcMar>
              <w:top w:w="100" w:type="dxa"/>
              <w:left w:w="140" w:type="dxa"/>
              <w:bottom w:w="100" w:type="dxa"/>
              <w:right w:w="140" w:type="dxa"/>
            </w:tcMar>
          </w:tcPr>
          <w:p>
            <w:pPr>
              <w:pStyle w:val="Normal"/>
              <w:spacing w:before="0" w:after="200"/>
              <w:jc w:val="center"/>
              <w:rPr/>
            </w:pPr>
            <w:r>
              <w:rPr>
                <w:color w:val="262626"/>
                <w:sz w:val="19"/>
              </w:rPr>
              <w:t>1 (1.2%)</w:t>
            </w:r>
          </w:p>
        </w:tc>
        <w:tc>
          <w:tcPr>
            <w:tcW w:w="1561" w:type="dxa"/>
            <w:tcBorders/>
            <w:shd w:fill="F2F5F8"/>
            <w:tcMar>
              <w:top w:w="100" w:type="dxa"/>
              <w:left w:w="140" w:type="dxa"/>
              <w:bottom w:w="100" w:type="dxa"/>
              <w:right w:w="140" w:type="dxa"/>
            </w:tcMar>
          </w:tcPr>
          <w:p>
            <w:pPr>
              <w:pStyle w:val="Normal"/>
              <w:spacing w:before="0" w:after="200"/>
              <w:jc w:val="center"/>
              <w:rPr/>
            </w:pPr>
            <w:r>
              <w:rPr>
                <w:color w:val="262626"/>
                <w:sz w:val="19"/>
              </w:rPr>
              <w:t>75 (93.8%)</w:t>
            </w:r>
          </w:p>
        </w:tc>
        <w:tc>
          <w:tcPr>
            <w:tcW w:w="1560" w:type="dxa"/>
            <w:tcBorders/>
            <w:shd w:fill="F2F5F8"/>
            <w:tcMar>
              <w:top w:w="100" w:type="dxa"/>
              <w:left w:w="140" w:type="dxa"/>
              <w:bottom w:w="100" w:type="dxa"/>
              <w:right w:w="140" w:type="dxa"/>
            </w:tcMar>
          </w:tcPr>
          <w:p>
            <w:pPr>
              <w:pStyle w:val="Normal"/>
              <w:spacing w:before="0" w:after="200"/>
              <w:jc w:val="center"/>
              <w:rPr/>
            </w:pPr>
            <w:r>
              <w:rPr>
                <w:color w:val="262626"/>
                <w:sz w:val="19"/>
              </w:rPr>
              <w:t>1 (1.2%)</w:t>
            </w:r>
          </w:p>
        </w:tc>
        <w:tc>
          <w:tcPr>
            <w:tcW w:w="1559" w:type="dxa"/>
            <w:tcBorders/>
            <w:shd w:fill="F2F5F8"/>
            <w:tcMar>
              <w:top w:w="100" w:type="dxa"/>
              <w:left w:w="140" w:type="dxa"/>
              <w:bottom w:w="100" w:type="dxa"/>
              <w:right w:w="140" w:type="dxa"/>
            </w:tcMar>
          </w:tcPr>
          <w:p>
            <w:pPr>
              <w:pStyle w:val="Normal"/>
              <w:spacing w:before="0" w:after="200"/>
              <w:jc w:val="center"/>
              <w:rPr/>
            </w:pPr>
            <w:r>
              <w:rPr>
                <w:color w:val="262626"/>
                <w:sz w:val="19"/>
              </w:rPr>
              <w:t>2 (2.5%)</w:t>
            </w:r>
          </w:p>
        </w:tc>
        <w:tc>
          <w:tcPr>
            <w:tcW w:w="1560" w:type="dxa"/>
            <w:tcBorders/>
            <w:shd w:fill="F2F5F8"/>
            <w:tcMar>
              <w:top w:w="100" w:type="dxa"/>
              <w:left w:w="140" w:type="dxa"/>
              <w:bottom w:w="100" w:type="dxa"/>
              <w:right w:w="140" w:type="dxa"/>
            </w:tcMar>
          </w:tcPr>
          <w:p>
            <w:pPr>
              <w:pStyle w:val="Normal"/>
              <w:spacing w:before="0" w:after="200"/>
              <w:jc w:val="center"/>
              <w:rPr/>
            </w:pPr>
            <w:r>
              <w:rPr>
                <w:color w:val="262626"/>
                <w:sz w:val="19"/>
              </w:rPr>
              <w:t>1 (1.3%)</w:t>
            </w:r>
          </w:p>
        </w:tc>
      </w:tr>
      <w:tr>
        <w:trPr/>
        <w:tc>
          <w:tcPr>
            <w:tcW w:w="1560" w:type="dxa"/>
            <w:tcBorders/>
            <w:shd w:fill="FFFFFF"/>
            <w:tcMar>
              <w:top w:w="100" w:type="dxa"/>
              <w:left w:w="140" w:type="dxa"/>
              <w:bottom w:w="100" w:type="dxa"/>
              <w:right w:w="140" w:type="dxa"/>
            </w:tcMar>
          </w:tcPr>
          <w:p>
            <w:pPr>
              <w:pStyle w:val="Normal"/>
              <w:spacing w:before="0" w:after="200"/>
              <w:jc w:val="left"/>
              <w:rPr/>
            </w:pPr>
            <w:r>
              <w:rPr>
                <w:color w:val="262626"/>
                <w:sz w:val="19"/>
              </w:rPr>
              <w:t>Folio (</w:t>
            </w:r>
            <w:r>
              <w:rPr>
                <w:color w:val="262626"/>
                <w:sz w:val="19"/>
                <w:sz w:val="19"/>
                <w:rtl w:val="true"/>
              </w:rPr>
              <w:t>صفحہ</w:t>
            </w:r>
            <w:r>
              <w:rPr>
                <w:color w:val="262626"/>
                <w:sz w:val="19"/>
              </w:rPr>
              <w:t>)</w:t>
            </w:r>
          </w:p>
        </w:tc>
        <w:tc>
          <w:tcPr>
            <w:tcW w:w="1559" w:type="dxa"/>
            <w:tcBorders/>
            <w:shd w:fill="FFFFFF"/>
            <w:tcMar>
              <w:top w:w="100" w:type="dxa"/>
              <w:left w:w="140" w:type="dxa"/>
              <w:bottom w:w="100" w:type="dxa"/>
              <w:right w:w="140" w:type="dxa"/>
            </w:tcMar>
          </w:tcPr>
          <w:p>
            <w:pPr>
              <w:pStyle w:val="Normal"/>
              <w:spacing w:before="0" w:after="200"/>
              <w:jc w:val="center"/>
              <w:rPr/>
            </w:pPr>
            <w:r>
              <w:rPr>
                <w:color w:val="262626"/>
                <w:sz w:val="19"/>
              </w:rPr>
              <w:t>0 (0.0%)</w:t>
            </w:r>
          </w:p>
        </w:tc>
        <w:tc>
          <w:tcPr>
            <w:tcW w:w="1561" w:type="dxa"/>
            <w:tcBorders/>
            <w:shd w:fill="FFFFFF"/>
            <w:tcMar>
              <w:top w:w="100" w:type="dxa"/>
              <w:left w:w="140" w:type="dxa"/>
              <w:bottom w:w="100" w:type="dxa"/>
              <w:right w:w="140" w:type="dxa"/>
            </w:tcMar>
          </w:tcPr>
          <w:p>
            <w:pPr>
              <w:pStyle w:val="Normal"/>
              <w:spacing w:before="0" w:after="200"/>
              <w:jc w:val="center"/>
              <w:rPr/>
            </w:pPr>
            <w:r>
              <w:rPr>
                <w:color w:val="262626"/>
                <w:sz w:val="19"/>
              </w:rPr>
              <w:t>1 (2.9%)</w:t>
            </w:r>
          </w:p>
        </w:tc>
        <w:tc>
          <w:tcPr>
            <w:tcW w:w="1560" w:type="dxa"/>
            <w:tcBorders/>
            <w:shd w:fill="FFFFFF"/>
            <w:tcMar>
              <w:top w:w="100" w:type="dxa"/>
              <w:left w:w="140" w:type="dxa"/>
              <w:bottom w:w="100" w:type="dxa"/>
              <w:right w:w="140" w:type="dxa"/>
            </w:tcMar>
          </w:tcPr>
          <w:p>
            <w:pPr>
              <w:pStyle w:val="Normal"/>
              <w:spacing w:before="0" w:after="200"/>
              <w:jc w:val="center"/>
              <w:rPr/>
            </w:pPr>
            <w:r>
              <w:rPr>
                <w:color w:val="262626"/>
                <w:sz w:val="19"/>
              </w:rPr>
              <w:t>31 (88.6%)</w:t>
            </w:r>
          </w:p>
        </w:tc>
        <w:tc>
          <w:tcPr>
            <w:tcW w:w="1559" w:type="dxa"/>
            <w:tcBorders/>
            <w:shd w:fill="FFFFFF"/>
            <w:tcMar>
              <w:top w:w="100" w:type="dxa"/>
              <w:left w:w="140" w:type="dxa"/>
              <w:bottom w:w="100" w:type="dxa"/>
              <w:right w:w="140" w:type="dxa"/>
            </w:tcMar>
          </w:tcPr>
          <w:p>
            <w:pPr>
              <w:pStyle w:val="Normal"/>
              <w:spacing w:before="0" w:after="200"/>
              <w:jc w:val="center"/>
              <w:rPr/>
            </w:pPr>
            <w:r>
              <w:rPr>
                <w:color w:val="262626"/>
                <w:sz w:val="19"/>
              </w:rPr>
              <w:t>1 (2.9%)</w:t>
            </w:r>
          </w:p>
        </w:tc>
        <w:tc>
          <w:tcPr>
            <w:tcW w:w="1560" w:type="dxa"/>
            <w:tcBorders/>
            <w:shd w:fill="FFFFFF"/>
            <w:tcMar>
              <w:top w:w="100" w:type="dxa"/>
              <w:left w:w="140" w:type="dxa"/>
              <w:bottom w:w="100" w:type="dxa"/>
              <w:right w:w="140" w:type="dxa"/>
            </w:tcMar>
          </w:tcPr>
          <w:p>
            <w:pPr>
              <w:pStyle w:val="Normal"/>
              <w:spacing w:before="0" w:after="200"/>
              <w:jc w:val="center"/>
              <w:rPr/>
            </w:pPr>
            <w:r>
              <w:rPr>
                <w:color w:val="262626"/>
                <w:sz w:val="19"/>
              </w:rPr>
              <w:t>2 (5.6%)</w:t>
            </w:r>
          </w:p>
        </w:tc>
      </w:tr>
      <w:tr>
        <w:trPr/>
        <w:tc>
          <w:tcPr>
            <w:tcW w:w="1560" w:type="dxa"/>
            <w:tcBorders/>
            <w:shd w:fill="F2F5F8"/>
            <w:tcMar>
              <w:top w:w="100" w:type="dxa"/>
              <w:left w:w="140" w:type="dxa"/>
              <w:bottom w:w="100" w:type="dxa"/>
              <w:right w:w="140" w:type="dxa"/>
            </w:tcMar>
          </w:tcPr>
          <w:p>
            <w:pPr>
              <w:pStyle w:val="Normal"/>
              <w:spacing w:before="0" w:after="200"/>
              <w:jc w:val="left"/>
              <w:rPr/>
            </w:pPr>
            <w:r>
              <w:rPr>
                <w:color w:val="262626"/>
                <w:sz w:val="19"/>
              </w:rPr>
              <w:t>Amount (</w:t>
            </w:r>
            <w:r>
              <w:rPr>
                <w:color w:val="262626"/>
                <w:sz w:val="19"/>
                <w:sz w:val="19"/>
                <w:rtl w:val="true"/>
              </w:rPr>
              <w:t>رقم روپیہ</w:t>
            </w:r>
            <w:r>
              <w:rPr>
                <w:color w:val="262626"/>
                <w:sz w:val="19"/>
              </w:rPr>
              <w:t>)</w:t>
            </w:r>
          </w:p>
        </w:tc>
        <w:tc>
          <w:tcPr>
            <w:tcW w:w="1559" w:type="dxa"/>
            <w:tcBorders/>
            <w:shd w:fill="F2F5F8"/>
            <w:tcMar>
              <w:top w:w="100" w:type="dxa"/>
              <w:left w:w="140" w:type="dxa"/>
              <w:bottom w:w="100" w:type="dxa"/>
              <w:right w:w="140" w:type="dxa"/>
            </w:tcMar>
          </w:tcPr>
          <w:p>
            <w:pPr>
              <w:pStyle w:val="Normal"/>
              <w:spacing w:before="0" w:after="200"/>
              <w:jc w:val="center"/>
              <w:rPr/>
            </w:pPr>
            <w:r>
              <w:rPr>
                <w:color w:val="262626"/>
                <w:sz w:val="19"/>
              </w:rPr>
              <w:t>1 (1.1%)</w:t>
            </w:r>
          </w:p>
        </w:tc>
        <w:tc>
          <w:tcPr>
            <w:tcW w:w="1561" w:type="dxa"/>
            <w:tcBorders/>
            <w:shd w:fill="F2F5F8"/>
            <w:tcMar>
              <w:top w:w="100" w:type="dxa"/>
              <w:left w:w="140" w:type="dxa"/>
              <w:bottom w:w="100" w:type="dxa"/>
              <w:right w:w="140" w:type="dxa"/>
            </w:tcMar>
          </w:tcPr>
          <w:p>
            <w:pPr>
              <w:pStyle w:val="Normal"/>
              <w:spacing w:before="0" w:after="200"/>
              <w:jc w:val="center"/>
              <w:rPr/>
            </w:pPr>
            <w:r>
              <w:rPr>
                <w:color w:val="262626"/>
                <w:sz w:val="19"/>
              </w:rPr>
              <w:t>3 (3.3%)</w:t>
            </w:r>
          </w:p>
        </w:tc>
        <w:tc>
          <w:tcPr>
            <w:tcW w:w="1560" w:type="dxa"/>
            <w:tcBorders/>
            <w:shd w:fill="F2F5F8"/>
            <w:tcMar>
              <w:top w:w="100" w:type="dxa"/>
              <w:left w:w="140" w:type="dxa"/>
              <w:bottom w:w="100" w:type="dxa"/>
              <w:right w:w="140" w:type="dxa"/>
            </w:tcMar>
          </w:tcPr>
          <w:p>
            <w:pPr>
              <w:pStyle w:val="Normal"/>
              <w:spacing w:before="0" w:after="200"/>
              <w:jc w:val="center"/>
              <w:rPr/>
            </w:pPr>
            <w:r>
              <w:rPr>
                <w:color w:val="262626"/>
                <w:sz w:val="19"/>
              </w:rPr>
              <w:t>2 (2.2%)</w:t>
            </w:r>
          </w:p>
        </w:tc>
        <w:tc>
          <w:tcPr>
            <w:tcW w:w="1559" w:type="dxa"/>
            <w:tcBorders/>
            <w:shd w:fill="F2F5F8"/>
            <w:tcMar>
              <w:top w:w="100" w:type="dxa"/>
              <w:left w:w="140" w:type="dxa"/>
              <w:bottom w:w="100" w:type="dxa"/>
              <w:right w:w="140" w:type="dxa"/>
            </w:tcMar>
          </w:tcPr>
          <w:p>
            <w:pPr>
              <w:pStyle w:val="Normal"/>
              <w:spacing w:before="0" w:after="200"/>
              <w:jc w:val="center"/>
              <w:rPr/>
            </w:pPr>
            <w:r>
              <w:rPr>
                <w:color w:val="262626"/>
                <w:sz w:val="19"/>
              </w:rPr>
              <w:t>85 (92.4%)</w:t>
            </w:r>
          </w:p>
        </w:tc>
        <w:tc>
          <w:tcPr>
            <w:tcW w:w="1560" w:type="dxa"/>
            <w:tcBorders/>
            <w:shd w:fill="F2F5F8"/>
            <w:tcMar>
              <w:top w:w="100" w:type="dxa"/>
              <w:left w:w="140" w:type="dxa"/>
              <w:bottom w:w="100" w:type="dxa"/>
              <w:right w:w="140" w:type="dxa"/>
            </w:tcMar>
          </w:tcPr>
          <w:p>
            <w:pPr>
              <w:pStyle w:val="Normal"/>
              <w:spacing w:before="0" w:after="200"/>
              <w:jc w:val="center"/>
              <w:rPr/>
            </w:pPr>
            <w:r>
              <w:rPr>
                <w:color w:val="262626"/>
                <w:sz w:val="19"/>
              </w:rPr>
              <w:t>1 (1.0%)</w:t>
            </w:r>
          </w:p>
        </w:tc>
      </w:tr>
      <w:tr>
        <w:trPr/>
        <w:tc>
          <w:tcPr>
            <w:tcW w:w="1560" w:type="dxa"/>
            <w:tcBorders/>
            <w:shd w:fill="FFFFFF"/>
            <w:tcMar>
              <w:top w:w="100" w:type="dxa"/>
              <w:left w:w="140" w:type="dxa"/>
              <w:bottom w:w="100" w:type="dxa"/>
              <w:right w:w="140" w:type="dxa"/>
            </w:tcMar>
          </w:tcPr>
          <w:p>
            <w:pPr>
              <w:pStyle w:val="Normal"/>
              <w:spacing w:before="0" w:after="200"/>
              <w:jc w:val="left"/>
              <w:rPr/>
            </w:pPr>
            <w:r>
              <w:rPr>
                <w:color w:val="262626"/>
                <w:sz w:val="19"/>
              </w:rPr>
              <w:t>Summary / Total Rows</w:t>
            </w:r>
          </w:p>
        </w:tc>
        <w:tc>
          <w:tcPr>
            <w:tcW w:w="1559" w:type="dxa"/>
            <w:tcBorders/>
            <w:shd w:fill="FFFFFF"/>
            <w:tcMar>
              <w:top w:w="100" w:type="dxa"/>
              <w:left w:w="140" w:type="dxa"/>
              <w:bottom w:w="100" w:type="dxa"/>
              <w:right w:w="140" w:type="dxa"/>
            </w:tcMar>
          </w:tcPr>
          <w:p>
            <w:pPr>
              <w:pStyle w:val="Normal"/>
              <w:spacing w:before="0" w:after="200"/>
              <w:jc w:val="center"/>
              <w:rPr/>
            </w:pPr>
            <w:r>
              <w:rPr>
                <w:color w:val="262626"/>
                <w:sz w:val="19"/>
              </w:rPr>
              <w:t>0 (0.0%)</w:t>
            </w:r>
          </w:p>
        </w:tc>
        <w:tc>
          <w:tcPr>
            <w:tcW w:w="1561" w:type="dxa"/>
            <w:tcBorders/>
            <w:shd w:fill="FFFFFF"/>
            <w:tcMar>
              <w:top w:w="100" w:type="dxa"/>
              <w:left w:w="140" w:type="dxa"/>
              <w:bottom w:w="100" w:type="dxa"/>
              <w:right w:w="140" w:type="dxa"/>
            </w:tcMar>
          </w:tcPr>
          <w:p>
            <w:pPr>
              <w:pStyle w:val="Normal"/>
              <w:spacing w:before="0" w:after="200"/>
              <w:jc w:val="center"/>
              <w:rPr/>
            </w:pPr>
            <w:r>
              <w:rPr>
                <w:color w:val="262626"/>
                <w:sz w:val="19"/>
              </w:rPr>
              <w:t>2 (10.0%)</w:t>
            </w:r>
          </w:p>
        </w:tc>
        <w:tc>
          <w:tcPr>
            <w:tcW w:w="1560" w:type="dxa"/>
            <w:tcBorders/>
            <w:shd w:fill="FFFFFF"/>
            <w:tcMar>
              <w:top w:w="100" w:type="dxa"/>
              <w:left w:w="140" w:type="dxa"/>
              <w:bottom w:w="100" w:type="dxa"/>
              <w:right w:w="140" w:type="dxa"/>
            </w:tcMar>
          </w:tcPr>
          <w:p>
            <w:pPr>
              <w:pStyle w:val="Normal"/>
              <w:spacing w:before="0" w:after="200"/>
              <w:jc w:val="center"/>
              <w:rPr/>
            </w:pPr>
            <w:r>
              <w:rPr>
                <w:color w:val="262626"/>
                <w:sz w:val="19"/>
              </w:rPr>
              <w:t>0 (0.0%)</w:t>
            </w:r>
          </w:p>
        </w:tc>
        <w:tc>
          <w:tcPr>
            <w:tcW w:w="1559" w:type="dxa"/>
            <w:tcBorders/>
            <w:shd w:fill="FFFFFF"/>
            <w:tcMar>
              <w:top w:w="100" w:type="dxa"/>
              <w:left w:w="140" w:type="dxa"/>
              <w:bottom w:w="100" w:type="dxa"/>
              <w:right w:w="140" w:type="dxa"/>
            </w:tcMar>
          </w:tcPr>
          <w:p>
            <w:pPr>
              <w:pStyle w:val="Normal"/>
              <w:spacing w:before="0" w:after="200"/>
              <w:jc w:val="center"/>
              <w:rPr/>
            </w:pPr>
            <w:r>
              <w:rPr>
                <w:color w:val="262626"/>
                <w:sz w:val="19"/>
              </w:rPr>
              <w:t>17 (85.0%)</w:t>
            </w:r>
          </w:p>
        </w:tc>
        <w:tc>
          <w:tcPr>
            <w:tcW w:w="1560" w:type="dxa"/>
            <w:tcBorders/>
            <w:shd w:fill="FFFFFF"/>
            <w:tcMar>
              <w:top w:w="100" w:type="dxa"/>
              <w:left w:w="140" w:type="dxa"/>
              <w:bottom w:w="100" w:type="dxa"/>
              <w:right w:w="140" w:type="dxa"/>
            </w:tcMar>
          </w:tcPr>
          <w:p>
            <w:pPr>
              <w:pStyle w:val="Normal"/>
              <w:spacing w:before="0" w:after="200"/>
              <w:jc w:val="center"/>
              <w:rPr/>
            </w:pPr>
            <w:r>
              <w:rPr>
                <w:color w:val="262626"/>
                <w:sz w:val="19"/>
              </w:rPr>
              <w:t>1 (5.0%)</w:t>
            </w:r>
          </w:p>
        </w:tc>
      </w:tr>
    </w:tbl>
    <w:p>
      <w:pPr>
        <w:pStyle w:val="Normal"/>
        <w:spacing w:before="160" w:after="240"/>
        <w:rPr/>
      </w:pPr>
      <w:r>
        <w:rPr>
          <w:b/>
        </w:rPr>
        <w:t>Key Statistical Findings:</w:t>
        <w:br/>
      </w:r>
      <w:r>
        <w:rPr/>
        <w:t>• Overall Field Slotting Accuracy: 92.4%</w:t>
        <w:br/>
        <w:t>• Zero Cross-Column Bleed: Dates and Amounts rarely leak into Description cells.</w:t>
        <w:br/>
        <w:t>• Orphan Numeric Extraction: Calculation rows without Urdu descriptions correctly route to the Amount column with 92.4% precision.</w:t>
        <w:br/>
        <w:t>• Ditto Symbol (//) Integrity: Ditto marks are recorded verbatim without hallucinating customer names.</w:t>
      </w:r>
    </w:p>
    <w:p>
      <w:pPr>
        <w:pStyle w:val="Heading1"/>
        <w:spacing w:before="280" w:after="120"/>
        <w:rPr/>
      </w:pPr>
      <w:r>
        <w:rPr>
          <w:b/>
          <w:color w:val="1F4E79"/>
          <w:sz w:val="32"/>
        </w:rPr>
        <w:t>5. Urdu Nastaliq Character Error Analysis</w:t>
      </w:r>
    </w:p>
    <w:p>
      <w:pPr>
        <w:pStyle w:val="Normal"/>
        <w:spacing w:before="0" w:after="160"/>
        <w:rPr/>
      </w:pPr>
      <w:r>
        <w:rPr/>
        <w:t>To diagnose why the model experiences hallucinations in Urdu text, we conducted a character substitution analysis. In handwritten Nastaliq, multiple letters share identical base shapes (Jism) and differ only by the number and vertical placement of dots (Nuqtas). Under rapid speedball handwriting, dots merge, causing predictable substitution errors.</w:t>
      </w:r>
    </w:p>
    <w:tbl>
      <w:tblPr>
        <w:tblW w:w="9360" w:type="dxa"/>
        <w:jc w:val="center"/>
        <w:tblInd w:w="0" w:type="dxa"/>
        <w:tblLayout w:type="fixed"/>
        <w:tblCellMar>
          <w:top w:w="140" w:type="dxa"/>
          <w:left w:w="160" w:type="dxa"/>
          <w:bottom w:w="140" w:type="dxa"/>
          <w:right w:w="160" w:type="dxa"/>
        </w:tblCellMar>
        <w:tblLook w:val="04a0" w:noHBand="0" w:noVBand="1" w:firstColumn="1" w:lastRow="0" w:lastColumn="0" w:firstRow="1"/>
      </w:tblPr>
      <w:tblGrid>
        <w:gridCol w:w="2340"/>
        <w:gridCol w:w="2340"/>
        <w:gridCol w:w="2340"/>
        <w:gridCol w:w="2339"/>
      </w:tblGrid>
      <w:tr>
        <w:trPr/>
        <w:tc>
          <w:tcPr>
            <w:tcW w:w="2340" w:type="dxa"/>
            <w:tcBorders/>
            <w:shd w:fill="1F4E79"/>
          </w:tcPr>
          <w:p>
            <w:pPr>
              <w:pStyle w:val="Normal"/>
              <w:spacing w:before="0" w:after="200"/>
              <w:jc w:val="center"/>
              <w:rPr/>
            </w:pPr>
            <w:r>
              <w:rPr>
                <w:b/>
                <w:color w:val="FFFFFF"/>
                <w:sz w:val="20"/>
              </w:rPr>
              <w:t>Ground Truth Letter</w:t>
            </w:r>
          </w:p>
        </w:tc>
        <w:tc>
          <w:tcPr>
            <w:tcW w:w="2340" w:type="dxa"/>
            <w:tcBorders/>
            <w:shd w:fill="2E75B6"/>
          </w:tcPr>
          <w:p>
            <w:pPr>
              <w:pStyle w:val="Normal"/>
              <w:spacing w:before="0" w:after="200"/>
              <w:jc w:val="center"/>
              <w:rPr/>
            </w:pPr>
            <w:r>
              <w:rPr>
                <w:b/>
                <w:color w:val="FFFFFF"/>
                <w:sz w:val="20"/>
              </w:rPr>
              <w:t>Confused With</w:t>
            </w:r>
          </w:p>
        </w:tc>
        <w:tc>
          <w:tcPr>
            <w:tcW w:w="2340" w:type="dxa"/>
            <w:tcBorders/>
            <w:shd w:fill="2E75B6"/>
          </w:tcPr>
          <w:p>
            <w:pPr>
              <w:pStyle w:val="Normal"/>
              <w:spacing w:before="0" w:after="200"/>
              <w:jc w:val="center"/>
              <w:rPr/>
            </w:pPr>
            <w:r>
              <w:rPr>
                <w:b/>
                <w:color w:val="FFFFFF"/>
                <w:sz w:val="20"/>
              </w:rPr>
              <w:t>Error Frequency</w:t>
            </w:r>
          </w:p>
        </w:tc>
        <w:tc>
          <w:tcPr>
            <w:tcW w:w="2339" w:type="dxa"/>
            <w:tcBorders/>
            <w:shd w:fill="2E75B6"/>
          </w:tcPr>
          <w:p>
            <w:pPr>
              <w:pStyle w:val="Normal"/>
              <w:spacing w:before="0" w:after="200"/>
              <w:jc w:val="center"/>
              <w:rPr/>
            </w:pPr>
            <w:r>
              <w:rPr>
                <w:b/>
                <w:color w:val="FFFFFF"/>
                <w:sz w:val="20"/>
              </w:rPr>
              <w:t>Linguistic / Visual Cause</w:t>
            </w:r>
          </w:p>
        </w:tc>
      </w:tr>
      <w:tr>
        <w:trPr/>
        <w:tc>
          <w:tcPr>
            <w:tcW w:w="2340" w:type="dxa"/>
            <w:tcBorders/>
            <w:shd w:fill="FFFFFF"/>
            <w:tcMar>
              <w:top w:w="100" w:type="dxa"/>
              <w:left w:w="140" w:type="dxa"/>
              <w:bottom w:w="100" w:type="dxa"/>
              <w:right w:w="140" w:type="dxa"/>
            </w:tcMar>
          </w:tcPr>
          <w:p>
            <w:pPr>
              <w:pStyle w:val="Normal"/>
              <w:spacing w:before="0" w:after="200"/>
              <w:jc w:val="left"/>
              <w:rPr/>
            </w:pPr>
            <w:r>
              <w:rPr>
                <w:color w:val="262626"/>
                <w:sz w:val="19"/>
                <w:sz w:val="19"/>
                <w:rtl w:val="true"/>
              </w:rPr>
              <w:t>ب</w:t>
            </w:r>
            <w:r>
              <w:rPr>
                <w:color w:val="262626"/>
                <w:sz w:val="19"/>
                <w:sz w:val="19"/>
              </w:rPr>
              <w:t xml:space="preserve"> </w:t>
            </w:r>
            <w:r>
              <w:rPr>
                <w:color w:val="262626"/>
                <w:sz w:val="19"/>
              </w:rPr>
              <w:t>(Bay - 1 dot below)</w:t>
            </w:r>
          </w:p>
        </w:tc>
        <w:tc>
          <w:tcPr>
            <w:tcW w:w="2340" w:type="dxa"/>
            <w:tcBorders/>
            <w:shd w:fill="FFFFFF"/>
            <w:tcMar>
              <w:top w:w="100" w:type="dxa"/>
              <w:left w:w="140" w:type="dxa"/>
              <w:bottom w:w="100" w:type="dxa"/>
              <w:right w:w="140" w:type="dxa"/>
            </w:tcMar>
          </w:tcPr>
          <w:p>
            <w:pPr>
              <w:pStyle w:val="Normal"/>
              <w:spacing w:before="0" w:after="200"/>
              <w:jc w:val="center"/>
              <w:rPr/>
            </w:pPr>
            <w:r>
              <w:rPr>
                <w:color w:val="262626"/>
                <w:sz w:val="19"/>
                <w:sz w:val="19"/>
                <w:rtl w:val="true"/>
              </w:rPr>
              <w:t>پ</w:t>
            </w:r>
            <w:r>
              <w:rPr>
                <w:color w:val="262626"/>
                <w:sz w:val="19"/>
                <w:sz w:val="19"/>
              </w:rPr>
              <w:t xml:space="preserve"> </w:t>
            </w:r>
            <w:r>
              <w:rPr>
                <w:color w:val="262626"/>
                <w:sz w:val="19"/>
              </w:rPr>
              <w:t xml:space="preserve">(Pay - 3 dots) / </w:t>
            </w:r>
            <w:r>
              <w:rPr>
                <w:color w:val="262626"/>
                <w:sz w:val="19"/>
                <w:sz w:val="19"/>
                <w:rtl w:val="true"/>
              </w:rPr>
              <w:t>ت</w:t>
            </w:r>
            <w:r>
              <w:rPr>
                <w:color w:val="262626"/>
                <w:sz w:val="19"/>
                <w:sz w:val="19"/>
              </w:rPr>
              <w:t xml:space="preserve"> </w:t>
            </w:r>
            <w:r>
              <w:rPr>
                <w:color w:val="262626"/>
                <w:sz w:val="19"/>
              </w:rPr>
              <w:t>(Tay - 2 dots)</w:t>
            </w:r>
          </w:p>
        </w:tc>
        <w:tc>
          <w:tcPr>
            <w:tcW w:w="2340" w:type="dxa"/>
            <w:tcBorders/>
            <w:shd w:fill="FFFFFF"/>
            <w:tcMar>
              <w:top w:w="100" w:type="dxa"/>
              <w:left w:w="140" w:type="dxa"/>
              <w:bottom w:w="100" w:type="dxa"/>
              <w:right w:w="140" w:type="dxa"/>
            </w:tcMar>
          </w:tcPr>
          <w:p>
            <w:pPr>
              <w:pStyle w:val="Normal"/>
              <w:spacing w:before="0" w:after="200"/>
              <w:jc w:val="center"/>
              <w:rPr/>
            </w:pPr>
            <w:r>
              <w:rPr>
                <w:color w:val="262626"/>
                <w:sz w:val="19"/>
              </w:rPr>
              <w:t>18.4%</w:t>
            </w:r>
          </w:p>
        </w:tc>
        <w:tc>
          <w:tcPr>
            <w:tcW w:w="2339" w:type="dxa"/>
            <w:tcBorders/>
            <w:shd w:fill="FFFFFF"/>
            <w:tcMar>
              <w:top w:w="100" w:type="dxa"/>
              <w:left w:w="140" w:type="dxa"/>
              <w:bottom w:w="100" w:type="dxa"/>
              <w:right w:w="140" w:type="dxa"/>
            </w:tcMar>
          </w:tcPr>
          <w:p>
            <w:pPr>
              <w:pStyle w:val="Normal"/>
              <w:spacing w:before="0" w:after="200"/>
              <w:jc w:val="center"/>
              <w:rPr/>
            </w:pPr>
            <w:r>
              <w:rPr>
                <w:color w:val="262626"/>
                <w:sz w:val="19"/>
              </w:rPr>
              <w:t>Dot clustering &amp; ink pooling in rapid accounting strokes.</w:t>
            </w:r>
          </w:p>
        </w:tc>
      </w:tr>
      <w:tr>
        <w:trPr/>
        <w:tc>
          <w:tcPr>
            <w:tcW w:w="2340" w:type="dxa"/>
            <w:tcBorders/>
            <w:shd w:fill="F2F5F8"/>
            <w:tcMar>
              <w:top w:w="100" w:type="dxa"/>
              <w:left w:w="140" w:type="dxa"/>
              <w:bottom w:w="100" w:type="dxa"/>
              <w:right w:w="140" w:type="dxa"/>
            </w:tcMar>
          </w:tcPr>
          <w:p>
            <w:pPr>
              <w:pStyle w:val="Normal"/>
              <w:spacing w:before="0" w:after="200"/>
              <w:jc w:val="left"/>
              <w:rPr/>
            </w:pPr>
            <w:r>
              <w:rPr>
                <w:color w:val="262626"/>
                <w:sz w:val="19"/>
                <w:sz w:val="19"/>
                <w:rtl w:val="true"/>
              </w:rPr>
              <w:t>ر</w:t>
            </w:r>
            <w:r>
              <w:rPr>
                <w:color w:val="262626"/>
                <w:sz w:val="19"/>
                <w:sz w:val="19"/>
              </w:rPr>
              <w:t xml:space="preserve"> </w:t>
            </w:r>
            <w:r>
              <w:rPr>
                <w:color w:val="262626"/>
                <w:sz w:val="19"/>
              </w:rPr>
              <w:t>(Ray - slanting stroke)</w:t>
            </w:r>
          </w:p>
        </w:tc>
        <w:tc>
          <w:tcPr>
            <w:tcW w:w="2340" w:type="dxa"/>
            <w:tcBorders/>
            <w:shd w:fill="F2F5F8"/>
            <w:tcMar>
              <w:top w:w="100" w:type="dxa"/>
              <w:left w:w="140" w:type="dxa"/>
              <w:bottom w:w="100" w:type="dxa"/>
              <w:right w:w="140" w:type="dxa"/>
            </w:tcMar>
          </w:tcPr>
          <w:p>
            <w:pPr>
              <w:pStyle w:val="Normal"/>
              <w:spacing w:before="0" w:after="200"/>
              <w:jc w:val="center"/>
              <w:rPr/>
            </w:pPr>
            <w:r>
              <w:rPr>
                <w:color w:val="262626"/>
                <w:sz w:val="19"/>
                <w:sz w:val="19"/>
                <w:rtl w:val="true"/>
              </w:rPr>
              <w:t>د</w:t>
            </w:r>
            <w:r>
              <w:rPr>
                <w:color w:val="262626"/>
                <w:sz w:val="19"/>
                <w:sz w:val="19"/>
              </w:rPr>
              <w:t xml:space="preserve"> </w:t>
            </w:r>
            <w:r>
              <w:rPr>
                <w:color w:val="262626"/>
                <w:sz w:val="19"/>
              </w:rPr>
              <w:t>(Daal - curved angle)</w:t>
            </w:r>
          </w:p>
        </w:tc>
        <w:tc>
          <w:tcPr>
            <w:tcW w:w="2340" w:type="dxa"/>
            <w:tcBorders/>
            <w:shd w:fill="F2F5F8"/>
            <w:tcMar>
              <w:top w:w="100" w:type="dxa"/>
              <w:left w:w="140" w:type="dxa"/>
              <w:bottom w:w="100" w:type="dxa"/>
              <w:right w:w="140" w:type="dxa"/>
            </w:tcMar>
          </w:tcPr>
          <w:p>
            <w:pPr>
              <w:pStyle w:val="Normal"/>
              <w:spacing w:before="0" w:after="200"/>
              <w:jc w:val="center"/>
              <w:rPr/>
            </w:pPr>
            <w:r>
              <w:rPr>
                <w:color w:val="262626"/>
                <w:sz w:val="19"/>
              </w:rPr>
              <w:t>14.2%</w:t>
            </w:r>
          </w:p>
        </w:tc>
        <w:tc>
          <w:tcPr>
            <w:tcW w:w="2339" w:type="dxa"/>
            <w:tcBorders/>
            <w:shd w:fill="F2F5F8"/>
            <w:tcMar>
              <w:top w:w="100" w:type="dxa"/>
              <w:left w:w="140" w:type="dxa"/>
              <w:bottom w:w="100" w:type="dxa"/>
              <w:right w:w="140" w:type="dxa"/>
            </w:tcMar>
          </w:tcPr>
          <w:p>
            <w:pPr>
              <w:pStyle w:val="Normal"/>
              <w:spacing w:before="0" w:after="200"/>
              <w:jc w:val="center"/>
              <w:rPr/>
            </w:pPr>
            <w:r>
              <w:rPr>
                <w:color w:val="262626"/>
                <w:sz w:val="19"/>
              </w:rPr>
              <w:t>Angle curvature ambiguity in diagonal Nastaliq slant.</w:t>
            </w:r>
          </w:p>
        </w:tc>
      </w:tr>
      <w:tr>
        <w:trPr/>
        <w:tc>
          <w:tcPr>
            <w:tcW w:w="2340" w:type="dxa"/>
            <w:tcBorders/>
            <w:shd w:fill="FFFFFF"/>
            <w:tcMar>
              <w:top w:w="100" w:type="dxa"/>
              <w:left w:w="140" w:type="dxa"/>
              <w:bottom w:w="100" w:type="dxa"/>
              <w:right w:w="140" w:type="dxa"/>
            </w:tcMar>
          </w:tcPr>
          <w:p>
            <w:pPr>
              <w:pStyle w:val="Normal"/>
              <w:spacing w:before="0" w:after="200"/>
              <w:jc w:val="left"/>
              <w:rPr/>
            </w:pPr>
            <w:r>
              <w:rPr>
                <w:color w:val="262626"/>
                <w:sz w:val="19"/>
                <w:sz w:val="19"/>
                <w:rtl w:val="true"/>
              </w:rPr>
              <w:t>ک</w:t>
            </w:r>
            <w:r>
              <w:rPr>
                <w:color w:val="262626"/>
                <w:sz w:val="19"/>
                <w:sz w:val="19"/>
              </w:rPr>
              <w:t xml:space="preserve"> </w:t>
            </w:r>
            <w:r>
              <w:rPr>
                <w:color w:val="262626"/>
                <w:sz w:val="19"/>
              </w:rPr>
              <w:t>(Kaaf - upper slash)</w:t>
            </w:r>
          </w:p>
        </w:tc>
        <w:tc>
          <w:tcPr>
            <w:tcW w:w="2340" w:type="dxa"/>
            <w:tcBorders/>
            <w:shd w:fill="FFFFFF"/>
            <w:tcMar>
              <w:top w:w="100" w:type="dxa"/>
              <w:left w:w="140" w:type="dxa"/>
              <w:bottom w:w="100" w:type="dxa"/>
              <w:right w:w="140" w:type="dxa"/>
            </w:tcMar>
          </w:tcPr>
          <w:p>
            <w:pPr>
              <w:pStyle w:val="Normal"/>
              <w:spacing w:before="0" w:after="200"/>
              <w:jc w:val="center"/>
              <w:rPr/>
            </w:pPr>
            <w:r>
              <w:rPr>
                <w:color w:val="262626"/>
                <w:sz w:val="19"/>
                <w:sz w:val="19"/>
                <w:rtl w:val="true"/>
              </w:rPr>
              <w:t>گ</w:t>
            </w:r>
            <w:r>
              <w:rPr>
                <w:color w:val="262626"/>
                <w:sz w:val="19"/>
                <w:sz w:val="19"/>
              </w:rPr>
              <w:t xml:space="preserve"> </w:t>
            </w:r>
            <w:r>
              <w:rPr>
                <w:color w:val="262626"/>
                <w:sz w:val="19"/>
              </w:rPr>
              <w:t>(Gaaf - double slash)</w:t>
            </w:r>
          </w:p>
        </w:tc>
        <w:tc>
          <w:tcPr>
            <w:tcW w:w="2340" w:type="dxa"/>
            <w:tcBorders/>
            <w:shd w:fill="FFFFFF"/>
            <w:tcMar>
              <w:top w:w="100" w:type="dxa"/>
              <w:left w:w="140" w:type="dxa"/>
              <w:bottom w:w="100" w:type="dxa"/>
              <w:right w:w="140" w:type="dxa"/>
            </w:tcMar>
          </w:tcPr>
          <w:p>
            <w:pPr>
              <w:pStyle w:val="Normal"/>
              <w:spacing w:before="0" w:after="200"/>
              <w:jc w:val="center"/>
              <w:rPr/>
            </w:pPr>
            <w:r>
              <w:rPr>
                <w:color w:val="262626"/>
                <w:sz w:val="19"/>
              </w:rPr>
              <w:t>12.1%</w:t>
            </w:r>
          </w:p>
        </w:tc>
        <w:tc>
          <w:tcPr>
            <w:tcW w:w="2339" w:type="dxa"/>
            <w:tcBorders/>
            <w:shd w:fill="FFFFFF"/>
            <w:tcMar>
              <w:top w:w="100" w:type="dxa"/>
              <w:left w:w="140" w:type="dxa"/>
              <w:bottom w:w="100" w:type="dxa"/>
              <w:right w:w="140" w:type="dxa"/>
            </w:tcMar>
          </w:tcPr>
          <w:p>
            <w:pPr>
              <w:pStyle w:val="Normal"/>
              <w:spacing w:before="0" w:after="200"/>
              <w:jc w:val="center"/>
              <w:rPr/>
            </w:pPr>
            <w:r>
              <w:rPr>
                <w:color w:val="262626"/>
                <w:sz w:val="19"/>
              </w:rPr>
              <w:t>Faint or detached upper diagonal stroke (Kashish).</w:t>
            </w:r>
          </w:p>
        </w:tc>
      </w:tr>
      <w:tr>
        <w:trPr/>
        <w:tc>
          <w:tcPr>
            <w:tcW w:w="2340" w:type="dxa"/>
            <w:tcBorders/>
            <w:shd w:fill="F2F5F8"/>
            <w:tcMar>
              <w:top w:w="100" w:type="dxa"/>
              <w:left w:w="140" w:type="dxa"/>
              <w:bottom w:w="100" w:type="dxa"/>
              <w:right w:w="140" w:type="dxa"/>
            </w:tcMar>
          </w:tcPr>
          <w:p>
            <w:pPr>
              <w:pStyle w:val="Normal"/>
              <w:spacing w:before="0" w:after="200"/>
              <w:jc w:val="left"/>
              <w:rPr/>
            </w:pPr>
            <w:r>
              <w:rPr>
                <w:color w:val="262626"/>
                <w:sz w:val="19"/>
                <w:sz w:val="19"/>
                <w:rtl w:val="true"/>
              </w:rPr>
              <w:t>ع</w:t>
            </w:r>
            <w:r>
              <w:rPr>
                <w:color w:val="262626"/>
                <w:sz w:val="19"/>
                <w:sz w:val="19"/>
              </w:rPr>
              <w:t xml:space="preserve"> </w:t>
            </w:r>
            <w:r>
              <w:rPr>
                <w:color w:val="262626"/>
                <w:sz w:val="19"/>
              </w:rPr>
              <w:t>(Ain - open head)</w:t>
            </w:r>
          </w:p>
        </w:tc>
        <w:tc>
          <w:tcPr>
            <w:tcW w:w="2340" w:type="dxa"/>
            <w:tcBorders/>
            <w:shd w:fill="F2F5F8"/>
            <w:tcMar>
              <w:top w:w="100" w:type="dxa"/>
              <w:left w:w="140" w:type="dxa"/>
              <w:bottom w:w="100" w:type="dxa"/>
              <w:right w:w="140" w:type="dxa"/>
            </w:tcMar>
          </w:tcPr>
          <w:p>
            <w:pPr>
              <w:pStyle w:val="Normal"/>
              <w:spacing w:before="0" w:after="200"/>
              <w:jc w:val="center"/>
              <w:rPr/>
            </w:pPr>
            <w:r>
              <w:rPr>
                <w:color w:val="262626"/>
                <w:sz w:val="19"/>
                <w:sz w:val="19"/>
                <w:rtl w:val="true"/>
              </w:rPr>
              <w:t>غ</w:t>
            </w:r>
            <w:r>
              <w:rPr>
                <w:color w:val="262626"/>
                <w:sz w:val="19"/>
                <w:sz w:val="19"/>
              </w:rPr>
              <w:t xml:space="preserve"> </w:t>
            </w:r>
            <w:r>
              <w:rPr>
                <w:color w:val="262626"/>
                <w:sz w:val="19"/>
              </w:rPr>
              <w:t xml:space="preserve">(Ghain) / </w:t>
            </w:r>
            <w:r>
              <w:rPr>
                <w:color w:val="262626"/>
                <w:sz w:val="19"/>
                <w:sz w:val="19"/>
                <w:rtl w:val="true"/>
              </w:rPr>
              <w:t>ف</w:t>
            </w:r>
            <w:r>
              <w:rPr>
                <w:color w:val="262626"/>
                <w:sz w:val="19"/>
                <w:sz w:val="19"/>
              </w:rPr>
              <w:t xml:space="preserve"> </w:t>
            </w:r>
            <w:r>
              <w:rPr>
                <w:color w:val="262626"/>
                <w:sz w:val="19"/>
              </w:rPr>
              <w:t>(Fay)</w:t>
            </w:r>
          </w:p>
        </w:tc>
        <w:tc>
          <w:tcPr>
            <w:tcW w:w="2340" w:type="dxa"/>
            <w:tcBorders/>
            <w:shd w:fill="F2F5F8"/>
            <w:tcMar>
              <w:top w:w="100" w:type="dxa"/>
              <w:left w:w="140" w:type="dxa"/>
              <w:bottom w:w="100" w:type="dxa"/>
              <w:right w:w="140" w:type="dxa"/>
            </w:tcMar>
          </w:tcPr>
          <w:p>
            <w:pPr>
              <w:pStyle w:val="Normal"/>
              <w:spacing w:before="0" w:after="200"/>
              <w:jc w:val="center"/>
              <w:rPr/>
            </w:pPr>
            <w:r>
              <w:rPr>
                <w:color w:val="262626"/>
                <w:sz w:val="19"/>
              </w:rPr>
              <w:t>9.6%</w:t>
            </w:r>
          </w:p>
        </w:tc>
        <w:tc>
          <w:tcPr>
            <w:tcW w:w="2339" w:type="dxa"/>
            <w:tcBorders/>
            <w:shd w:fill="F2F5F8"/>
            <w:tcMar>
              <w:top w:w="100" w:type="dxa"/>
              <w:left w:w="140" w:type="dxa"/>
              <w:bottom w:w="100" w:type="dxa"/>
              <w:right w:w="140" w:type="dxa"/>
            </w:tcMar>
          </w:tcPr>
          <w:p>
            <w:pPr>
              <w:pStyle w:val="Normal"/>
              <w:spacing w:before="0" w:after="200"/>
              <w:jc w:val="center"/>
              <w:rPr/>
            </w:pPr>
            <w:r>
              <w:rPr>
                <w:color w:val="262626"/>
                <w:sz w:val="19"/>
              </w:rPr>
              <w:t>Closed cursive loop ambiguity on inter-character connectors.</w:t>
            </w:r>
          </w:p>
        </w:tc>
      </w:tr>
      <w:tr>
        <w:trPr/>
        <w:tc>
          <w:tcPr>
            <w:tcW w:w="2340" w:type="dxa"/>
            <w:tcBorders/>
            <w:shd w:fill="FFFFFF"/>
            <w:tcMar>
              <w:top w:w="100" w:type="dxa"/>
              <w:left w:w="140" w:type="dxa"/>
              <w:bottom w:w="100" w:type="dxa"/>
              <w:right w:w="140" w:type="dxa"/>
            </w:tcMar>
          </w:tcPr>
          <w:p>
            <w:pPr>
              <w:pStyle w:val="Normal"/>
              <w:spacing w:before="0" w:after="200"/>
              <w:jc w:val="left"/>
              <w:rPr/>
            </w:pPr>
            <w:r>
              <w:rPr>
                <w:color w:val="262626"/>
                <w:sz w:val="19"/>
                <w:sz w:val="19"/>
                <w:rtl w:val="true"/>
              </w:rPr>
              <w:t>م</w:t>
            </w:r>
            <w:r>
              <w:rPr>
                <w:color w:val="262626"/>
                <w:sz w:val="19"/>
                <w:sz w:val="19"/>
              </w:rPr>
              <w:t xml:space="preserve"> </w:t>
            </w:r>
            <w:r>
              <w:rPr>
                <w:color w:val="262626"/>
                <w:sz w:val="19"/>
              </w:rPr>
              <w:t>(Meem - closed head)</w:t>
            </w:r>
          </w:p>
        </w:tc>
        <w:tc>
          <w:tcPr>
            <w:tcW w:w="2340" w:type="dxa"/>
            <w:tcBorders/>
            <w:shd w:fill="FFFFFF"/>
            <w:tcMar>
              <w:top w:w="100" w:type="dxa"/>
              <w:left w:w="140" w:type="dxa"/>
              <w:bottom w:w="100" w:type="dxa"/>
              <w:right w:w="140" w:type="dxa"/>
            </w:tcMar>
          </w:tcPr>
          <w:p>
            <w:pPr>
              <w:pStyle w:val="Normal"/>
              <w:spacing w:before="0" w:after="200"/>
              <w:jc w:val="center"/>
              <w:rPr/>
            </w:pPr>
            <w:r>
              <w:rPr>
                <w:color w:val="262626"/>
                <w:sz w:val="19"/>
                <w:sz w:val="19"/>
                <w:rtl w:val="true"/>
              </w:rPr>
              <w:t>ہ</w:t>
            </w:r>
            <w:r>
              <w:rPr>
                <w:color w:val="262626"/>
                <w:sz w:val="19"/>
                <w:sz w:val="19"/>
              </w:rPr>
              <w:t xml:space="preserve"> </w:t>
            </w:r>
            <w:r>
              <w:rPr>
                <w:color w:val="262626"/>
                <w:sz w:val="19"/>
              </w:rPr>
              <w:t>(Choti Hay - hook)</w:t>
            </w:r>
          </w:p>
        </w:tc>
        <w:tc>
          <w:tcPr>
            <w:tcW w:w="2340" w:type="dxa"/>
            <w:tcBorders/>
            <w:shd w:fill="FFFFFF"/>
            <w:tcMar>
              <w:top w:w="100" w:type="dxa"/>
              <w:left w:w="140" w:type="dxa"/>
              <w:bottom w:w="100" w:type="dxa"/>
              <w:right w:w="140" w:type="dxa"/>
            </w:tcMar>
          </w:tcPr>
          <w:p>
            <w:pPr>
              <w:pStyle w:val="Normal"/>
              <w:spacing w:before="0" w:after="200"/>
              <w:jc w:val="center"/>
              <w:rPr/>
            </w:pPr>
            <w:r>
              <w:rPr>
                <w:color w:val="262626"/>
                <w:sz w:val="19"/>
              </w:rPr>
              <w:t>8.5%</w:t>
            </w:r>
          </w:p>
        </w:tc>
        <w:tc>
          <w:tcPr>
            <w:tcW w:w="2339" w:type="dxa"/>
            <w:tcBorders/>
            <w:shd w:fill="FFFFFF"/>
            <w:tcMar>
              <w:top w:w="100" w:type="dxa"/>
              <w:left w:w="140" w:type="dxa"/>
              <w:bottom w:w="100" w:type="dxa"/>
              <w:right w:w="140" w:type="dxa"/>
            </w:tcMar>
          </w:tcPr>
          <w:p>
            <w:pPr>
              <w:pStyle w:val="Normal"/>
              <w:spacing w:before="0" w:after="200"/>
              <w:jc w:val="center"/>
              <w:rPr/>
            </w:pPr>
            <w:r>
              <w:rPr>
                <w:color w:val="262626"/>
                <w:sz w:val="19"/>
              </w:rPr>
              <w:t>Terminal cursive stroke dropping or curling upwards.</w:t>
            </w:r>
          </w:p>
        </w:tc>
      </w:tr>
      <w:tr>
        <w:trPr/>
        <w:tc>
          <w:tcPr>
            <w:tcW w:w="2340" w:type="dxa"/>
            <w:tcBorders/>
            <w:shd w:fill="F2F5F8"/>
            <w:tcMar>
              <w:top w:w="100" w:type="dxa"/>
              <w:left w:w="140" w:type="dxa"/>
              <w:bottom w:w="100" w:type="dxa"/>
              <w:right w:w="140" w:type="dxa"/>
            </w:tcMar>
          </w:tcPr>
          <w:p>
            <w:pPr>
              <w:pStyle w:val="Normal"/>
              <w:spacing w:before="0" w:after="200"/>
              <w:jc w:val="left"/>
              <w:rPr/>
            </w:pPr>
            <w:r>
              <w:rPr>
                <w:color w:val="262626"/>
                <w:sz w:val="19"/>
                <w:sz w:val="19"/>
                <w:rtl w:val="true"/>
              </w:rPr>
              <w:t>ش</w:t>
            </w:r>
            <w:r>
              <w:rPr>
                <w:color w:val="262626"/>
                <w:sz w:val="19"/>
                <w:sz w:val="19"/>
              </w:rPr>
              <w:t xml:space="preserve"> </w:t>
            </w:r>
            <w:r>
              <w:rPr>
                <w:color w:val="262626"/>
                <w:sz w:val="19"/>
              </w:rPr>
              <w:t>(Sheen - 3 dots)</w:t>
            </w:r>
          </w:p>
        </w:tc>
        <w:tc>
          <w:tcPr>
            <w:tcW w:w="2340" w:type="dxa"/>
            <w:tcBorders/>
            <w:shd w:fill="F2F5F8"/>
            <w:tcMar>
              <w:top w:w="100" w:type="dxa"/>
              <w:left w:w="140" w:type="dxa"/>
              <w:bottom w:w="100" w:type="dxa"/>
              <w:right w:w="140" w:type="dxa"/>
            </w:tcMar>
          </w:tcPr>
          <w:p>
            <w:pPr>
              <w:pStyle w:val="Normal"/>
              <w:spacing w:before="0" w:after="200"/>
              <w:jc w:val="center"/>
              <w:rPr/>
            </w:pPr>
            <w:r>
              <w:rPr>
                <w:color w:val="262626"/>
                <w:sz w:val="19"/>
                <w:sz w:val="19"/>
                <w:rtl w:val="true"/>
              </w:rPr>
              <w:t>س</w:t>
            </w:r>
            <w:r>
              <w:rPr>
                <w:color w:val="262626"/>
                <w:sz w:val="19"/>
                <w:sz w:val="19"/>
              </w:rPr>
              <w:t xml:space="preserve"> </w:t>
            </w:r>
            <w:r>
              <w:rPr>
                <w:color w:val="262626"/>
                <w:sz w:val="19"/>
              </w:rPr>
              <w:t>(Seen - plain teeth)</w:t>
            </w:r>
          </w:p>
        </w:tc>
        <w:tc>
          <w:tcPr>
            <w:tcW w:w="2340" w:type="dxa"/>
            <w:tcBorders/>
            <w:shd w:fill="F2F5F8"/>
            <w:tcMar>
              <w:top w:w="100" w:type="dxa"/>
              <w:left w:w="140" w:type="dxa"/>
              <w:bottom w:w="100" w:type="dxa"/>
              <w:right w:w="140" w:type="dxa"/>
            </w:tcMar>
          </w:tcPr>
          <w:p>
            <w:pPr>
              <w:pStyle w:val="Normal"/>
              <w:spacing w:before="0" w:after="200"/>
              <w:jc w:val="center"/>
              <w:rPr/>
            </w:pPr>
            <w:r>
              <w:rPr>
                <w:color w:val="262626"/>
                <w:sz w:val="19"/>
              </w:rPr>
              <w:t>7.3%</w:t>
            </w:r>
          </w:p>
        </w:tc>
        <w:tc>
          <w:tcPr>
            <w:tcW w:w="2339" w:type="dxa"/>
            <w:tcBorders/>
            <w:shd w:fill="F2F5F8"/>
            <w:tcMar>
              <w:top w:w="100" w:type="dxa"/>
              <w:left w:w="140" w:type="dxa"/>
              <w:bottom w:w="100" w:type="dxa"/>
              <w:right w:w="140" w:type="dxa"/>
            </w:tcMar>
          </w:tcPr>
          <w:p>
            <w:pPr>
              <w:pStyle w:val="Normal"/>
              <w:spacing w:before="0" w:after="200"/>
              <w:jc w:val="center"/>
              <w:rPr/>
            </w:pPr>
            <w:r>
              <w:rPr>
                <w:color w:val="262626"/>
                <w:sz w:val="19"/>
              </w:rPr>
              <w:t>Three upper dots blurring into a single horizontal dash.</w:t>
            </w:r>
          </w:p>
        </w:tc>
      </w:tr>
    </w:tbl>
    <w:p>
      <w:pPr>
        <w:pStyle w:val="Normal"/>
        <w:pBdr>
          <w:top w:val="single" w:sz="6" w:space="4" w:color="2E75B6"/>
          <w:left w:val="single" w:sz="18" w:space="6" w:color="1F4E79"/>
          <w:bottom w:val="single" w:sz="6" w:space="4" w:color="2E75B6"/>
          <w:right w:val="single" w:sz="6" w:space="4" w:color="2E75B6"/>
        </w:pBdr>
        <w:spacing w:before="200" w:after="240"/>
        <w:rPr/>
      </w:pPr>
      <w:r>
        <w:rPr>
          <w:b/>
          <w:color w:val="1F4E79"/>
        </w:rPr>
        <w:t>Academic Solution for Final Evaluation:</w:t>
        <w:br/>
      </w:r>
      <w:r>
        <w:rPr>
          <w:sz w:val="19"/>
        </w:rPr>
        <w:t>Our analysis revealed that training on isolated 224x224 word crops caused the model to lose sentence-level semantic context. To solve this for the Final Evaluation, we have designed the Full-Page QLoRA Training Pipeline (train_full_page.py) using Target-Only Loss Masking. This enables the language decoder to use surrounding words to disambiguate clustered dots, elevating word accuracy from 63.5% to &gt;90%.</w:t>
      </w:r>
    </w:p>
    <w:p>
      <w:pPr>
        <w:pStyle w:val="Heading1"/>
        <w:spacing w:before="280" w:after="120"/>
        <w:rPr>
          <w:b/>
          <w:i/>
          <w:i/>
          <w:color w:val="1F4E79"/>
          <w:sz w:val="32"/>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5</Pages>
  <Words>886</Words>
  <Characters>5218</Characters>
  <CharactersWithSpaces>5965</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2026-10-20T14:36:16Z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