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CB9E9" w14:textId="717592EF" w:rsidR="00FB5974" w:rsidRDefault="004078E7" w:rsidP="0034244E">
      <w:pPr>
        <w:pStyle w:val="Tytu"/>
      </w:pPr>
      <w:r>
        <w:t xml:space="preserve">  </w:t>
      </w:r>
      <w:r w:rsidR="0034244E">
        <w:t>Walidacja w Tkinter</w:t>
      </w:r>
    </w:p>
    <w:p w14:paraId="51DF3815" w14:textId="7B774ED9" w:rsidR="0034244E" w:rsidRDefault="0034244E" w:rsidP="0034244E"/>
    <w:p w14:paraId="2B18D724" w14:textId="2B92FB68" w:rsidR="0034244E" w:rsidRPr="00EF06EC" w:rsidRDefault="00AB4D38" w:rsidP="0034244E">
      <w:pPr>
        <w:rPr>
          <w:rFonts w:ascii="Arial" w:hAnsi="Arial" w:cs="Arial"/>
        </w:rPr>
      </w:pPr>
      <w:r w:rsidRPr="00EF06EC">
        <w:rPr>
          <w:rFonts w:ascii="Arial" w:hAnsi="Arial" w:cs="Arial"/>
        </w:rPr>
        <w:t xml:space="preserve">System walidacji Tkintera jest jedną z tych części zestawu narzędzi, która jest raczej nieintuicyjna. Opiera się na trzech następujących opcjach konfiguracyjnych, które możemy przekazać do dowolnego </w:t>
      </w:r>
      <w:r w:rsidR="000A14EE" w:rsidRPr="00EF06EC">
        <w:rPr>
          <w:rFonts w:ascii="Arial" w:hAnsi="Arial" w:cs="Arial"/>
        </w:rPr>
        <w:t>widżetu</w:t>
      </w:r>
      <w:r w:rsidRPr="00EF06EC">
        <w:rPr>
          <w:rFonts w:ascii="Arial" w:hAnsi="Arial" w:cs="Arial"/>
        </w:rPr>
        <w:t xml:space="preserve"> wejściowego:</w:t>
      </w:r>
    </w:p>
    <w:p w14:paraId="40C392DB" w14:textId="02C2B44A" w:rsidR="00EF06EC" w:rsidRDefault="00EF06EC" w:rsidP="00EF06EC">
      <w:pPr>
        <w:pStyle w:val="Akapitzlist"/>
        <w:numPr>
          <w:ilvl w:val="0"/>
          <w:numId w:val="2"/>
        </w:numPr>
        <w:rPr>
          <w:rFonts w:ascii="Arial" w:hAnsi="Arial" w:cs="Arial"/>
        </w:rPr>
      </w:pPr>
      <w:r w:rsidRPr="00EF06EC">
        <w:rPr>
          <w:rFonts w:ascii="Arial" w:hAnsi="Arial" w:cs="Arial"/>
          <w:b/>
          <w:bCs/>
        </w:rPr>
        <w:t>validate</w:t>
      </w:r>
      <w:r>
        <w:rPr>
          <w:rFonts w:ascii="Arial" w:hAnsi="Arial" w:cs="Arial"/>
        </w:rPr>
        <w:t xml:space="preserve"> : </w:t>
      </w:r>
      <w:r w:rsidR="000A0ABC" w:rsidRPr="000A0ABC">
        <w:rPr>
          <w:rFonts w:ascii="Arial" w:hAnsi="Arial" w:cs="Arial"/>
        </w:rPr>
        <w:t>Ta opcja określa, jaki typ zdarzenia wy</w:t>
      </w:r>
      <w:r w:rsidR="000A0ABC">
        <w:rPr>
          <w:rFonts w:ascii="Arial" w:hAnsi="Arial" w:cs="Arial"/>
        </w:rPr>
        <w:t>zwoli</w:t>
      </w:r>
      <w:r w:rsidR="000A0ABC" w:rsidRPr="000A0ABC">
        <w:rPr>
          <w:rFonts w:ascii="Arial" w:hAnsi="Arial" w:cs="Arial"/>
        </w:rPr>
        <w:t xml:space="preserve"> wywołanie zwrotne sprawdzające </w:t>
      </w:r>
      <w:r w:rsidR="000A0ABC">
        <w:rPr>
          <w:rFonts w:ascii="Arial" w:hAnsi="Arial" w:cs="Arial"/>
        </w:rPr>
        <w:t xml:space="preserve">jego </w:t>
      </w:r>
      <w:r w:rsidR="000A0ABC" w:rsidRPr="000A0ABC">
        <w:rPr>
          <w:rFonts w:ascii="Arial" w:hAnsi="Arial" w:cs="Arial"/>
        </w:rPr>
        <w:t>poprawność</w:t>
      </w:r>
    </w:p>
    <w:p w14:paraId="028B218D" w14:textId="351CE775" w:rsidR="000A0ABC" w:rsidRDefault="00681738" w:rsidP="00EF06EC">
      <w:pPr>
        <w:pStyle w:val="Akapitzlist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validatecommand</w:t>
      </w:r>
      <w:r w:rsidRPr="00681738">
        <w:rPr>
          <w:rFonts w:ascii="Arial" w:hAnsi="Arial" w:cs="Arial"/>
        </w:rPr>
        <w:t>:</w:t>
      </w:r>
      <w:r w:rsidR="00A80EEC" w:rsidRPr="00A80EEC">
        <w:t xml:space="preserve"> </w:t>
      </w:r>
      <w:r w:rsidR="00A80EEC" w:rsidRPr="00A80EEC">
        <w:rPr>
          <w:rFonts w:ascii="Arial" w:hAnsi="Arial" w:cs="Arial"/>
        </w:rPr>
        <w:t xml:space="preserve"> </w:t>
      </w:r>
      <w:r w:rsidR="004C3539">
        <w:rPr>
          <w:rFonts w:ascii="Arial" w:hAnsi="Arial" w:cs="Arial"/>
        </w:rPr>
        <w:t>O</w:t>
      </w:r>
      <w:r w:rsidR="00A80EEC" w:rsidRPr="00A80EEC">
        <w:rPr>
          <w:rFonts w:ascii="Arial" w:hAnsi="Arial" w:cs="Arial"/>
        </w:rPr>
        <w:t>pcja</w:t>
      </w:r>
      <w:r w:rsidR="00A80EEC">
        <w:rPr>
          <w:rFonts w:ascii="Arial" w:hAnsi="Arial" w:cs="Arial"/>
        </w:rPr>
        <w:t xml:space="preserve">, która </w:t>
      </w:r>
      <w:r w:rsidR="00A80EEC" w:rsidRPr="00A80EEC">
        <w:rPr>
          <w:rFonts w:ascii="Arial" w:hAnsi="Arial" w:cs="Arial"/>
        </w:rPr>
        <w:t xml:space="preserve"> pobiera polecenie, które określi, czy dane są prawidłowe</w:t>
      </w:r>
    </w:p>
    <w:p w14:paraId="6D357820" w14:textId="1A530BD0" w:rsidR="00AB4D38" w:rsidRDefault="00CE1650" w:rsidP="0034244E">
      <w:pPr>
        <w:pStyle w:val="Akapitzlist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invalidcommand</w:t>
      </w:r>
      <w:r w:rsidRPr="00CE1650">
        <w:rPr>
          <w:rFonts w:ascii="Arial" w:hAnsi="Arial" w:cs="Arial"/>
        </w:rPr>
        <w:t>:</w:t>
      </w:r>
      <w:r w:rsidR="004C3539">
        <w:rPr>
          <w:rFonts w:ascii="Arial" w:hAnsi="Arial" w:cs="Arial"/>
        </w:rPr>
        <w:t xml:space="preserve">Opcja ta uruchomi polecenie, wówczas gdy </w:t>
      </w:r>
      <w:r w:rsidR="004C3539" w:rsidRPr="004C3539">
        <w:rPr>
          <w:rFonts w:ascii="Arial" w:hAnsi="Arial" w:cs="Arial"/>
          <w:i/>
          <w:iCs/>
        </w:rPr>
        <w:t>validatecommand</w:t>
      </w:r>
      <w:r w:rsidR="004C3539">
        <w:rPr>
          <w:rFonts w:ascii="Arial" w:hAnsi="Arial" w:cs="Arial"/>
          <w:i/>
          <w:iCs/>
        </w:rPr>
        <w:t xml:space="preserve"> </w:t>
      </w:r>
      <w:r w:rsidR="004C3539">
        <w:rPr>
          <w:rFonts w:ascii="Arial" w:hAnsi="Arial" w:cs="Arial"/>
        </w:rPr>
        <w:t xml:space="preserve">zwróci </w:t>
      </w:r>
      <w:r w:rsidR="004C3539" w:rsidRPr="00ED6F0A">
        <w:rPr>
          <w:rFonts w:ascii="Arial" w:hAnsi="Arial" w:cs="Arial"/>
          <w:i/>
          <w:iCs/>
        </w:rPr>
        <w:t>false</w:t>
      </w:r>
    </w:p>
    <w:p w14:paraId="7EF8DF75" w14:textId="42E8D166" w:rsidR="004C3539" w:rsidRDefault="004C3539" w:rsidP="004C3539">
      <w:pPr>
        <w:ind w:left="360"/>
        <w:rPr>
          <w:rFonts w:ascii="Arial" w:hAnsi="Arial" w:cs="Arial"/>
        </w:rPr>
      </w:pPr>
    </w:p>
    <w:p w14:paraId="78B5FC8F" w14:textId="20AA413C" w:rsidR="004C3539" w:rsidRDefault="007118E5" w:rsidP="004C3539">
      <w:pPr>
        <w:ind w:left="360"/>
        <w:rPr>
          <w:rFonts w:ascii="Arial" w:hAnsi="Arial" w:cs="Arial"/>
        </w:rPr>
      </w:pPr>
      <w:r w:rsidRPr="007118E5">
        <w:rPr>
          <w:rFonts w:ascii="Arial" w:hAnsi="Arial" w:cs="Arial"/>
        </w:rPr>
        <w:t xml:space="preserve">Wydaje się to całkiem proste, ale </w:t>
      </w:r>
      <w:r w:rsidR="007A5670">
        <w:rPr>
          <w:rFonts w:ascii="Arial" w:hAnsi="Arial" w:cs="Arial"/>
        </w:rPr>
        <w:t>pojawiają się</w:t>
      </w:r>
      <w:r w:rsidRPr="007118E5">
        <w:rPr>
          <w:rFonts w:ascii="Arial" w:hAnsi="Arial" w:cs="Arial"/>
        </w:rPr>
        <w:t xml:space="preserve"> nieoczekiwane </w:t>
      </w:r>
      <w:r w:rsidR="007A5670">
        <w:rPr>
          <w:rFonts w:ascii="Arial" w:hAnsi="Arial" w:cs="Arial"/>
        </w:rPr>
        <w:t>problemy</w:t>
      </w:r>
      <w:r w:rsidRPr="007118E5">
        <w:rPr>
          <w:rFonts w:ascii="Arial" w:hAnsi="Arial" w:cs="Arial"/>
        </w:rPr>
        <w:t>.</w:t>
      </w:r>
    </w:p>
    <w:p w14:paraId="03CE09A2" w14:textId="77777777" w:rsidR="008E42C7" w:rsidRDefault="008E42C7" w:rsidP="004C3539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Wartości, które możemy przekazać do </w:t>
      </w:r>
      <w:r w:rsidRPr="008E42C7">
        <w:rPr>
          <w:rFonts w:ascii="Arial" w:hAnsi="Arial" w:cs="Arial"/>
          <w:i/>
          <w:iCs/>
        </w:rPr>
        <w:t>validate</w:t>
      </w:r>
      <w:r>
        <w:rPr>
          <w:rFonts w:ascii="Arial" w:hAnsi="Arial" w:cs="Arial"/>
        </w:rPr>
        <w:t>:</w:t>
      </w:r>
    </w:p>
    <w:p w14:paraId="3E955577" w14:textId="6666761C" w:rsidR="00ED6F0A" w:rsidRPr="004C3539" w:rsidRDefault="008E42C7" w:rsidP="004C3539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DC34523" w14:textId="036128F5" w:rsidR="0034244E" w:rsidRDefault="00A86197">
      <w:r w:rsidRPr="00A86197">
        <w:rPr>
          <w:noProof/>
        </w:rPr>
        <w:drawing>
          <wp:inline distT="0" distB="0" distL="0" distR="0" wp14:anchorId="0A50D959" wp14:editId="5AAEEA58">
            <wp:extent cx="5525271" cy="2943636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0390" w14:textId="0E2E8CDF" w:rsidR="00A86197" w:rsidRDefault="00A86197"/>
    <w:p w14:paraId="7E84B9A0" w14:textId="496E8A59" w:rsidR="00655DCA" w:rsidRDefault="00A858DA" w:rsidP="002633BB">
      <w:pPr>
        <w:ind w:left="360"/>
        <w:jc w:val="both"/>
        <w:rPr>
          <w:rFonts w:ascii="Arial" w:hAnsi="Arial" w:cs="Arial"/>
        </w:rPr>
      </w:pPr>
      <w:r w:rsidRPr="00A858DA">
        <w:rPr>
          <w:rFonts w:ascii="Arial" w:hAnsi="Arial" w:cs="Arial"/>
        </w:rPr>
        <w:t xml:space="preserve">Argument </w:t>
      </w:r>
      <w:r w:rsidRPr="00A858DA">
        <w:rPr>
          <w:rFonts w:ascii="Arial" w:hAnsi="Arial" w:cs="Arial"/>
          <w:i/>
          <w:iCs/>
        </w:rPr>
        <w:t>validcommand</w:t>
      </w:r>
      <w:r w:rsidRPr="00A858DA">
        <w:rPr>
          <w:rFonts w:ascii="Arial" w:hAnsi="Arial" w:cs="Arial"/>
        </w:rPr>
        <w:t xml:space="preserve"> jest t</w:t>
      </w:r>
      <w:r>
        <w:rPr>
          <w:rFonts w:ascii="Arial" w:hAnsi="Arial" w:cs="Arial"/>
        </w:rPr>
        <w:t>y</w:t>
      </w:r>
      <w:r w:rsidRPr="00A858DA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 właśnie</w:t>
      </w:r>
      <w:r w:rsidRPr="00A858DA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który sprawia kłopoty </w:t>
      </w:r>
      <w:r w:rsidRPr="00A858DA">
        <w:rPr>
          <w:rFonts w:ascii="Arial" w:hAnsi="Arial" w:cs="Arial"/>
        </w:rPr>
        <w:t xml:space="preserve">. Można by pomyśleć, że </w:t>
      </w:r>
      <w:r>
        <w:rPr>
          <w:rFonts w:ascii="Arial" w:hAnsi="Arial" w:cs="Arial"/>
        </w:rPr>
        <w:t xml:space="preserve">jest </w:t>
      </w:r>
      <w:r w:rsidRPr="00A858DA">
        <w:rPr>
          <w:rFonts w:ascii="Arial" w:hAnsi="Arial" w:cs="Arial"/>
        </w:rPr>
        <w:t xml:space="preserve"> to nazw</w:t>
      </w:r>
      <w:r>
        <w:rPr>
          <w:rFonts w:ascii="Arial" w:hAnsi="Arial" w:cs="Arial"/>
        </w:rPr>
        <w:t>a</w:t>
      </w:r>
      <w:r w:rsidRPr="00A858DA">
        <w:rPr>
          <w:rFonts w:ascii="Arial" w:hAnsi="Arial" w:cs="Arial"/>
        </w:rPr>
        <w:t xml:space="preserve"> funkcji lub metody Pythona, ale t</w:t>
      </w:r>
      <w:r>
        <w:rPr>
          <w:rFonts w:ascii="Arial" w:hAnsi="Arial" w:cs="Arial"/>
        </w:rPr>
        <w:t>ak do</w:t>
      </w:r>
      <w:r w:rsidRPr="00A858DA">
        <w:rPr>
          <w:rFonts w:ascii="Arial" w:hAnsi="Arial" w:cs="Arial"/>
        </w:rPr>
        <w:t xml:space="preserve">  końca </w:t>
      </w:r>
      <w:r>
        <w:rPr>
          <w:rFonts w:ascii="Arial" w:hAnsi="Arial" w:cs="Arial"/>
        </w:rPr>
        <w:t>nie jest</w:t>
      </w:r>
      <w:r w:rsidRPr="00A858DA">
        <w:rPr>
          <w:rFonts w:ascii="Arial" w:hAnsi="Arial" w:cs="Arial"/>
        </w:rPr>
        <w:t xml:space="preserve">. Zamiast tego </w:t>
      </w:r>
      <w:r w:rsidR="004B25C2">
        <w:rPr>
          <w:rFonts w:ascii="Arial" w:hAnsi="Arial" w:cs="Arial"/>
        </w:rPr>
        <w:t>mamy</w:t>
      </w:r>
      <w:r w:rsidR="00E14D3E">
        <w:rPr>
          <w:rFonts w:ascii="Arial" w:hAnsi="Arial" w:cs="Arial"/>
        </w:rPr>
        <w:t xml:space="preserve"> </w:t>
      </w:r>
      <w:r w:rsidRPr="00A858DA">
        <w:rPr>
          <w:rFonts w:ascii="Arial" w:hAnsi="Arial" w:cs="Arial"/>
        </w:rPr>
        <w:t>krotk</w:t>
      </w:r>
      <w:r w:rsidR="004B25C2">
        <w:rPr>
          <w:rFonts w:ascii="Arial" w:hAnsi="Arial" w:cs="Arial"/>
        </w:rPr>
        <w:t>ę</w:t>
      </w:r>
      <w:r w:rsidRPr="00A858DA">
        <w:rPr>
          <w:rFonts w:ascii="Arial" w:hAnsi="Arial" w:cs="Arial"/>
        </w:rPr>
        <w:t xml:space="preserve"> zawierającą odniesienie do funkcji Tcl/Tk</w:t>
      </w:r>
      <w:r w:rsidR="00E14D3E">
        <w:rPr>
          <w:rFonts w:ascii="Arial" w:hAnsi="Arial" w:cs="Arial"/>
        </w:rPr>
        <w:t xml:space="preserve"> </w:t>
      </w:r>
      <w:r w:rsidRPr="00A858DA">
        <w:rPr>
          <w:rFonts w:ascii="Arial" w:hAnsi="Arial" w:cs="Arial"/>
        </w:rPr>
        <w:t>i opcjonalnie kilka kodów podstawieniowych</w:t>
      </w:r>
      <w:r w:rsidR="00E14D3E">
        <w:rPr>
          <w:rFonts w:ascii="Arial" w:hAnsi="Arial" w:cs="Arial"/>
        </w:rPr>
        <w:t xml:space="preserve"> (</w:t>
      </w:r>
      <w:r w:rsidR="00E14D3E" w:rsidRPr="00E14D3E">
        <w:rPr>
          <w:rFonts w:ascii="Arial" w:hAnsi="Arial" w:cs="Arial"/>
          <w:b/>
          <w:bCs/>
        </w:rPr>
        <w:t>substitution codes)</w:t>
      </w:r>
      <w:r w:rsidRPr="00E14D3E">
        <w:rPr>
          <w:rFonts w:ascii="Arial" w:hAnsi="Arial" w:cs="Arial"/>
          <w:b/>
          <w:bCs/>
        </w:rPr>
        <w:t>,</w:t>
      </w:r>
      <w:r w:rsidRPr="00A858DA">
        <w:rPr>
          <w:rFonts w:ascii="Arial" w:hAnsi="Arial" w:cs="Arial"/>
        </w:rPr>
        <w:t xml:space="preserve"> które </w:t>
      </w:r>
      <w:r w:rsidR="00655DCA">
        <w:rPr>
          <w:rFonts w:ascii="Arial" w:hAnsi="Arial" w:cs="Arial"/>
        </w:rPr>
        <w:t>opisują wyzwolone zdarzenie, które chcemy przekazać do funkcji.</w:t>
      </w:r>
    </w:p>
    <w:p w14:paraId="4DA4BC79" w14:textId="7A155A19" w:rsidR="002633BB" w:rsidRDefault="002633BB" w:rsidP="00A70CD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jc w:val="both"/>
        <w:rPr>
          <w:rFonts w:ascii="Arial" w:hAnsi="Arial" w:cs="Arial"/>
        </w:rPr>
      </w:pPr>
      <w:r w:rsidRPr="002633BB">
        <w:rPr>
          <w:rFonts w:ascii="Arial" w:hAnsi="Arial" w:cs="Arial"/>
        </w:rPr>
        <w:t xml:space="preserve">Jak uzyskać referencję do funkcji Tcl/Tk? Na szczęście nie jest to zbyt trudne; po prostu przekazujemy </w:t>
      </w:r>
      <w:r>
        <w:rPr>
          <w:rFonts w:ascii="Arial" w:hAnsi="Arial" w:cs="Arial"/>
        </w:rPr>
        <w:t>obiekt wywołania</w:t>
      </w:r>
      <w:r w:rsidRPr="002633BB">
        <w:rPr>
          <w:rFonts w:ascii="Arial" w:hAnsi="Arial" w:cs="Arial"/>
        </w:rPr>
        <w:t xml:space="preserve"> Pythona do metody .register() dowoln</w:t>
      </w:r>
      <w:r>
        <w:rPr>
          <w:rFonts w:ascii="Arial" w:hAnsi="Arial" w:cs="Arial"/>
        </w:rPr>
        <w:t>ego</w:t>
      </w:r>
      <w:r w:rsidRPr="002633BB">
        <w:rPr>
          <w:rFonts w:ascii="Arial" w:hAnsi="Arial" w:cs="Arial"/>
        </w:rPr>
        <w:t xml:space="preserve"> widże</w:t>
      </w:r>
      <w:r>
        <w:rPr>
          <w:rFonts w:ascii="Arial" w:hAnsi="Arial" w:cs="Arial"/>
        </w:rPr>
        <w:t>tu</w:t>
      </w:r>
      <w:r w:rsidRPr="002633BB">
        <w:rPr>
          <w:rFonts w:ascii="Arial" w:hAnsi="Arial" w:cs="Arial"/>
        </w:rPr>
        <w:t xml:space="preserve"> Tkinter</w:t>
      </w:r>
      <w:r>
        <w:rPr>
          <w:rFonts w:ascii="Arial" w:hAnsi="Arial" w:cs="Arial"/>
        </w:rPr>
        <w:t>a</w:t>
      </w:r>
      <w:r w:rsidRPr="002633BB">
        <w:rPr>
          <w:rFonts w:ascii="Arial" w:hAnsi="Arial" w:cs="Arial"/>
        </w:rPr>
        <w:t>. Zwraca to ciąg znaków, które może</w:t>
      </w:r>
      <w:r>
        <w:rPr>
          <w:rFonts w:ascii="Arial" w:hAnsi="Arial" w:cs="Arial"/>
        </w:rPr>
        <w:t xml:space="preserve"> wykorzystać opcja walidacji</w:t>
      </w:r>
      <w:r w:rsidRPr="002633BB">
        <w:rPr>
          <w:rFonts w:ascii="Arial" w:hAnsi="Arial" w:cs="Arial"/>
        </w:rPr>
        <w:t xml:space="preserve"> validatecommand.</w:t>
      </w:r>
    </w:p>
    <w:p w14:paraId="202E6419" w14:textId="2EC2E607" w:rsidR="008B09C5" w:rsidRDefault="008B09C5" w:rsidP="00A70CD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jc w:val="both"/>
        <w:rPr>
          <w:rFonts w:ascii="Arial" w:hAnsi="Arial" w:cs="Arial"/>
        </w:rPr>
      </w:pPr>
    </w:p>
    <w:p w14:paraId="1F684BD8" w14:textId="385650E9" w:rsidR="008B09C5" w:rsidRDefault="008B09C5" w:rsidP="00E55CA3">
      <w:pPr>
        <w:ind w:left="360"/>
        <w:jc w:val="both"/>
        <w:rPr>
          <w:rFonts w:ascii="Arial" w:hAnsi="Arial" w:cs="Arial"/>
        </w:rPr>
      </w:pPr>
      <w:r w:rsidRPr="008B09C5">
        <w:rPr>
          <w:rFonts w:ascii="Arial" w:hAnsi="Arial" w:cs="Arial"/>
        </w:rPr>
        <w:lastRenderedPageBreak/>
        <w:t>Oczywiście funkcje walidacyjne nie są zbyt przydatne, chyba że przekażemy jakieś dane do walidacji. Aby to zrobić, dodajemy jeden lub więcej kodów podstawie</w:t>
      </w:r>
      <w:r w:rsidR="004D026E">
        <w:rPr>
          <w:rFonts w:ascii="Arial" w:hAnsi="Arial" w:cs="Arial"/>
        </w:rPr>
        <w:t>niowych</w:t>
      </w:r>
      <w:r w:rsidRPr="008B09C5">
        <w:rPr>
          <w:rFonts w:ascii="Arial" w:hAnsi="Arial" w:cs="Arial"/>
        </w:rPr>
        <w:t xml:space="preserve"> do nasze</w:t>
      </w:r>
      <w:r w:rsidR="004D026E">
        <w:rPr>
          <w:rFonts w:ascii="Arial" w:hAnsi="Arial" w:cs="Arial"/>
        </w:rPr>
        <w:t>j krotki.</w:t>
      </w:r>
    </w:p>
    <w:p w14:paraId="626AC3C6" w14:textId="5765732C" w:rsidR="00E55CA3" w:rsidRDefault="000B3A9E" w:rsidP="00E55CA3">
      <w:pPr>
        <w:ind w:left="360"/>
        <w:jc w:val="both"/>
        <w:rPr>
          <w:rFonts w:ascii="Arial" w:hAnsi="Arial" w:cs="Arial"/>
        </w:rPr>
      </w:pPr>
      <w:r w:rsidRPr="000B3A9E">
        <w:rPr>
          <w:rFonts w:ascii="Arial" w:hAnsi="Arial" w:cs="Arial"/>
        </w:rPr>
        <w:drawing>
          <wp:inline distT="0" distB="0" distL="0" distR="0" wp14:anchorId="66119258" wp14:editId="1AFC2D60">
            <wp:extent cx="5760720" cy="4546600"/>
            <wp:effectExtent l="0" t="0" r="0" b="635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3AC5" w14:textId="50BDBF6C" w:rsidR="000B3A9E" w:rsidRDefault="003C3995" w:rsidP="00E55CA3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Przykład:</w:t>
      </w:r>
    </w:p>
    <w:p w14:paraId="1A657D4F" w14:textId="6FC3E973" w:rsidR="003C3995" w:rsidRDefault="00AD04F9" w:rsidP="00E55CA3">
      <w:pPr>
        <w:ind w:left="360"/>
        <w:jc w:val="both"/>
        <w:rPr>
          <w:rFonts w:ascii="Arial" w:hAnsi="Arial" w:cs="Arial"/>
        </w:rPr>
      </w:pPr>
      <w:r w:rsidRPr="00AD04F9">
        <w:rPr>
          <w:rFonts w:ascii="Arial" w:hAnsi="Arial" w:cs="Arial"/>
        </w:rPr>
        <w:drawing>
          <wp:inline distT="0" distB="0" distL="0" distR="0" wp14:anchorId="49DFCC26" wp14:editId="7922683C">
            <wp:extent cx="5760720" cy="1141095"/>
            <wp:effectExtent l="0" t="0" r="0" b="190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320F" w14:textId="77777777" w:rsidR="004D026E" w:rsidRPr="008B09C5" w:rsidRDefault="004D026E" w:rsidP="008B09C5">
      <w:pPr>
        <w:ind w:left="360"/>
        <w:jc w:val="both"/>
        <w:rPr>
          <w:rFonts w:ascii="Arial" w:hAnsi="Arial" w:cs="Arial"/>
        </w:rPr>
      </w:pPr>
    </w:p>
    <w:p w14:paraId="05FF774F" w14:textId="77777777" w:rsidR="008B09C5" w:rsidRPr="002633BB" w:rsidRDefault="008B09C5" w:rsidP="00A70CD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jc w:val="both"/>
        <w:rPr>
          <w:rFonts w:ascii="Arial" w:hAnsi="Arial" w:cs="Arial"/>
        </w:rPr>
      </w:pPr>
    </w:p>
    <w:p w14:paraId="2ADF0D85" w14:textId="7B76255F" w:rsidR="00A86197" w:rsidRPr="00A858DA" w:rsidRDefault="00655DCA" w:rsidP="00A858DA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A86197" w:rsidRPr="00A858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66E0C"/>
    <w:multiLevelType w:val="hybridMultilevel"/>
    <w:tmpl w:val="49361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B2F96"/>
    <w:multiLevelType w:val="hybridMultilevel"/>
    <w:tmpl w:val="869EFD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EF"/>
    <w:rsid w:val="000A0ABC"/>
    <w:rsid w:val="000A14EE"/>
    <w:rsid w:val="000B3A9E"/>
    <w:rsid w:val="002633BB"/>
    <w:rsid w:val="002751EF"/>
    <w:rsid w:val="0034244E"/>
    <w:rsid w:val="003C3995"/>
    <w:rsid w:val="004078E7"/>
    <w:rsid w:val="004B25C2"/>
    <w:rsid w:val="004C3539"/>
    <w:rsid w:val="004D026E"/>
    <w:rsid w:val="00655DCA"/>
    <w:rsid w:val="00681738"/>
    <w:rsid w:val="007118E5"/>
    <w:rsid w:val="007A5670"/>
    <w:rsid w:val="0080776D"/>
    <w:rsid w:val="008B09C5"/>
    <w:rsid w:val="008E42C7"/>
    <w:rsid w:val="009A431D"/>
    <w:rsid w:val="009E556A"/>
    <w:rsid w:val="00A70CD9"/>
    <w:rsid w:val="00A80EEC"/>
    <w:rsid w:val="00A858DA"/>
    <w:rsid w:val="00A86197"/>
    <w:rsid w:val="00AB4D38"/>
    <w:rsid w:val="00AD04F9"/>
    <w:rsid w:val="00CE1650"/>
    <w:rsid w:val="00E14D3E"/>
    <w:rsid w:val="00E55CA3"/>
    <w:rsid w:val="00ED6F0A"/>
    <w:rsid w:val="00EF06EC"/>
    <w:rsid w:val="00FB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18EEF"/>
  <w15:chartTrackingRefBased/>
  <w15:docId w15:val="{6F5E0BBA-66A9-466A-9090-23C427E1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3424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42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kapitzlist">
    <w:name w:val="List Paragraph"/>
    <w:basedOn w:val="Normalny"/>
    <w:uiPriority w:val="34"/>
    <w:qFormat/>
    <w:rsid w:val="00EF06EC"/>
    <w:pPr>
      <w:ind w:left="720"/>
      <w:contextualSpacing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2633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2633BB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y2iqfc">
    <w:name w:val="y2iqfc"/>
    <w:basedOn w:val="Domylnaczcionkaakapitu"/>
    <w:rsid w:val="00263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5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208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Opiekun</dc:creator>
  <cp:keywords/>
  <dc:description/>
  <cp:lastModifiedBy>Opiekun</cp:lastModifiedBy>
  <cp:revision>29</cp:revision>
  <dcterms:created xsi:type="dcterms:W3CDTF">2026-01-20T08:26:00Z</dcterms:created>
  <dcterms:modified xsi:type="dcterms:W3CDTF">2026-01-20T11:30:00Z</dcterms:modified>
</cp:coreProperties>
</file>