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Agent 项目技术报告</w:t>
      </w:r>
    </w:p>
    <w:p>
      <w:r>
        <w:t>2026 年 9 月 30 日 | 对应 2026 年 9 月 27 日百例封存结果</w:t>
      </w:r>
    </w:p>
    <w:p>
      <w:pPr>
        <w:pStyle w:val="Heading1"/>
      </w:pPr>
      <w:r>
        <w:t>摘要</w:t>
      </w:r>
    </w:p>
    <w:p>
      <w:r>
        <w:t>Cardiac-Agent 是面向心脏超声图像分析的研究原型，集成双时相图像输入、左室心腔分割、面积测量及三角色报告生成与审查。系统将图像计算与语言解释分离，通过结构化证据包连接定量工具与语言模型，保存图像、测量结果、质量控制标记及角色调用记录，以支持结果追溯和失败分析。</w:t>
      </w:r>
    </w:p>
    <w:p>
      <w:r>
        <w:t>基于 CAMUS A4C 双时相图像开展的百例流程验证中，98 例完成数值计算，2 例因空分割失败；整理后的交付目录包含 100 份报告。全百例平均 Dice 为 0.8082；可计算的 98 例 FAC 平均绝对误差为 9.79 个百分点。当前证据支持单轮受约束工作流的工程可行性，尚不足以证明多角色协作的独立收益或临床有效性。</w:t>
      </w:r>
    </w:p>
    <w:p>
      <w:pPr>
        <w:pStyle w:val="Heading1"/>
      </w:pPr>
      <w:r>
        <w:t>研究设计与报告范围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分析层面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评价重点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图像与测量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ED/ES 分割及面积计算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分割重合度、测量偏差与失败率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多角色交互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Planner、Analyst、Reviewer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工具选择、证据一致性与质控约束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案例分析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五类目的性选例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较好结果、误差抵消、漏检与失败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后续验证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医学任务及评价方案待确定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临床终点、独立测试与医生评阅</w:t>
            </w:r>
          </w:p>
        </w:tc>
      </w:tr>
    </w:tbl>
    <w:p>
      <w:pPr>
        <w:spacing w:after="0"/>
      </w:pPr>
    </w:p>
    <w:p>
      <w:r>
        <w:t>报告包括输入与指标定义、系统架构、角色交互机制、百例结果、五例分析以及后续验证需求。五例依据预先说明的筛选规则进行目的性选择，用于分析不同运行状态，不作为随机或临床代表性样本，也不用于重新估计总体性能。</w:t>
      </w:r>
    </w:p>
    <w:p>
      <w:pPr>
        <w:pStyle w:val="Heading1"/>
      </w:pPr>
      <w:r>
        <w:t>阶段性结论</w:t>
      </w:r>
    </w:p>
    <w:p>
      <w:r>
        <w:t>系统已形成从预测分割到定量证据、再到中文报告的可追溯链条。案例分析显示，较小的 FAC 误差可能伴随系统性欠分割，面积顺序合理也不能保证预测区域正确。因此，下一阶段的核心工作是建立可靠的分割质量评价与医学审核标准，并通过对照实验验证角色协作的实际作用。</w:t>
      </w:r>
    </w:p>
    <w:p>
      <w:r>
        <w:t>关键词：心脏超声；左室分割；结构化证据；多角色协作；质量控制。</w:t>
      </w:r>
    </w:p>
    <w:p>
      <w:r>
        <w:br w:type="page"/>
      </w:r>
    </w:p>
    <w:p>
      <w:pPr>
        <w:pStyle w:val="Heading1"/>
      </w:pPr>
      <w:r>
        <w:t>1 数据输入与评价指标</w:t>
      </w:r>
    </w:p>
    <w:p>
      <w:r>
        <w:t>本阶段使用 CAMUS 心脏超声心尖四腔心（A4C）图像，每例包含一张舒张末期（ED）图像和一张收缩末期（ES）图像，不包含完整心动周期视频。人工掩码（mask）中的左室（LV）心腔标签用于独立评价，不作为预测模型或报告生成模块的输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当前用途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和 ES 原图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本地分割模型输入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不提供连续运动轨迹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预测 LV 二值 mask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面积计算与可视化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与人工标注独立保存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人工 LV mask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Dice、IoU 与参考 FAC 计算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不进入 Agent 上下文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结构化测量证据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Analyst 和 Reviewer 的依据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不替代图像质量审查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中文报告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对证据及局限的研究性解释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不构成临床诊断</w:t>
            </w:r>
          </w:p>
        </w:tc>
      </w:tr>
    </w:tbl>
    <w:p>
      <w:pPr>
        <w:spacing w:after="0"/>
      </w:pPr>
    </w:p>
    <w:p>
      <w:pPr>
        <w:pStyle w:val="Heading1"/>
      </w:pPr>
      <w:r>
        <w:t>指标定义</w:t>
      </w:r>
    </w:p>
    <w:p>
      <w:r>
        <w:t>面积 A 为预测 mask 的非零像素数，单位为像素。代码支持在具备可靠像素间距时计算物理面积；本报告中的像素计数未转换为平方毫米。</w:t>
      </w:r>
    </w:p>
    <w:p>
      <w:r>
        <w:t>面积比 R = A_ES / A_ED。</w:t>
      </w:r>
    </w:p>
    <w:p>
      <w:r>
        <w:t>FAC = 100 × (A_ED − A_ES) / A_ED，单位为百分比。这里的 FAC 是双帧心腔面积变化率，不是左室射血分数 LVEF。FAC 绝对误差以百分点 pp 表示，例如 30% 与 20% 相差 10 pp。</w:t>
      </w:r>
    </w:p>
    <w:p>
      <w:r>
        <w:t>Dice = 2 × 预测与人工交集 / 两者像素数之和；IoU = 交集 / 并集。展示页的“平均 Dice”先对单例 ED、ES 求均值；批次均值再对病例求均值。数值接近不能替代轮廓空间重合的检查。</w:t>
      </w:r>
    </w:p>
    <w:p>
      <w:pPr>
        <w:pStyle w:val="Heading1"/>
      </w:pPr>
      <w:r>
        <w:t>输入不足时的处理</w:t>
      </w:r>
    </w:p>
    <w:p>
      <w:r>
        <w:t>ES mask 为空时不输出 FAC 或面积比，避免把无法分割误写为完全收缩。ES 面积不小于 ED 时触发顺序异常质控，并要求人工复核。仅凭双帧心腔面积，不能判断局部室壁运动正常或异常。</w:t>
      </w:r>
    </w:p>
    <w:p>
      <w:r>
        <w:t>面积变化指标与后续医学研究终点的对应关系仍需确定。若研究转向体积或时序功能评价，应补充相应输入、测量协议与验证参照；现有 FAC 结果不能直接替代 LVEF。</w:t>
      </w:r>
    </w:p>
    <w:p>
      <w:r>
        <w:br w:type="page"/>
      </w:r>
    </w:p>
    <w:p>
      <w:pPr>
        <w:pStyle w:val="Heading1"/>
      </w:pPr>
      <w:r>
        <w:t>2 系统架构与模块职责</w:t>
      </w:r>
    </w:p>
    <w:p>
      <w:r>
        <w:t>流程主线如下；人工参考评价是旁路，不回流到语言模型。</w:t>
      </w:r>
    </w:p>
    <w:p>
      <w:r>
        <w:t>输入 ED/ES 原图与元信息</w:t>
      </w:r>
    </w:p>
    <w:p>
      <w:r>
        <w:t>↓ Planner 读取元信息，选择面积分析或附加探索性光流</w:t>
      </w:r>
    </w:p>
    <w:p>
      <w:r>
        <w:t>↓ 本地 EchoNet DeepLabV3 ResNet50 分割 → ED/ES 预测 mask</w:t>
      </w:r>
    </w:p>
    <w:p>
      <w:r>
        <w:t>↓ 确定性工具计算面积与 FAC → QC 标记 → 结构化证据包</w:t>
      </w:r>
    </w:p>
    <w:p>
      <w:r>
        <w:t>↓ Analyst 读取计划与证据 → 生成报告草稿</w:t>
      </w:r>
    </w:p>
    <w:p>
      <w:r>
        <w:t>↓ Reviewer 读取同一证据与草稿 → 生成最终报告及 limited/refer</w:t>
      </w:r>
    </w:p>
    <w:p>
      <w:r>
        <w:t>↓ 程序执行硬性 QC 约束 → 保存图像、数值、报告和角色记录</w:t>
      </w:r>
    </w:p>
    <w:p>
      <w:r>
        <w:t>独立评价旁路：预测 mask + 人工 LV mask → Dice/IoU 与 FAC 参考误差 → 评估文件和展示对照图。</w:t>
      </w:r>
    </w:p>
    <w:p>
      <w:pPr>
        <w:pStyle w:val="Heading1"/>
      </w:pPr>
      <w:r>
        <w:t>模块职责与代码定位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主要文件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数据与契约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camus.py / schemas.py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CAMUS 转换、时相与输入结构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分割工具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roi.py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加载分割模型并生成 mask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测量与证据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function.py / pipeline.py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面积、可选光流、QC、证据与来源记录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局部运动接口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rwma.py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未部署有效分类器时明确不可用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API 与角色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explanation.py / discussion.py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API 调用、三个角色、结构与数值检查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独立评估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evaluation.py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预测与人工标注比较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批次与审计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scripts/three_role_batch.py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批量编排；配合失败整理与审计脚本</w:t>
            </w:r>
          </w:p>
        </w:tc>
      </w:tr>
    </w:tbl>
    <w:p>
      <w:pPr>
        <w:spacing w:after="0"/>
      </w:pPr>
    </w:p>
    <w:p>
      <w:r>
        <w:t>表中普通文件位于 src/cardiac_agent/。本次新增 scripts/build_clinical_demo.py 和 demo/clinical_review/，只读取既有结果并构建离线展示，不改变上述推理逻辑。</w:t>
      </w:r>
    </w:p>
    <w:p>
      <w:r>
        <w:t>计算部署：分割在服务器本地执行；语言模型通过 API 调用。演示回放不需要 GPU、API key 或模型服务。原图和人工标注不发给语言模型。</w:t>
      </w:r>
    </w:p>
    <w:p>
      <w:r>
        <w:br w:type="page"/>
      </w:r>
    </w:p>
    <w:p>
      <w:pPr>
        <w:pStyle w:val="Heading1"/>
      </w:pPr>
      <w:r>
        <w:t>3 三角色交互与执行约束</w:t>
      </w:r>
    </w:p>
    <w:p>
      <w:r>
        <w:t>三角色本轮使用相同的 Qwen/Qwen3-30B-A3B-Instruct-2507，服务来自 SiliconFlow。它们是不同角色提示和输入上下文下的三次调用，不是三个独立训练的模型。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输入信息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输出与权限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视图、尺寸、ED/ES 信息、可用工具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none/farneback 与分析重点；不能看图诊断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Analyst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计划、程序算出的数值、QC 与固定局限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保留原数值的 evidence 和中文草稿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同一证据包及 Analyst 草稿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最终文字、concerns、limited 或 refer</w:t>
            </w:r>
          </w:p>
        </w:tc>
      </w:tr>
    </w:tbl>
    <w:p>
      <w:pPr>
        <w:spacing w:after="0"/>
      </w:pPr>
    </w:p>
    <w:p>
      <w:r>
        <w:t>本轮每例只有 Planner → 工具 → Analyst → Reviewer 一次顺序执行。Reviewer 不重新调用分割工具，不启动第二轮讨论。百例中 Planner 全部选择 none / area_only，因此没有通过这批数据验证工具规划的多样性或光流带来的收益。</w:t>
      </w:r>
    </w:p>
    <w:p>
      <w:pPr>
        <w:pStyle w:val="Heading1"/>
      </w:pPr>
      <w:r>
        <w:t>程序约束与剩余盲点</w:t>
      </w:r>
    </w:p>
    <w:p>
      <w:r>
        <w:t>程序要求报告中的 evidence 字典与输入完全一致，并校验文字中的阿拉伯数字是否可由输入数值按规定舍入得到。该检查能防止一部分数值捏造，但不能证明单位、因果关系、比值方向或中文数量表达都正确。</w:t>
      </w:r>
    </w:p>
    <w:p>
      <w:r>
        <w:t>触边、面积不递减等阻断 QC 会强制最终状态为 refer；模型不能将其改为放行。limited 只表示受限研究输出，不表示临床正常；refer 表示需要人工复核，不表示阳性疾病。</w:t>
      </w:r>
    </w:p>
    <w:p>
      <w:r>
        <w:t>角色请求与回应、请求哈希、模型信息和调用遥测均保留。相同请求可复用缓存，已失败的角色尝试不自动重放，以避免把重试伪装成一次讨论。这是过程缓存，不是长期记忆。</w:t>
      </w:r>
    </w:p>
    <w:p>
      <w:pPr>
        <w:pStyle w:val="Heading1"/>
      </w:pPr>
      <w:r>
        <w:t>自主性与能力边界</w:t>
      </w:r>
    </w:p>
    <w:p>
      <w:r>
        <w:t>尚无自由多 Agent 辩论、自主修复闭环、经验证的 RWMA 分类器、临床知识检索或长期病例记忆。Farneback 接口只支持探索性稀疏心腔运动，不等同于心肌应变。三角色提示不同也不意味着审查意见相互独立。</w:t>
      </w:r>
    </w:p>
    <w:p>
      <w:r>
        <w:t>当前 Agent 的自主性主要体现为有限工具选择与证据审查。扩大工具权限或增加讨论轮数前，需要通过与单次报告生成的对照实验，评估其对事实一致性、失败检出和调用成本的影响。</w:t>
      </w:r>
    </w:p>
    <w:p>
      <w:r>
        <w:br w:type="page"/>
      </w:r>
    </w:p>
    <w:p>
      <w:pPr>
        <w:pStyle w:val="Heading1"/>
      </w:pPr>
      <w:r>
        <w:t>4 百例结果与评价口径</w:t>
      </w:r>
    </w:p>
    <w:p>
      <w:r>
        <w:t>结果来自 three-role-100-20260927-delivery；原始实验目录保持不变。下列数字衡量流程与分割结果，不是临床诊断准确率。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分母或解释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数值计算完成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 个请求病例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空 ES mask 失败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patient0033、patient0068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最终报告齐全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 份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含 2 份明确失败报告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三角色调用记录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300 次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每例各 1 次，每次 HTTP 尝试为 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全部病例平均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0.8082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包括失败，共 100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全部病例平均 IoU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0.7009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包括失败，共 100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完成计算病例平均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0.8185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完成计算病例平均 IoU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0.7107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平均绝对误差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9.79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仅可计算的 98 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强制人工复核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例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个面积顺序异常及 2 个空 mask</w:t>
            </w:r>
          </w:p>
        </w:tc>
      </w:tr>
    </w:tbl>
    <w:p>
      <w:pPr>
        <w:spacing w:after="0"/>
      </w:pPr>
    </w:p>
    <w:p>
      <w:r>
        <w:t>完整性审计核验了 2599 个文件，并确认原图 200 张、二值预测 200 张、叠加图 200 张与 100 份报告。完整性通过只说明产物和记录一致，审计没有检查临床正确性。</w:t>
      </w:r>
    </w:p>
    <w:p>
      <w:r>
        <w:t>两个空 mask 病例在独立交付整理阶段导出诊断性分割结果，并补齐尚未执行的 Analyst/Reviewer，已缓存的 Planner 不重跑。人工 mask 没有用于修补预测；失败病例仍不计入 FAC 误差的有效分母。</w:t>
      </w:r>
    </w:p>
    <w:p>
      <w:pPr>
        <w:pStyle w:val="Heading1"/>
      </w:pPr>
      <w:r>
        <w:t>实验设计的局限</w:t>
      </w:r>
    </w:p>
    <w:p>
      <w:r>
        <w:t>首批 3 例曾用于开发且包含在百例中，本批不能称为独立留出测试。patient0033 与 patient0068 的 ED 图像哈希相同，ES 不同；100 对 ED/ES 的组合不同，但划分数据时仍需检查重复图像和患者来源。</w:t>
      </w:r>
    </w:p>
    <w:p>
      <w:r>
        <w:t>当前尚未开展匹配预算的单 Agent、固定流水线和三角色对照，也未进行医生盲评及临床终点标签验证。因此，本批结果属于可追溯流程的工程验证，不能据此推断多 Agent 对临床准确率的改善。</w:t>
      </w:r>
    </w:p>
    <w:p>
      <w:r>
        <w:br w:type="page"/>
      </w:r>
    </w:p>
    <w:p>
      <w:pPr>
        <w:pStyle w:val="Heading1"/>
      </w:pPr>
      <w:r>
        <w:t>5 较好结果与误差抵消</w:t>
      </w:r>
    </w:p>
    <w:p>
      <w:pPr>
        <w:pStyle w:val="Heading2"/>
      </w:pPr>
      <w:r>
        <w:t>patient0020 完整链条示例</w:t>
      </w:r>
    </w:p>
    <w:p>
      <w:r>
        <w:t>筛选规则：当前 QC 未触发、最终 limited 且 FAC 绝对误差不超过 5 pp 的病例中，选择 Dice 最高者。5 pp 仅为演示筛选规则，不是临床阈值。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43169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45007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30343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32117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29.7111%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28.6400%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0.9543 / 0.9192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0.9368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1.07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状态 limited</w:t>
            </w:r>
          </w:p>
        </w:tc>
      </w:tr>
    </w:tbl>
    <w:p>
      <w:pPr>
        <w:spacing w:after="0"/>
      </w:pPr>
    </w:p>
    <w:p>
      <w:r>
        <w:t>原图、预测叠加和双轮廓对照形成了该例的图像证据。面积及 FAC 来自预测 mask；人工轮廓仅用于独立评价。三个角色的原始记录保留了计划、证据到报告的传递过程。</w:t>
      </w:r>
    </w:p>
    <w:p>
      <w:r>
        <w:t>该例预测与人工轮廓具有较高重合度，FAC 与人工参考较为接近，可用于说明完整处理链条在较好分割条件下的输出特征。其选择具有明确目的性，不代表全体病例表现。</w:t>
      </w:r>
    </w:p>
    <w:p>
      <w:pPr>
        <w:pStyle w:val="Heading2"/>
      </w:pPr>
      <w:r>
        <w:t>patient0004 两相位同时少分</w:t>
      </w:r>
    </w:p>
    <w:p>
      <w:r>
        <w:t>筛选规则：选择 Dice 最接近完成计算的 98 例中位数的 QC 清洁病例。该批中位数为 0.8616；本例均值为 0.8622。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24049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31799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14154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18605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41.1452%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41.4919%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0.35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状态 limited</w:t>
            </w:r>
          </w:p>
        </w:tc>
      </w:tr>
    </w:tbl>
    <w:p>
      <w:pPr>
        <w:spacing w:after="0"/>
      </w:pPr>
    </w:p>
    <w:p>
      <w:r>
        <w:t>两相位都少分了约四分之一，面积比却相近。说明 FAC 误差小可能来自误差抵消，不一定表示边界分割准确。接近本批中位数，也不意味着具有临床代表性。</w:t>
      </w:r>
    </w:p>
    <w:p>
      <w:r>
        <w:t>该结果提示，后续评价宜同时考虑分割边界、测量偏差和失败检出能力，避免仅依据面积变化误差评价系统质量。</w:t>
      </w:r>
    </w:p>
    <w:p>
      <w:r>
        <w:br w:type="page"/>
      </w:r>
    </w:p>
    <w:p>
      <w:pPr>
        <w:pStyle w:val="Heading1"/>
      </w:pPr>
      <w:r>
        <w:t>6 当前 QC 的盲点与有效拦截</w:t>
      </w:r>
    </w:p>
    <w:p>
      <w:pPr>
        <w:pStyle w:val="Heading2"/>
      </w:pPr>
      <w:r>
        <w:t>patient0042 报告流畅但分割严重偏差</w:t>
      </w:r>
    </w:p>
    <w:p>
      <w:r>
        <w:t>筛选规则：当前 QC 未触发且最终 limited 的病例中，选择平均 Dice 最低者。这一例用于暴露盲点，而不是展示整体均值。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17990 / 12078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31269 / 24566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32.8627%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21.4366%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0.6294 / 0.0868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0.3581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绝对误差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11.43 pp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limited；当前 QC 未触发</w:t>
            </w:r>
          </w:p>
        </w:tc>
      </w:tr>
    </w:tbl>
    <w:p>
      <w:pPr>
        <w:spacing w:after="0"/>
      </w:pPr>
    </w:p>
    <w:p>
      <w:r>
        <w:t>ES 双轮廓对照显示，虽然预测像素数量仍满足 ES 小于 ED，但预测区域与人工区域的重合度很低。Reviewer 的输入不包含原图或人工 Dice，仅依靠数值顺序无法识别这类空间错误。</w:t>
      </w:r>
    </w:p>
    <w:p>
      <w:r>
        <w:t>原报告中的比值表述应按结构化字段 ES/ED 理解，不能把文字中含混的“ED 与 ES 面积比值”当作定义。页面保留原报告，并把这项解释放在独立旁注中。</w:t>
      </w:r>
    </w:p>
    <w:p>
      <w:r>
        <w:t>该例反映了现有证据接口的不足：语言审查无法补足未被提供的图像质量信息。后续可引入不依赖人工标签的分割质量评估，并检验 Agent 对质量信号的使用是否改善错误检出。</w:t>
      </w:r>
    </w:p>
    <w:p>
      <w:pPr>
        <w:pStyle w:val="Heading2"/>
      </w:pPr>
      <w:r>
        <w:t>patient0039 顺序异常被强制转人工</w:t>
      </w:r>
    </w:p>
    <w:p>
      <w:r>
        <w:t>筛选规则：完成计算且被 QC 转人工的病例中，选择平均 Dice 最低者。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18989 / 27515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34118 / 19433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−44.8997%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43.0418%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0.0088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FAC 误差 87.94 pp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处置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refer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面积顺序 QC 强制复核</w:t>
            </w:r>
          </w:p>
        </w:tc>
      </w:tr>
    </w:tbl>
    <w:p>
      <w:pPr>
        <w:spacing w:after="0"/>
      </w:pPr>
    </w:p>
    <w:p>
      <w:r>
        <w:t>负 FAC 是程序对异常预测面积按公式计算的结果，不是负射血分数，更不是疾病结论。需要医生回看图像核查分割和时相。该例证明一条规则能够发现某类异常，但不能推论它能覆盖上一例那样的空间错位。</w:t>
      </w:r>
    </w:p>
    <w:p>
      <w:r>
        <w:br w:type="page"/>
      </w:r>
    </w:p>
    <w:p>
      <w:pPr>
        <w:pStyle w:val="Heading1"/>
      </w:pPr>
      <w:r>
        <w:t>7 空分割及报告语义问题</w:t>
      </w:r>
    </w:p>
    <w:p>
      <w:pPr>
        <w:pStyle w:val="Heading2"/>
      </w:pPr>
      <w:r>
        <w:t>patient0033 空分割与失败记录</w:t>
      </w:r>
    </w:p>
    <w:p>
      <w:r>
        <w:t>筛选规则：按病例编号选择第一个已生成失败报告的空 mask 病例。它的 ES 二值图为全零，预测叠加图中没有绿色区域，并非展示页加载失败。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预测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人工参考或独立评价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13461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31077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ES 心腔像素数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13219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ED / ES Dice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0.6045 / 0.0000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平均 0.3022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模型 FAC 与面积比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不可用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人工参考仅用于独立评价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处置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refer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空预测 mask，工具失败报告</w:t>
            </w:r>
          </w:p>
        </w:tc>
      </w:tr>
    </w:tbl>
    <w:p>
      <w:pPr>
        <w:spacing w:after="0"/>
      </w:pPr>
    </w:p>
    <w:p>
      <w:r>
        <w:t>ES 二值预测为空，而人工参考中仍存在心腔区域。系统保留了该失败状态，并将 FAC 与面积比标为不可用，未使用人工 mask 替换预测，也未将空 mask 错误解释为 FAC 等于 100%。</w:t>
      </w:r>
    </w:p>
    <w:p>
      <w:pPr>
        <w:pStyle w:val="Heading1"/>
      </w:pPr>
      <w:r>
        <w:t>原始报告的语义偏差</w:t>
      </w:r>
    </w:p>
    <w:p>
      <w:r>
        <w:t>原文称“ED相位掩码有效”。现有证据最多支持它非空，不能据此说分割准确。本例 ED Dice 为 0.6045，必须区分格式或可计算性与解剖准确性。</w:t>
      </w:r>
    </w:p>
    <w:p>
      <w:r>
        <w:t>原文把 RWMA 不可用归因于输入缺失，也不完整。当前项目实际上没有部署经验证的 RWMA 分类器，即使分割成功，也不能生成可靠的局部室壁运动分类。</w:t>
      </w:r>
    </w:p>
    <w:p>
      <w:r>
        <w:t>上述句子作为原模型输出予以保留。独立分析说明与原始报告分开记录，不作为模型修订结果。该例表明，保持 evidence 数值一致并不能保证解释语义正确。</w:t>
      </w:r>
    </w:p>
    <w:p>
      <w:pPr>
        <w:pStyle w:val="Heading1"/>
      </w:pPr>
      <w:r>
        <w:t>失败状态建模建议</w:t>
      </w:r>
    </w:p>
    <w:p>
      <w:r>
        <w:t>建议将可计算、分割可信和临床可解释分为不同状态；报告中分别列出“工具未部署”“输入不足”“QC 阻断”。对失败原因采用可追踪错误码，并检查模型文字是否与错误码一致。</w:t>
      </w:r>
    </w:p>
    <w:p>
      <w:r>
        <w:t>完整评价应同时报告总请求数、测量成功数、失败原因和条件性能。保留失败病例有助于避免仅统计成功样本造成的选择偏倚。</w:t>
      </w:r>
    </w:p>
    <w:p>
      <w:r>
        <w:br w:type="page"/>
      </w:r>
    </w:p>
    <w:p>
      <w:pPr>
        <w:pStyle w:val="Heading1"/>
      </w:pPr>
      <w:r>
        <w:t>8 结果组织与复现方式</w:t>
      </w:r>
    </w:p>
    <w:p>
      <w:r>
        <w:t>配套展示页用于既有结果的离线查阅，不执行实时推理。图像和角色记录保存在服务器持久化目录，查阅时无需 GPU 或语言模型 API。</w:t>
      </w:r>
    </w:p>
    <w:p>
      <w:r>
        <w:t>演示目录：/root/autodl-tmp/Cardiac-Agent/runs/clinical-demo-20260930</w:t>
      </w:r>
    </w:p>
    <w:p>
      <w:r>
        <w:t>压缩包：/root/autodl-tmp/cardiac-clinical-demo-20260930.zip</w:t>
      </w:r>
    </w:p>
    <w:p>
      <w:r>
        <w:t>展示页入口为 index.html，依赖同目录的 cases.js、样式、脚本及 cases 子目录。完整目录可由浏览器直接打开，无需启动后端服务或安装 Python。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4819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五例切换、ED/ES 图像、证据及角色输出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Cardiac-Agent_医工演示讲解稿.docx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原始展示包中的历史讲解稿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cases/patientXXXX/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原图、预测 mask、叠加、人工对照、原报告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selected_cases.csv / selection.json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所选病例指标、规则及源结果指纹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all_100_cases_index.csv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全百例索引，避免只看展示样本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checksums.json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演示文件完整性清单</w:t>
            </w:r>
          </w:p>
        </w:tc>
      </w:tr>
    </w:tbl>
    <w:p>
      <w:pPr>
        <w:spacing w:after="0"/>
      </w:pPr>
    </w:p>
    <w:p>
      <w:pPr>
        <w:pStyle w:val="Heading1"/>
      </w:pPr>
      <w:r>
        <w:t>图像与记录的组织</w:t>
      </w:r>
    </w:p>
    <w:p>
      <w:r>
        <w:t>每例按 ED 和 ES 分组展示原图、绿色预测叠加及双轮廓对照。青色表示预测轮廓，橙色表示人工 LV 轮廓。人工对照用于结果分析与独立评价，未进入 Agent 的输入上下文。</w:t>
      </w:r>
    </w:p>
    <w:p>
      <w:r>
        <w:t>病例记录依次关联原始图像、预测结果、独立评价及模型报告。三个角色的输出单独保存，结构化记录支持回查请求与响应。页面补充说明与原模型报告分开呈现，以保留证据来源。</w:t>
      </w:r>
    </w:p>
    <w:p>
      <w:pPr>
        <w:pStyle w:val="Heading1"/>
      </w:pPr>
      <w:r>
        <w:t>复现与保存边界</w:t>
      </w:r>
    </w:p>
    <w:p>
      <w:r>
        <w:t>代码环境使用 cardiac-agent-gpu；导出脚本本身无需 GPU。已有封存结果的哈希在导出前后校验，导出不修改原始百例、不重跑模型、也不发 API 请求。</w:t>
      </w:r>
    </w:p>
    <w:p>
      <w:r>
        <w:t>GitHub 仅存放框架、静态展示模板和技术文档，不包含真实病例展示包。本报告不嵌入实验图像；真实病例文件保留在服务器，由项目负责人依据数据使用许可管理。报告修订与原始封存结果分开保存。</w:t>
      </w:r>
    </w:p>
    <w:p>
      <w:r>
        <w:br w:type="page"/>
      </w:r>
    </w:p>
    <w:p>
      <w:pPr>
        <w:pStyle w:val="Heading1"/>
      </w:pPr>
      <w:r>
        <w:t>9 医学验证需求与后续工作</w:t>
      </w:r>
    </w:p>
    <w:p>
      <w:pPr>
        <w:pStyle w:val="Heading2"/>
      </w:pPr>
      <w:r>
        <w:t>研究终点</w:t>
      </w:r>
    </w:p>
    <w:p>
      <w:r>
        <w:t>分割质控、定量测量解释和局部室壁运动异常（RWMA）判别对应不同的输入与标签需求。后续需由医学合作方共同确定优先研究终点、目标解剖结构、视图、疾病范围及预期使用者，据此制定完整视频、多视图或其他临床信息的采集方案。</w:t>
      </w:r>
    </w:p>
    <w:p>
      <w:pPr>
        <w:pStyle w:val="Heading2"/>
      </w:pPr>
      <w:r>
        <w:t>统一标注和测量协议</w:t>
      </w:r>
    </w:p>
    <w:p>
      <w:r>
        <w:t>待确认内容包括 LV 边界标注口径、ED/ES 选帧规则、像素间距可靠性、多位医生标注及争议仲裁机制，以及 FAC 的适用参照。临床分层阈值需具有明确依据，不由语言模型自行设定。</w:t>
      </w:r>
    </w:p>
    <w:p>
      <w:pPr>
        <w:pStyle w:val="Heading2"/>
      </w:pPr>
      <w:r>
        <w:t>拒答与人工复核标准</w:t>
      </w:r>
    </w:p>
    <w:p>
      <w:r>
        <w:t>医学评阅需覆盖分割可接受性、测量可用性、必须拦截的错误类型及可能产生误导的报告措辞。“数值合理但区域错误”的病例是重点分析对象，可用于制定形状、视图、置信度或时序一致性质量评价标准。</w:t>
      </w:r>
    </w:p>
    <w:p>
      <w:pPr>
        <w:pStyle w:val="Heading2"/>
      </w:pPr>
      <w:r>
        <w:t>设计报告评价</w:t>
      </w:r>
    </w:p>
    <w:p>
      <w:r>
        <w:t>建议盲评事实一致性、错误归因、限制说明、遗漏和潜在误导，同时记录修改时间。把结构化 evidence 的正确性与自由文字的正确性分开评分，并制定“有效”“不可用”“异常”等词的允许含义。</w:t>
      </w:r>
    </w:p>
    <w:p>
      <w:pPr>
        <w:pStyle w:val="Heading1"/>
      </w:pPr>
      <w:r>
        <w:t>下一阶段优先顺序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855"/>
      </w:tblGrid>
      <w:tr>
        <w:trPr>
          <w:cantSplit/>
          <w:tblHeader/>
        </w:trPr>
        <w:tc>
          <w:tcPr>
            <w:tcW w:type="dxa" w:w="283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948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3855"/>
            <w:shd w:fill="E9EEF0"/>
          </w:tcPr>
          <w:p>
            <w:pPr>
              <w:spacing w:after="80" w:before="80"/>
            </w:pPr>
            <w:r>
              <w:rPr>
                <w:b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统一任务与医生评阅表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明确终点、标签、不可接受错误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增加分割质量信号与错误原因校验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能否识别类似 0042 的漏检与 0033 的错因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固定患者划分并清理重复图像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开发、验证、测试隔离；保留失败分母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固定流程、单角色、三角色对照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匹配模型、工具与调用预算；比较质量和成本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有界修复与条件重试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明确最多次数、可用工具、停止与转人工条件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经审核的知识与长期记忆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先存协议和纠错规则，避免传播未经确认的病例结论</w:t>
            </w:r>
          </w:p>
        </w:tc>
      </w:tr>
    </w:tbl>
    <w:p>
      <w:pPr>
        <w:spacing w:after="0"/>
      </w:pPr>
    </w:p>
    <w:p>
      <w:r>
        <w:t>综合当前结果，系统已具备证据到报告的可追溯处理能力。后续重点是将医学质量标准转化为可执行的检查与处置规则，并通过独立数据、匹配预算的对照实验和医生评阅验证错误减少的程度。</w:t>
      </w:r>
    </w:p>
    <w:p>
      <w:r>
        <w:t>依据：封存结果 summary.json、results.json、完整性审计输出及五例原始报告；实现文件 discussion.py、pipeline.py、function.py、roi.py、rwma.py 和 evaluation.py。本报告中的优化建议属于后续研究计划，不代表已实现能力。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Cardiac-Agent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Cardiac Agent 项目技术报告</dc:title>
  <dc:subject/>
  <dc:creator>Cardiac-Agent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