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jc w:val="both"/>
        <w:rPr>
          <w:b/>
          <w:bCs/>
          <w:color w:val="9E1435"/>
          <w:sz w:val="20"/>
          <w:szCs w:val="20"/>
        </w:rPr>
      </w:pPr>
      <w:r>
        <w:rPr>
          <w:b/>
          <w:bCs/>
          <w:color w:val="9E1435"/>
          <w:sz w:val="20"/>
          <w:szCs w:val="20"/>
        </w:rPr>
        <w:t>Patient characteristics of entire cohort</w:t>
      </w:r>
      <w:r>
        <w:rPr>
          <w:rFonts w:hint="eastAsia" w:ascii="宋体" w:hAnsi="宋体" w:eastAsia="宋体" w:cs="宋体"/>
          <w:b/>
          <w:bCs/>
          <w:color w:val="9E1435"/>
          <w:sz w:val="20"/>
          <w:szCs w:val="20"/>
        </w:rPr>
        <w:t>总览</w:t>
      </w:r>
    </w:p>
    <w:p>
      <w:pPr>
        <w:jc w:val="both"/>
        <w:rPr>
          <w:rFonts w:eastAsia="宋体"/>
          <w:color w:val="000000"/>
          <w:sz w:val="20"/>
          <w:szCs w:val="20"/>
        </w:rPr>
      </w:pPr>
      <w:r>
        <w:rPr>
          <w:rFonts w:eastAsia="宋体"/>
          <w:color w:val="000000"/>
          <w:sz w:val="20"/>
          <w:szCs w:val="20"/>
        </w:rPr>
        <w:t xml:space="preserve">Among </w:t>
      </w:r>
      <w:r>
        <w:rPr>
          <w:rFonts w:hint="default" w:eastAsia="宋体"/>
          <w:color w:val="000000"/>
          <w:sz w:val="20"/>
          <w:szCs w:val="20"/>
          <w:lang w:val="en-US"/>
        </w:rPr>
        <w:t>934</w:t>
      </w:r>
      <w:r>
        <w:rPr>
          <w:rFonts w:eastAsia="宋体"/>
          <w:color w:val="000000"/>
          <w:sz w:val="20"/>
          <w:szCs w:val="20"/>
        </w:rPr>
        <w:t xml:space="preserve"> patients (</w:t>
      </w:r>
      <w:r>
        <w:rPr>
          <w:rFonts w:hint="default" w:eastAsia="宋体"/>
          <w:color w:val="000000"/>
          <w:sz w:val="20"/>
          <w:szCs w:val="20"/>
          <w:lang w:val="en-US"/>
        </w:rPr>
        <w:t>65.10</w:t>
      </w:r>
      <w:r>
        <w:rPr>
          <w:rFonts w:eastAsia="宋体"/>
          <w:color w:val="000000"/>
          <w:sz w:val="20"/>
          <w:szCs w:val="20"/>
        </w:rPr>
        <w:t>% male; 85</w:t>
      </w:r>
      <w:r>
        <w:rPr>
          <w:rFonts w:hint="default" w:eastAsia="宋体"/>
          <w:color w:val="000000"/>
          <w:sz w:val="20"/>
          <w:szCs w:val="20"/>
          <w:lang w:val="en-US"/>
        </w:rPr>
        <w:t>.97</w:t>
      </w:r>
      <w:r>
        <w:rPr>
          <w:rFonts w:eastAsia="宋体"/>
          <w:color w:val="000000"/>
          <w:sz w:val="20"/>
          <w:szCs w:val="20"/>
        </w:rPr>
        <w:t>% in Asia) with overall survival, median follow-up was 2</w:t>
      </w:r>
      <w:r>
        <w:rPr>
          <w:rFonts w:hint="default" w:eastAsia="宋体"/>
          <w:color w:val="000000"/>
          <w:sz w:val="20"/>
          <w:szCs w:val="20"/>
          <w:lang w:val="en-US"/>
        </w:rPr>
        <w:t>2</w:t>
      </w:r>
      <w:r>
        <w:rPr>
          <w:rFonts w:eastAsia="宋体"/>
          <w:color w:val="000000"/>
          <w:sz w:val="20"/>
          <w:szCs w:val="20"/>
        </w:rPr>
        <w:t xml:space="preserve"> months (range 0–258.4), during which time there were 1</w:t>
      </w:r>
      <w:r>
        <w:rPr>
          <w:rFonts w:hint="default" w:eastAsia="宋体"/>
          <w:color w:val="000000"/>
          <w:sz w:val="20"/>
          <w:szCs w:val="20"/>
          <w:lang w:val="en-US"/>
        </w:rPr>
        <w:t>79</w:t>
      </w:r>
      <w:r>
        <w:rPr>
          <w:rFonts w:eastAsia="宋体"/>
          <w:color w:val="000000"/>
          <w:sz w:val="20"/>
          <w:szCs w:val="20"/>
        </w:rPr>
        <w:t xml:space="preserve"> (</w:t>
      </w:r>
      <w:r>
        <w:rPr>
          <w:rFonts w:hint="default" w:eastAsia="宋体"/>
          <w:color w:val="000000"/>
          <w:sz w:val="20"/>
          <w:szCs w:val="20"/>
          <w:lang w:val="en-US"/>
        </w:rPr>
        <w:t>19.14</w:t>
      </w:r>
      <w:r>
        <w:rPr>
          <w:rFonts w:eastAsia="宋体"/>
          <w:color w:val="000000"/>
          <w:sz w:val="20"/>
          <w:szCs w:val="20"/>
        </w:rPr>
        <w:t xml:space="preserve">%) deaths. Median overall survival </w:t>
      </w:r>
      <w:r>
        <w:rPr>
          <w:rFonts w:eastAsia="宋体"/>
          <w:color w:val="000000"/>
          <w:sz w:val="20"/>
          <w:szCs w:val="20"/>
          <w:lang w:val="en-US"/>
        </w:rPr>
        <w:t xml:space="preserve">time </w:t>
      </w:r>
      <w:r>
        <w:rPr>
          <w:rFonts w:eastAsia="宋体"/>
          <w:color w:val="000000"/>
          <w:sz w:val="20"/>
          <w:szCs w:val="20"/>
        </w:rPr>
        <w:t xml:space="preserve">was </w:t>
      </w:r>
      <w:r>
        <w:rPr>
          <w:rFonts w:hint="default" w:eastAsia="宋体"/>
          <w:color w:val="000000"/>
          <w:sz w:val="20"/>
          <w:szCs w:val="20"/>
          <w:lang w:val="en-US"/>
        </w:rPr>
        <w:t>22</w:t>
      </w:r>
      <w:r>
        <w:rPr>
          <w:rFonts w:eastAsia="宋体"/>
          <w:color w:val="000000"/>
          <w:sz w:val="20"/>
          <w:szCs w:val="20"/>
          <w:lang w:val="en-US"/>
        </w:rPr>
        <w:t xml:space="preserve"> months, and</w:t>
      </w:r>
      <w:r>
        <w:rPr>
          <w:rFonts w:eastAsia="宋体"/>
          <w:color w:val="000000"/>
          <w:sz w:val="20"/>
          <w:szCs w:val="20"/>
        </w:rPr>
        <w:t xml:space="preserve"> </w:t>
      </w:r>
      <w:r>
        <w:rPr>
          <w:rFonts w:eastAsia="宋体"/>
          <w:color w:val="000000"/>
          <w:sz w:val="20"/>
          <w:szCs w:val="20"/>
          <w:lang w:val="en-US"/>
        </w:rPr>
        <w:t>the f</w:t>
      </w:r>
      <w:r>
        <w:rPr>
          <w:rFonts w:eastAsia="宋体"/>
          <w:color w:val="000000"/>
          <w:sz w:val="20"/>
          <w:szCs w:val="20"/>
        </w:rPr>
        <w:t xml:space="preserve">ive-year overall survival probability was </w:t>
      </w:r>
      <w:r>
        <w:rPr>
          <w:rFonts w:hint="default" w:eastAsia="宋体"/>
          <w:color w:val="000000"/>
          <w:sz w:val="20"/>
          <w:szCs w:val="20"/>
          <w:lang w:val="en-US"/>
        </w:rPr>
        <w:t>68.2</w:t>
      </w:r>
      <w:r>
        <w:rPr>
          <w:rFonts w:eastAsia="宋体"/>
          <w:color w:val="000000"/>
          <w:sz w:val="20"/>
          <w:szCs w:val="20"/>
        </w:rPr>
        <w:t>% (95% CI</w:t>
      </w:r>
      <w:r>
        <w:rPr>
          <w:rFonts w:eastAsia="宋体"/>
          <w:color w:val="000000"/>
          <w:sz w:val="20"/>
          <w:szCs w:val="20"/>
          <w:lang w:val="en-US"/>
        </w:rPr>
        <w:t>,</w:t>
      </w:r>
      <w:r>
        <w:rPr>
          <w:rFonts w:eastAsia="宋体"/>
          <w:color w:val="000000"/>
          <w:sz w:val="20"/>
          <w:szCs w:val="20"/>
          <w:shd w:val="clear" w:color="auto" w:fill="auto"/>
        </w:rPr>
        <w:t xml:space="preserve"> </w:t>
      </w:r>
      <w:r>
        <w:rPr>
          <w:rFonts w:eastAsia="宋体"/>
          <w:color w:val="000000" w:themeColor="text1"/>
          <w:sz w:val="20"/>
          <w:szCs w:val="20"/>
          <w:shd w:val="clear" w:color="auto" w:fill="auto"/>
          <w14:textFill>
            <w14:solidFill>
              <w14:schemeClr w14:val="tx1"/>
            </w14:solidFill>
          </w14:textFill>
        </w:rPr>
        <w:t>6</w:t>
      </w:r>
      <w:r>
        <w:rPr>
          <w:rFonts w:hint="default" w:eastAsia="宋体"/>
          <w:color w:val="000000" w:themeColor="text1"/>
          <w:sz w:val="20"/>
          <w:szCs w:val="20"/>
          <w:shd w:val="clear" w:color="auto" w:fill="auto"/>
          <w:lang w:val="en-US"/>
          <w14:textFill>
            <w14:solidFill>
              <w14:schemeClr w14:val="tx1"/>
            </w14:solidFill>
          </w14:textFill>
        </w:rPr>
        <w:t>3</w:t>
      </w:r>
      <w:r>
        <w:rPr>
          <w:rFonts w:eastAsia="宋体"/>
          <w:color w:val="000000" w:themeColor="text1"/>
          <w:sz w:val="20"/>
          <w:szCs w:val="20"/>
          <w:shd w:val="clear" w:color="auto" w:fill="auto"/>
          <w14:textFill>
            <w14:solidFill>
              <w14:schemeClr w14:val="tx1"/>
            </w14:solidFill>
          </w14:textFill>
        </w:rPr>
        <w:t>.</w:t>
      </w:r>
      <w:r>
        <w:rPr>
          <w:rFonts w:hint="default" w:eastAsia="宋体"/>
          <w:color w:val="000000" w:themeColor="text1"/>
          <w:sz w:val="20"/>
          <w:szCs w:val="20"/>
          <w:shd w:val="clear" w:color="auto" w:fill="auto"/>
          <w:lang w:val="en-US"/>
          <w14:textFill>
            <w14:solidFill>
              <w14:schemeClr w14:val="tx1"/>
            </w14:solidFill>
          </w14:textFill>
        </w:rPr>
        <w:t>4</w:t>
      </w:r>
      <w:r>
        <w:rPr>
          <w:rFonts w:eastAsia="宋体"/>
          <w:color w:val="000000" w:themeColor="text1"/>
          <w:sz w:val="20"/>
          <w:szCs w:val="20"/>
          <w:shd w:val="clear" w:color="auto" w:fill="auto"/>
          <w14:textFill>
            <w14:solidFill>
              <w14:schemeClr w14:val="tx1"/>
            </w14:solidFill>
          </w14:textFill>
        </w:rPr>
        <w:t>%</w:t>
      </w:r>
      <w:r>
        <w:rPr>
          <w:rFonts w:eastAsia="宋体"/>
          <w:color w:val="000000" w:themeColor="text1"/>
          <w:sz w:val="20"/>
          <w:szCs w:val="20"/>
          <w:shd w:val="clear" w:color="auto" w:fill="auto"/>
          <w:lang w:val="en-US"/>
          <w14:textFill>
            <w14:solidFill>
              <w14:schemeClr w14:val="tx1"/>
            </w14:solidFill>
          </w14:textFill>
        </w:rPr>
        <w:t xml:space="preserve"> to </w:t>
      </w:r>
      <w:r>
        <w:rPr>
          <w:rFonts w:eastAsia="宋体"/>
          <w:color w:val="000000" w:themeColor="text1"/>
          <w:sz w:val="20"/>
          <w:szCs w:val="20"/>
          <w:shd w:val="clear" w:color="auto" w:fill="auto"/>
          <w14:textFill>
            <w14:solidFill>
              <w14:schemeClr w14:val="tx1"/>
            </w14:solidFill>
          </w14:textFill>
        </w:rPr>
        <w:t>7</w:t>
      </w:r>
      <w:r>
        <w:rPr>
          <w:rFonts w:hint="default" w:eastAsia="宋体"/>
          <w:color w:val="000000" w:themeColor="text1"/>
          <w:sz w:val="20"/>
          <w:szCs w:val="20"/>
          <w:shd w:val="clear" w:color="auto" w:fill="auto"/>
          <w:lang w:val="en-US"/>
          <w14:textFill>
            <w14:solidFill>
              <w14:schemeClr w14:val="tx1"/>
            </w14:solidFill>
          </w14:textFill>
        </w:rPr>
        <w:t>2</w:t>
      </w:r>
      <w:r>
        <w:rPr>
          <w:rFonts w:eastAsia="宋体"/>
          <w:color w:val="000000" w:themeColor="text1"/>
          <w:sz w:val="20"/>
          <w:szCs w:val="20"/>
          <w:shd w:val="clear" w:color="auto" w:fill="auto"/>
          <w14:textFill>
            <w14:solidFill>
              <w14:schemeClr w14:val="tx1"/>
            </w14:solidFill>
          </w14:textFill>
        </w:rPr>
        <w:t>.</w:t>
      </w:r>
      <w:r>
        <w:rPr>
          <w:rFonts w:hint="default" w:eastAsia="宋体"/>
          <w:color w:val="000000" w:themeColor="text1"/>
          <w:sz w:val="20"/>
          <w:szCs w:val="20"/>
          <w:shd w:val="clear" w:color="auto" w:fill="auto"/>
          <w:lang w:val="en-US"/>
          <w14:textFill>
            <w14:solidFill>
              <w14:schemeClr w14:val="tx1"/>
            </w14:solidFill>
          </w14:textFill>
        </w:rPr>
        <w:t>5</w:t>
      </w:r>
      <w:r>
        <w:rPr>
          <w:rFonts w:eastAsia="宋体"/>
          <w:color w:val="000000" w:themeColor="text1"/>
          <w:sz w:val="20"/>
          <w:szCs w:val="20"/>
          <w:shd w:val="clear" w:color="auto" w:fill="auto"/>
          <w14:textFill>
            <w14:solidFill>
              <w14:schemeClr w14:val="tx1"/>
            </w14:solidFill>
          </w14:textFill>
        </w:rPr>
        <w:t>%</w:t>
      </w:r>
      <w:r>
        <w:rPr>
          <w:rFonts w:eastAsia="宋体"/>
          <w:color w:val="000000"/>
          <w:sz w:val="20"/>
          <w:szCs w:val="20"/>
        </w:rPr>
        <w:t xml:space="preserve">). </w:t>
      </w:r>
      <w:bookmarkStart w:id="0" w:name="_GoBack"/>
      <w:bookmarkEnd w:id="0"/>
    </w:p>
    <w:p>
      <w:pPr>
        <w:jc w:val="both"/>
        <w:rPr>
          <w:rFonts w:eastAsia="宋体"/>
          <w:color w:val="000000"/>
          <w:sz w:val="20"/>
          <w:szCs w:val="20"/>
        </w:rPr>
      </w:pPr>
    </w:p>
    <w:p>
      <w:pPr>
        <w:jc w:val="both"/>
        <w:rPr>
          <w:rFonts w:eastAsia="宋体"/>
          <w:color w:val="000000"/>
          <w:sz w:val="20"/>
          <w:szCs w:val="20"/>
        </w:rPr>
      </w:pPr>
      <w:r>
        <w:rPr>
          <w:rFonts w:eastAsia="宋体"/>
          <w:color w:val="000000"/>
          <w:sz w:val="20"/>
          <w:szCs w:val="20"/>
        </w:rPr>
        <w:t xml:space="preserve">The median age at diagnosis was 8 years </w:t>
      </w:r>
      <w:r>
        <w:rPr>
          <w:rFonts w:eastAsia="宋体"/>
          <w:color w:val="000000"/>
          <w:sz w:val="20"/>
          <w:szCs w:val="20"/>
          <w:lang w:val="en-US"/>
        </w:rPr>
        <w:t>(</w:t>
      </w:r>
      <w:r>
        <w:rPr>
          <w:rFonts w:eastAsia="宋体"/>
          <w:color w:val="000000"/>
          <w:sz w:val="20"/>
          <w:szCs w:val="20"/>
          <w:highlight w:val="none"/>
          <w:lang w:val="en-US"/>
        </w:rPr>
        <w:t>range 0.3</w:t>
      </w:r>
      <w:r>
        <w:rPr>
          <w:rFonts w:eastAsia="宋体"/>
          <w:color w:val="000000"/>
          <w:sz w:val="20"/>
          <w:szCs w:val="20"/>
          <w:highlight w:val="none"/>
        </w:rPr>
        <w:t>–</w:t>
      </w:r>
      <w:r>
        <w:rPr>
          <w:rFonts w:eastAsia="宋体"/>
          <w:color w:val="000000"/>
          <w:sz w:val="20"/>
          <w:szCs w:val="20"/>
          <w:highlight w:val="none"/>
          <w:lang w:val="en-US"/>
        </w:rPr>
        <w:t>54</w:t>
      </w:r>
      <w:r>
        <w:rPr>
          <w:rFonts w:eastAsia="宋体"/>
          <w:color w:val="000000"/>
          <w:sz w:val="20"/>
          <w:szCs w:val="20"/>
        </w:rPr>
        <w:t>), 7</w:t>
      </w:r>
      <w:r>
        <w:rPr>
          <w:rFonts w:hint="default" w:eastAsia="宋体"/>
          <w:color w:val="000000"/>
          <w:sz w:val="20"/>
          <w:szCs w:val="20"/>
          <w:lang w:val="en-US"/>
        </w:rPr>
        <w:t>5.91</w:t>
      </w:r>
      <w:r>
        <w:rPr>
          <w:rFonts w:eastAsia="宋体"/>
          <w:color w:val="000000"/>
          <w:sz w:val="20"/>
          <w:szCs w:val="20"/>
        </w:rPr>
        <w:t xml:space="preserve">% had hydrocephalus before primary tumor resection, and </w:t>
      </w:r>
      <w:r>
        <w:rPr>
          <w:rFonts w:eastAsia="宋体"/>
          <w:color w:val="000000"/>
          <w:sz w:val="20"/>
          <w:szCs w:val="20"/>
          <w:highlight w:val="red"/>
        </w:rPr>
        <w:t>8</w:t>
      </w:r>
      <w:r>
        <w:rPr>
          <w:rFonts w:eastAsia="宋体"/>
          <w:color w:val="000000"/>
          <w:sz w:val="20"/>
          <w:szCs w:val="20"/>
          <w:highlight w:val="red"/>
          <w:lang w:val="en-US"/>
        </w:rPr>
        <w:t>1.3</w:t>
      </w:r>
      <w:r>
        <w:rPr>
          <w:rFonts w:eastAsia="宋体"/>
          <w:color w:val="000000"/>
          <w:sz w:val="20"/>
          <w:szCs w:val="20"/>
          <w:highlight w:val="red"/>
        </w:rPr>
        <w:t>% had fourth ventricle infiltration</w:t>
      </w:r>
      <w:r>
        <w:rPr>
          <w:rFonts w:eastAsia="宋体"/>
          <w:color w:val="000000"/>
          <w:sz w:val="20"/>
          <w:szCs w:val="20"/>
        </w:rPr>
        <w:t xml:space="preserve">. Of the </w:t>
      </w:r>
      <w:r>
        <w:rPr>
          <w:rFonts w:hint="default" w:eastAsia="宋体"/>
          <w:color w:val="000000"/>
          <w:sz w:val="20"/>
          <w:szCs w:val="20"/>
          <w:lang w:val="en-US"/>
        </w:rPr>
        <w:t>934</w:t>
      </w:r>
      <w:r>
        <w:rPr>
          <w:rFonts w:eastAsia="宋体"/>
          <w:color w:val="000000"/>
          <w:sz w:val="20"/>
          <w:szCs w:val="20"/>
        </w:rPr>
        <w:t xml:space="preserve"> patients, 7</w:t>
      </w:r>
      <w:r>
        <w:rPr>
          <w:rFonts w:hint="default" w:eastAsia="宋体"/>
          <w:color w:val="000000"/>
          <w:sz w:val="20"/>
          <w:szCs w:val="20"/>
          <w:lang w:val="en-US"/>
        </w:rPr>
        <w:t>92</w:t>
      </w:r>
      <w:r>
        <w:rPr>
          <w:rFonts w:eastAsia="宋体"/>
          <w:color w:val="000000"/>
          <w:sz w:val="20"/>
          <w:szCs w:val="20"/>
        </w:rPr>
        <w:t xml:space="preserve"> had histological subgrouping </w:t>
      </w:r>
      <w:r>
        <w:rPr>
          <w:rFonts w:eastAsia="宋体"/>
          <w:color w:val="000000"/>
          <w:sz w:val="20"/>
          <w:szCs w:val="20"/>
          <w:lang w:val="en-US"/>
        </w:rPr>
        <w:t xml:space="preserve">available </w:t>
      </w:r>
      <w:r>
        <w:rPr>
          <w:rFonts w:eastAsia="宋体"/>
          <w:color w:val="000000"/>
          <w:sz w:val="20"/>
          <w:szCs w:val="20"/>
        </w:rPr>
        <w:t>with</w:t>
      </w:r>
      <w:r>
        <w:rPr>
          <w:rFonts w:eastAsia="宋体"/>
          <w:color w:val="000000"/>
          <w:sz w:val="20"/>
          <w:szCs w:val="20"/>
          <w:lang w:val="en-US"/>
        </w:rPr>
        <w:t xml:space="preserve"> the following</w:t>
      </w:r>
      <w:r>
        <w:rPr>
          <w:rFonts w:eastAsia="宋体"/>
          <w:color w:val="000000"/>
          <w:sz w:val="20"/>
          <w:szCs w:val="20"/>
        </w:rPr>
        <w:t xml:space="preserve"> distribution: medulloblastoma with extensive nodularity (MBEN) –</w:t>
      </w:r>
      <w:r>
        <w:rPr>
          <w:rFonts w:eastAsia="宋体"/>
          <w:color w:val="000000"/>
          <w:sz w:val="20"/>
          <w:szCs w:val="20"/>
          <w:lang w:val="en-US"/>
        </w:rPr>
        <w:t xml:space="preserve"> </w:t>
      </w:r>
      <w:r>
        <w:rPr>
          <w:rFonts w:eastAsia="宋体"/>
          <w:color w:val="000000"/>
          <w:sz w:val="20"/>
          <w:szCs w:val="20"/>
        </w:rPr>
        <w:t>34 (4.</w:t>
      </w:r>
      <w:r>
        <w:rPr>
          <w:rFonts w:hint="default" w:eastAsia="宋体"/>
          <w:color w:val="000000"/>
          <w:sz w:val="20"/>
          <w:szCs w:val="20"/>
          <w:lang w:val="en-US"/>
        </w:rPr>
        <w:t>29</w:t>
      </w:r>
      <w:r>
        <w:rPr>
          <w:rFonts w:eastAsia="宋体"/>
          <w:color w:val="000000"/>
          <w:sz w:val="20"/>
          <w:szCs w:val="20"/>
        </w:rPr>
        <w:t xml:space="preserve">%), large cell/anaplastic (LCA) </w:t>
      </w:r>
      <w:r>
        <w:rPr>
          <w:color w:val="000000" w:themeColor="text1"/>
          <w:sz w:val="20"/>
          <w:szCs w:val="20"/>
          <w:lang w:val="en-US"/>
          <w14:textFill>
            <w14:solidFill>
              <w14:schemeClr w14:val="tx1"/>
            </w14:solidFill>
          </w14:textFill>
        </w:rPr>
        <w:t>–</w:t>
      </w:r>
      <w:r>
        <w:rPr>
          <w:rFonts w:eastAsia="宋体"/>
          <w:color w:val="000000"/>
          <w:sz w:val="20"/>
          <w:szCs w:val="20"/>
          <w:lang w:val="en-US"/>
        </w:rPr>
        <w:t xml:space="preserve"> </w:t>
      </w:r>
      <w:r>
        <w:rPr>
          <w:rFonts w:eastAsia="宋体"/>
          <w:color w:val="000000"/>
          <w:sz w:val="20"/>
          <w:szCs w:val="20"/>
        </w:rPr>
        <w:t>3</w:t>
      </w:r>
      <w:r>
        <w:rPr>
          <w:rFonts w:hint="default" w:eastAsia="宋体"/>
          <w:color w:val="000000"/>
          <w:sz w:val="20"/>
          <w:szCs w:val="20"/>
          <w:lang w:val="en-US"/>
        </w:rPr>
        <w:t>6</w:t>
      </w:r>
      <w:r>
        <w:rPr>
          <w:rFonts w:eastAsia="宋体"/>
          <w:color w:val="000000"/>
          <w:sz w:val="20"/>
          <w:szCs w:val="20"/>
        </w:rPr>
        <w:t xml:space="preserve"> (4.</w:t>
      </w:r>
      <w:r>
        <w:rPr>
          <w:rFonts w:hint="default" w:eastAsia="宋体"/>
          <w:color w:val="000000"/>
          <w:sz w:val="20"/>
          <w:szCs w:val="20"/>
          <w:lang w:val="en-US"/>
        </w:rPr>
        <w:t>55</w:t>
      </w:r>
      <w:r>
        <w:rPr>
          <w:rFonts w:eastAsia="宋体"/>
          <w:color w:val="000000"/>
          <w:sz w:val="20"/>
          <w:szCs w:val="20"/>
        </w:rPr>
        <w:t>%), desmoplastic/nodular (DN)</w:t>
      </w:r>
      <w:r>
        <w:rPr>
          <w:color w:val="000000" w:themeColor="text1"/>
          <w:sz w:val="20"/>
          <w:szCs w:val="20"/>
          <w:lang w:val="en-US"/>
          <w14:textFill>
            <w14:solidFill>
              <w14:schemeClr w14:val="tx1"/>
            </w14:solidFill>
          </w14:textFill>
        </w:rPr>
        <w:t xml:space="preserve"> – </w:t>
      </w:r>
      <w:r>
        <w:rPr>
          <w:rFonts w:eastAsia="宋体"/>
          <w:color w:val="000000"/>
          <w:sz w:val="20"/>
          <w:szCs w:val="20"/>
        </w:rPr>
        <w:t>1</w:t>
      </w:r>
      <w:r>
        <w:rPr>
          <w:rFonts w:hint="default" w:eastAsia="宋体"/>
          <w:color w:val="000000"/>
          <w:sz w:val="20"/>
          <w:szCs w:val="20"/>
          <w:lang w:val="en-US"/>
        </w:rPr>
        <w:t>6</w:t>
      </w:r>
      <w:r>
        <w:rPr>
          <w:rFonts w:eastAsia="宋体"/>
          <w:color w:val="000000"/>
          <w:sz w:val="20"/>
          <w:szCs w:val="20"/>
        </w:rPr>
        <w:t>4 (20.</w:t>
      </w:r>
      <w:r>
        <w:rPr>
          <w:rFonts w:hint="default" w:eastAsia="宋体"/>
          <w:color w:val="000000"/>
          <w:sz w:val="20"/>
          <w:szCs w:val="20"/>
          <w:lang w:val="en-US"/>
        </w:rPr>
        <w:t>71</w:t>
      </w:r>
      <w:r>
        <w:rPr>
          <w:rFonts w:eastAsia="宋体"/>
          <w:color w:val="000000"/>
          <w:sz w:val="20"/>
          <w:szCs w:val="20"/>
        </w:rPr>
        <w:t>%), and Classic</w:t>
      </w:r>
      <w:r>
        <w:rPr>
          <w:color w:val="000000" w:themeColor="text1"/>
          <w:sz w:val="20"/>
          <w:szCs w:val="20"/>
          <w:lang w:val="en-US"/>
          <w14:textFill>
            <w14:solidFill>
              <w14:schemeClr w14:val="tx1"/>
            </w14:solidFill>
          </w14:textFill>
        </w:rPr>
        <w:t xml:space="preserve"> – </w:t>
      </w:r>
      <w:r>
        <w:rPr>
          <w:rFonts w:eastAsia="宋体"/>
          <w:color w:val="000000"/>
          <w:sz w:val="20"/>
          <w:szCs w:val="20"/>
        </w:rPr>
        <w:t>5</w:t>
      </w:r>
      <w:r>
        <w:rPr>
          <w:rFonts w:hint="default" w:eastAsia="宋体"/>
          <w:color w:val="000000"/>
          <w:sz w:val="20"/>
          <w:szCs w:val="20"/>
          <w:lang w:val="en-US"/>
        </w:rPr>
        <w:t>58</w:t>
      </w:r>
      <w:r>
        <w:rPr>
          <w:rFonts w:eastAsia="宋体"/>
          <w:color w:val="000000"/>
          <w:sz w:val="20"/>
          <w:szCs w:val="20"/>
        </w:rPr>
        <w:t xml:space="preserve"> (70.</w:t>
      </w:r>
      <w:r>
        <w:rPr>
          <w:rFonts w:hint="default" w:eastAsia="宋体"/>
          <w:color w:val="000000"/>
          <w:sz w:val="20"/>
          <w:szCs w:val="20"/>
          <w:lang w:val="en-US"/>
        </w:rPr>
        <w:t>45</w:t>
      </w:r>
      <w:r>
        <w:rPr>
          <w:rFonts w:eastAsia="宋体"/>
          <w:color w:val="000000"/>
          <w:sz w:val="20"/>
          <w:szCs w:val="20"/>
        </w:rPr>
        <w:t>%</w:t>
      </w:r>
      <w:r>
        <w:rPr>
          <w:rFonts w:eastAsia="宋体"/>
          <w:color w:val="000000"/>
          <w:sz w:val="20"/>
          <w:szCs w:val="20"/>
          <w:lang w:val="en-US"/>
        </w:rPr>
        <w:t xml:space="preserve">). Additionally, </w:t>
      </w:r>
      <w:r>
        <w:rPr>
          <w:rFonts w:eastAsia="宋体"/>
          <w:color w:val="000000"/>
          <w:sz w:val="20"/>
          <w:szCs w:val="20"/>
        </w:rPr>
        <w:t>7</w:t>
      </w:r>
      <w:r>
        <w:rPr>
          <w:rFonts w:hint="default" w:eastAsia="宋体"/>
          <w:color w:val="000000"/>
          <w:sz w:val="20"/>
          <w:szCs w:val="20"/>
          <w:lang w:val="en-US"/>
        </w:rPr>
        <w:t>97</w:t>
      </w:r>
      <w:r>
        <w:rPr>
          <w:rFonts w:eastAsia="宋体"/>
          <w:color w:val="000000"/>
          <w:sz w:val="20"/>
          <w:szCs w:val="20"/>
        </w:rPr>
        <w:t xml:space="preserve"> </w:t>
      </w:r>
      <w:r>
        <w:rPr>
          <w:rFonts w:eastAsia="宋体"/>
          <w:color w:val="000000"/>
          <w:sz w:val="20"/>
          <w:szCs w:val="20"/>
          <w:lang w:val="en-US"/>
        </w:rPr>
        <w:t xml:space="preserve">patients </w:t>
      </w:r>
      <w:r>
        <w:rPr>
          <w:rFonts w:eastAsia="宋体"/>
          <w:color w:val="000000"/>
          <w:sz w:val="20"/>
          <w:szCs w:val="20"/>
        </w:rPr>
        <w:t xml:space="preserve">had </w:t>
      </w:r>
      <w:r>
        <w:rPr>
          <w:rFonts w:eastAsia="宋体"/>
          <w:color w:val="000000"/>
          <w:sz w:val="20"/>
          <w:szCs w:val="20"/>
          <w:lang w:val="en-US"/>
        </w:rPr>
        <w:t xml:space="preserve">a </w:t>
      </w:r>
      <w:r>
        <w:rPr>
          <w:rFonts w:eastAsia="宋体"/>
          <w:color w:val="000000"/>
          <w:sz w:val="20"/>
          <w:szCs w:val="20"/>
        </w:rPr>
        <w:t>tumor texture description with the following distribution: soft</w:t>
      </w:r>
      <w:r>
        <w:rPr>
          <w:color w:val="000000" w:themeColor="text1"/>
          <w:sz w:val="20"/>
          <w:szCs w:val="20"/>
          <w:lang w:val="en-US"/>
          <w14:textFill>
            <w14:solidFill>
              <w14:schemeClr w14:val="tx1"/>
            </w14:solidFill>
          </w14:textFill>
        </w:rPr>
        <w:t xml:space="preserve"> – </w:t>
      </w:r>
      <w:r>
        <w:rPr>
          <w:rFonts w:hint="default"/>
          <w:color w:val="000000" w:themeColor="text1"/>
          <w:sz w:val="20"/>
          <w:szCs w:val="20"/>
          <w:lang w:val="en-US"/>
          <w14:textFill>
            <w14:solidFill>
              <w14:schemeClr w14:val="tx1"/>
            </w14:solidFill>
          </w14:textFill>
        </w:rPr>
        <w:t>500</w:t>
      </w:r>
      <w:r>
        <w:rPr>
          <w:rFonts w:eastAsia="宋体"/>
          <w:color w:val="000000"/>
          <w:sz w:val="20"/>
          <w:szCs w:val="20"/>
        </w:rPr>
        <w:t xml:space="preserve"> (62</w:t>
      </w:r>
      <w:r>
        <w:rPr>
          <w:rFonts w:eastAsia="宋体"/>
          <w:color w:val="000000"/>
          <w:sz w:val="20"/>
          <w:szCs w:val="20"/>
          <w:lang w:val="en-US"/>
        </w:rPr>
        <w:t>.</w:t>
      </w:r>
      <w:r>
        <w:rPr>
          <w:rFonts w:hint="default" w:eastAsia="宋体"/>
          <w:color w:val="000000"/>
          <w:sz w:val="20"/>
          <w:szCs w:val="20"/>
          <w:lang w:val="en-US"/>
        </w:rPr>
        <w:t>74</w:t>
      </w:r>
      <w:r>
        <w:rPr>
          <w:rFonts w:eastAsia="宋体"/>
          <w:color w:val="000000"/>
          <w:sz w:val="20"/>
          <w:szCs w:val="20"/>
        </w:rPr>
        <w:t>%), soft</w:t>
      </w:r>
      <w:r>
        <w:rPr>
          <w:rFonts w:eastAsia="宋体"/>
          <w:color w:val="000000"/>
          <w:sz w:val="20"/>
          <w:szCs w:val="20"/>
          <w:lang w:val="en-US"/>
        </w:rPr>
        <w:t>-hard</w:t>
      </w:r>
      <w:r>
        <w:rPr>
          <w:rFonts w:eastAsia="宋体"/>
          <w:color w:val="000000"/>
          <w:sz w:val="20"/>
          <w:szCs w:val="20"/>
        </w:rPr>
        <w:t>-mix</w:t>
      </w:r>
      <w:r>
        <w:rPr>
          <w:rFonts w:eastAsia="宋体"/>
          <w:color w:val="000000"/>
          <w:sz w:val="20"/>
          <w:szCs w:val="20"/>
          <w:lang w:val="en-US"/>
        </w:rPr>
        <w:t>ed</w:t>
      </w:r>
      <w:r>
        <w:rPr>
          <w:color w:val="000000" w:themeColor="text1"/>
          <w:sz w:val="20"/>
          <w:szCs w:val="20"/>
          <w:lang w:val="en-US"/>
          <w14:textFill>
            <w14:solidFill>
              <w14:schemeClr w14:val="tx1"/>
            </w14:solidFill>
          </w14:textFill>
        </w:rPr>
        <w:t xml:space="preserve"> – </w:t>
      </w:r>
      <w:r>
        <w:rPr>
          <w:rFonts w:eastAsia="宋体"/>
          <w:color w:val="000000"/>
          <w:sz w:val="20"/>
          <w:szCs w:val="20"/>
        </w:rPr>
        <w:t>1</w:t>
      </w:r>
      <w:r>
        <w:rPr>
          <w:rFonts w:hint="default" w:eastAsia="宋体"/>
          <w:color w:val="000000"/>
          <w:sz w:val="20"/>
          <w:szCs w:val="20"/>
          <w:lang w:val="en-US"/>
        </w:rPr>
        <w:t>65</w:t>
      </w:r>
      <w:r>
        <w:rPr>
          <w:rFonts w:eastAsia="宋体"/>
          <w:color w:val="000000"/>
          <w:sz w:val="20"/>
          <w:szCs w:val="20"/>
        </w:rPr>
        <w:t xml:space="preserve"> (2</w:t>
      </w:r>
      <w:r>
        <w:rPr>
          <w:rFonts w:eastAsia="宋体"/>
          <w:color w:val="000000"/>
          <w:sz w:val="20"/>
          <w:szCs w:val="20"/>
          <w:lang w:val="en-US"/>
        </w:rPr>
        <w:t>0.</w:t>
      </w:r>
      <w:r>
        <w:rPr>
          <w:rFonts w:hint="default" w:eastAsia="宋体"/>
          <w:color w:val="000000"/>
          <w:sz w:val="20"/>
          <w:szCs w:val="20"/>
          <w:lang w:val="en-US"/>
        </w:rPr>
        <w:t>70</w:t>
      </w:r>
      <w:r>
        <w:rPr>
          <w:rFonts w:eastAsia="宋体"/>
          <w:color w:val="000000"/>
          <w:sz w:val="20"/>
          <w:szCs w:val="20"/>
        </w:rPr>
        <w:t xml:space="preserve">%), and hard </w:t>
      </w:r>
      <w:r>
        <w:rPr>
          <w:color w:val="000000" w:themeColor="text1"/>
          <w:sz w:val="20"/>
          <w:szCs w:val="20"/>
          <w:lang w:val="en-US"/>
          <w14:textFill>
            <w14:solidFill>
              <w14:schemeClr w14:val="tx1"/>
            </w14:solidFill>
          </w14:textFill>
        </w:rPr>
        <w:t xml:space="preserve">– </w:t>
      </w:r>
      <w:r>
        <w:rPr>
          <w:rFonts w:eastAsia="宋体"/>
          <w:color w:val="000000"/>
          <w:sz w:val="20"/>
          <w:szCs w:val="20"/>
        </w:rPr>
        <w:t>1</w:t>
      </w:r>
      <w:r>
        <w:rPr>
          <w:rFonts w:hint="default" w:eastAsia="宋体"/>
          <w:color w:val="000000"/>
          <w:sz w:val="20"/>
          <w:szCs w:val="20"/>
          <w:lang w:val="en-US"/>
        </w:rPr>
        <w:t>32</w:t>
      </w:r>
      <w:r>
        <w:rPr>
          <w:rFonts w:eastAsia="宋体"/>
          <w:color w:val="000000"/>
          <w:sz w:val="20"/>
          <w:szCs w:val="20"/>
        </w:rPr>
        <w:t xml:space="preserve"> (1</w:t>
      </w:r>
      <w:r>
        <w:rPr>
          <w:rFonts w:eastAsia="宋体"/>
          <w:color w:val="000000"/>
          <w:sz w:val="20"/>
          <w:szCs w:val="20"/>
          <w:lang w:val="en-US"/>
        </w:rPr>
        <w:t>6.</w:t>
      </w:r>
      <w:r>
        <w:rPr>
          <w:rFonts w:hint="default" w:eastAsia="宋体"/>
          <w:color w:val="000000"/>
          <w:sz w:val="20"/>
          <w:szCs w:val="20"/>
          <w:lang w:val="en-US"/>
        </w:rPr>
        <w:t>56</w:t>
      </w:r>
      <w:r>
        <w:rPr>
          <w:rFonts w:eastAsia="宋体"/>
          <w:color w:val="000000"/>
          <w:sz w:val="20"/>
          <w:szCs w:val="20"/>
        </w:rPr>
        <w:t xml:space="preserve">%). </w:t>
      </w:r>
    </w:p>
    <w:p>
      <w:pPr>
        <w:jc w:val="both"/>
        <w:rPr>
          <w:rFonts w:eastAsia="宋体"/>
          <w:color w:val="000000"/>
          <w:sz w:val="20"/>
          <w:szCs w:val="20"/>
        </w:rPr>
      </w:pPr>
    </w:p>
    <w:p>
      <w:pPr>
        <w:jc w:val="both"/>
        <w:rPr>
          <w:rFonts w:eastAsia="宋体"/>
          <w:color w:val="000000" w:themeColor="text1"/>
          <w:sz w:val="20"/>
          <w:szCs w:val="20"/>
          <w:lang w:val="en-US"/>
          <w14:textFill>
            <w14:solidFill>
              <w14:schemeClr w14:val="tx1"/>
            </w14:solidFill>
          </w14:textFill>
        </w:rPr>
      </w:pPr>
      <w:r>
        <w:rPr>
          <w:rFonts w:eastAsia="宋体"/>
          <w:color w:val="000000"/>
          <w:sz w:val="20"/>
          <w:szCs w:val="20"/>
          <w:lang w:val="en-US"/>
        </w:rPr>
        <w:t>Molecular</w:t>
      </w:r>
      <w:r>
        <w:rPr>
          <w:rFonts w:eastAsia="宋体"/>
          <w:color w:val="000000"/>
          <w:sz w:val="20"/>
          <w:szCs w:val="20"/>
        </w:rPr>
        <w:t xml:space="preserve"> </w:t>
      </w:r>
      <w:r>
        <w:rPr>
          <w:rFonts w:eastAsia="宋体"/>
          <w:color w:val="000000"/>
          <w:sz w:val="20"/>
          <w:szCs w:val="20"/>
          <w:lang w:val="en-US"/>
        </w:rPr>
        <w:t>s</w:t>
      </w:r>
      <w:r>
        <w:rPr>
          <w:rFonts w:eastAsia="宋体"/>
          <w:color w:val="000000"/>
          <w:sz w:val="20"/>
          <w:szCs w:val="20"/>
        </w:rPr>
        <w:t xml:space="preserve">ubgroup distribution showed </w:t>
      </w:r>
      <w:r>
        <w:rPr>
          <w:rFonts w:eastAsia="宋体"/>
          <w:color w:val="000000"/>
          <w:sz w:val="20"/>
          <w:szCs w:val="20"/>
          <w:lang w:val="en-US"/>
        </w:rPr>
        <w:t>WNT</w:t>
      </w:r>
      <w:r>
        <w:rPr>
          <w:color w:val="000000" w:themeColor="text1"/>
          <w:sz w:val="20"/>
          <w:szCs w:val="20"/>
          <w:lang w:val="en-US"/>
          <w14:textFill>
            <w14:solidFill>
              <w14:schemeClr w14:val="tx1"/>
            </w14:solidFill>
          </w14:textFill>
        </w:rPr>
        <w:t xml:space="preserve"> – </w:t>
      </w:r>
      <w:r>
        <w:rPr>
          <w:rFonts w:hint="default" w:eastAsia="宋体"/>
          <w:color w:val="000000"/>
          <w:sz w:val="20"/>
          <w:szCs w:val="20"/>
          <w:lang w:val="en-US"/>
        </w:rPr>
        <w:t>133</w:t>
      </w:r>
      <w:r>
        <w:rPr>
          <w:rFonts w:eastAsia="宋体"/>
          <w:color w:val="000000"/>
          <w:sz w:val="20"/>
          <w:szCs w:val="20"/>
        </w:rPr>
        <w:t>(</w:t>
      </w:r>
      <w:r>
        <w:rPr>
          <w:rFonts w:eastAsia="宋体"/>
          <w:color w:val="000000"/>
          <w:sz w:val="20"/>
          <w:szCs w:val="20"/>
          <w:lang w:val="en-US"/>
        </w:rPr>
        <w:t>14.</w:t>
      </w:r>
      <w:r>
        <w:rPr>
          <w:rFonts w:hint="default" w:eastAsia="宋体"/>
          <w:color w:val="000000"/>
          <w:sz w:val="20"/>
          <w:szCs w:val="20"/>
          <w:lang w:val="en-US"/>
        </w:rPr>
        <w:t>24</w:t>
      </w:r>
      <w:r>
        <w:rPr>
          <w:rFonts w:eastAsia="宋体"/>
          <w:color w:val="000000"/>
          <w:sz w:val="20"/>
          <w:szCs w:val="20"/>
        </w:rPr>
        <w:t>%), SHH</w:t>
      </w:r>
      <w:r>
        <w:rPr>
          <w:color w:val="000000" w:themeColor="text1"/>
          <w:sz w:val="20"/>
          <w:szCs w:val="20"/>
          <w:lang w:val="en-US"/>
          <w14:textFill>
            <w14:solidFill>
              <w14:schemeClr w14:val="tx1"/>
            </w14:solidFill>
          </w14:textFill>
        </w:rPr>
        <w:t xml:space="preserve"> – </w:t>
      </w:r>
      <w:r>
        <w:rPr>
          <w:rFonts w:eastAsia="宋体"/>
          <w:color w:val="000000"/>
          <w:sz w:val="20"/>
          <w:szCs w:val="20"/>
          <w:lang w:val="en-US"/>
        </w:rPr>
        <w:t>25</w:t>
      </w:r>
      <w:r>
        <w:rPr>
          <w:rFonts w:hint="default" w:eastAsia="宋体"/>
          <w:color w:val="000000"/>
          <w:sz w:val="20"/>
          <w:szCs w:val="20"/>
          <w:lang w:val="en-US"/>
        </w:rPr>
        <w:t>3</w:t>
      </w:r>
      <w:r>
        <w:rPr>
          <w:rFonts w:eastAsia="宋体"/>
          <w:color w:val="000000"/>
          <w:sz w:val="20"/>
          <w:szCs w:val="20"/>
        </w:rPr>
        <w:t xml:space="preserve"> (</w:t>
      </w:r>
      <w:r>
        <w:rPr>
          <w:rFonts w:eastAsia="宋体"/>
          <w:color w:val="000000"/>
          <w:sz w:val="20"/>
          <w:szCs w:val="20"/>
          <w:lang w:val="en-US"/>
        </w:rPr>
        <w:t>2</w:t>
      </w:r>
      <w:r>
        <w:rPr>
          <w:rFonts w:hint="default" w:eastAsia="宋体"/>
          <w:color w:val="000000"/>
          <w:sz w:val="20"/>
          <w:szCs w:val="20"/>
          <w:lang w:val="en-US"/>
        </w:rPr>
        <w:t>7.09</w:t>
      </w:r>
      <w:r>
        <w:rPr>
          <w:rFonts w:eastAsia="宋体"/>
          <w:color w:val="000000"/>
          <w:sz w:val="20"/>
          <w:szCs w:val="20"/>
        </w:rPr>
        <w:t xml:space="preserve">%), </w:t>
      </w:r>
      <w:r>
        <w:rPr>
          <w:rFonts w:eastAsia="宋体"/>
          <w:color w:val="000000"/>
          <w:sz w:val="20"/>
          <w:szCs w:val="20"/>
          <w:lang w:val="en-US"/>
        </w:rPr>
        <w:t>and non-WNT/non-SHH</w:t>
      </w:r>
      <w:r>
        <w:rPr>
          <w:color w:val="000000" w:themeColor="text1"/>
          <w:sz w:val="20"/>
          <w:szCs w:val="20"/>
          <w:lang w:val="en-US"/>
          <w14:textFill>
            <w14:solidFill>
              <w14:schemeClr w14:val="tx1"/>
            </w14:solidFill>
          </w14:textFill>
        </w:rPr>
        <w:t xml:space="preserve"> – </w:t>
      </w:r>
      <w:r>
        <w:rPr>
          <w:rFonts w:eastAsia="宋体"/>
          <w:color w:val="000000"/>
          <w:sz w:val="20"/>
          <w:szCs w:val="20"/>
          <w:lang w:val="en-US"/>
        </w:rPr>
        <w:t>5</w:t>
      </w:r>
      <w:r>
        <w:rPr>
          <w:rFonts w:hint="default" w:eastAsia="宋体"/>
          <w:color w:val="000000"/>
          <w:sz w:val="20"/>
          <w:szCs w:val="20"/>
          <w:lang w:val="en-US"/>
        </w:rPr>
        <w:t>48</w:t>
      </w:r>
      <w:r>
        <w:rPr>
          <w:rFonts w:eastAsia="宋体"/>
          <w:color w:val="000000"/>
          <w:sz w:val="20"/>
          <w:szCs w:val="20"/>
          <w:lang w:val="en-US"/>
        </w:rPr>
        <w:t xml:space="preserve"> (5</w:t>
      </w:r>
      <w:r>
        <w:rPr>
          <w:rFonts w:hint="default" w:eastAsia="宋体"/>
          <w:color w:val="000000"/>
          <w:sz w:val="20"/>
          <w:szCs w:val="20"/>
          <w:lang w:val="en-US"/>
        </w:rPr>
        <w:t>8</w:t>
      </w:r>
      <w:r>
        <w:rPr>
          <w:rFonts w:eastAsia="宋体"/>
          <w:color w:val="000000"/>
          <w:sz w:val="20"/>
          <w:szCs w:val="20"/>
          <w:lang w:val="en-US"/>
        </w:rPr>
        <w:t>.</w:t>
      </w:r>
      <w:r>
        <w:rPr>
          <w:rFonts w:hint="default" w:eastAsia="宋体"/>
          <w:color w:val="000000"/>
          <w:sz w:val="20"/>
          <w:szCs w:val="20"/>
          <w:lang w:val="en-US"/>
        </w:rPr>
        <w:t>67</w:t>
      </w:r>
      <w:r>
        <w:rPr>
          <w:rFonts w:eastAsia="宋体"/>
          <w:color w:val="000000"/>
          <w:sz w:val="20"/>
          <w:szCs w:val="20"/>
          <w:lang w:val="en-US"/>
        </w:rPr>
        <w:t>%). F</w:t>
      </w:r>
      <w:r>
        <w:rPr>
          <w:rFonts w:eastAsia="宋体"/>
          <w:color w:val="000000"/>
          <w:sz w:val="20"/>
          <w:szCs w:val="20"/>
        </w:rPr>
        <w:t>urther subclassification</w:t>
      </w:r>
      <w:r>
        <w:rPr>
          <w:rFonts w:eastAsia="宋体"/>
          <w:color w:val="000000"/>
          <w:sz w:val="20"/>
          <w:szCs w:val="20"/>
          <w:lang w:val="en-US"/>
        </w:rPr>
        <w:t xml:space="preserve"> of non-WNT/non-SHH showed G3</w:t>
      </w:r>
      <w:r>
        <w:rPr>
          <w:color w:val="000000" w:themeColor="text1"/>
          <w:sz w:val="20"/>
          <w:szCs w:val="20"/>
          <w:lang w:val="en-US"/>
          <w14:textFill>
            <w14:solidFill>
              <w14:schemeClr w14:val="tx1"/>
            </w14:solidFill>
          </w14:textFill>
        </w:rPr>
        <w:t xml:space="preserve"> – </w:t>
      </w:r>
      <w:r>
        <w:rPr>
          <w:rFonts w:eastAsia="宋体"/>
          <w:color w:val="000000"/>
          <w:sz w:val="20"/>
          <w:szCs w:val="20"/>
          <w:lang w:val="en-US"/>
        </w:rPr>
        <w:t>11</w:t>
      </w:r>
      <w:r>
        <w:rPr>
          <w:rFonts w:hint="default" w:eastAsia="宋体"/>
          <w:color w:val="000000"/>
          <w:sz w:val="20"/>
          <w:szCs w:val="20"/>
          <w:lang w:val="en-US"/>
        </w:rPr>
        <w:t>4</w:t>
      </w:r>
      <w:r>
        <w:rPr>
          <w:rFonts w:eastAsia="宋体"/>
          <w:color w:val="000000"/>
          <w:sz w:val="20"/>
          <w:szCs w:val="20"/>
          <w:lang w:val="en-US"/>
        </w:rPr>
        <w:t xml:space="preserve"> (2</w:t>
      </w:r>
      <w:r>
        <w:rPr>
          <w:rFonts w:hint="default" w:eastAsia="宋体"/>
          <w:color w:val="000000"/>
          <w:sz w:val="20"/>
          <w:szCs w:val="20"/>
          <w:lang w:val="en-US"/>
        </w:rPr>
        <w:t>0.80</w:t>
      </w:r>
      <w:r>
        <w:rPr>
          <w:rFonts w:eastAsia="宋体"/>
          <w:color w:val="000000"/>
          <w:sz w:val="20"/>
          <w:szCs w:val="20"/>
          <w:lang w:val="en-US"/>
        </w:rPr>
        <w:t>%) and G4</w:t>
      </w:r>
      <w:r>
        <w:rPr>
          <w:color w:val="000000" w:themeColor="text1"/>
          <w:sz w:val="20"/>
          <w:szCs w:val="20"/>
          <w:lang w:val="en-US"/>
          <w14:textFill>
            <w14:solidFill>
              <w14:schemeClr w14:val="tx1"/>
            </w14:solidFill>
          </w14:textFill>
        </w:rPr>
        <w:t xml:space="preserve"> – </w:t>
      </w:r>
      <w:r>
        <w:rPr>
          <w:rFonts w:eastAsia="宋体"/>
          <w:color w:val="000000"/>
          <w:sz w:val="20"/>
          <w:szCs w:val="20"/>
          <w:lang w:val="en-US"/>
        </w:rPr>
        <w:t>38</w:t>
      </w:r>
      <w:r>
        <w:rPr>
          <w:rFonts w:hint="default" w:eastAsia="宋体"/>
          <w:color w:val="000000"/>
          <w:sz w:val="20"/>
          <w:szCs w:val="20"/>
          <w:lang w:val="en-US"/>
        </w:rPr>
        <w:t>7</w:t>
      </w:r>
      <w:r>
        <w:rPr>
          <w:rFonts w:eastAsia="宋体"/>
          <w:color w:val="000000"/>
          <w:sz w:val="20"/>
          <w:szCs w:val="20"/>
          <w:lang w:val="en-US"/>
        </w:rPr>
        <w:t xml:space="preserve"> (7</w:t>
      </w:r>
      <w:r>
        <w:rPr>
          <w:rFonts w:hint="default" w:eastAsia="宋体"/>
          <w:color w:val="000000"/>
          <w:sz w:val="20"/>
          <w:szCs w:val="20"/>
          <w:lang w:val="en-US"/>
        </w:rPr>
        <w:t>0.62</w:t>
      </w:r>
      <w:r>
        <w:rPr>
          <w:rFonts w:eastAsia="宋体"/>
          <w:color w:val="000000"/>
          <w:sz w:val="20"/>
          <w:szCs w:val="20"/>
          <w:lang w:val="en-US"/>
        </w:rPr>
        <w:t>%); Subclassification of SHH showed TP53-mutant</w:t>
      </w:r>
      <w:r>
        <w:rPr>
          <w:color w:val="000000" w:themeColor="text1"/>
          <w:sz w:val="20"/>
          <w:szCs w:val="20"/>
          <w:lang w:val="en-US"/>
          <w14:textFill>
            <w14:solidFill>
              <w14:schemeClr w14:val="tx1"/>
            </w14:solidFill>
          </w14:textFill>
        </w:rPr>
        <w:t xml:space="preserve"> – </w:t>
      </w:r>
      <w:r>
        <w:rPr>
          <w:rFonts w:hint="default"/>
          <w:color w:val="000000" w:themeColor="text1"/>
          <w:sz w:val="20"/>
          <w:szCs w:val="20"/>
          <w:lang w:val="en-US"/>
          <w14:textFill>
            <w14:solidFill>
              <w14:schemeClr w14:val="tx1"/>
            </w14:solidFill>
          </w14:textFill>
        </w:rPr>
        <w:t>60</w:t>
      </w:r>
      <w:r>
        <w:rPr>
          <w:rFonts w:eastAsia="宋体"/>
          <w:color w:val="000000"/>
          <w:sz w:val="20"/>
          <w:szCs w:val="20"/>
          <w:lang w:val="en-US"/>
        </w:rPr>
        <w:t xml:space="preserve"> (2</w:t>
      </w:r>
      <w:r>
        <w:rPr>
          <w:rFonts w:hint="default" w:eastAsia="宋体"/>
          <w:color w:val="000000"/>
          <w:sz w:val="20"/>
          <w:szCs w:val="20"/>
          <w:lang w:val="en-US"/>
        </w:rPr>
        <w:t>3</w:t>
      </w:r>
      <w:r>
        <w:rPr>
          <w:rFonts w:eastAsia="宋体"/>
          <w:color w:val="000000"/>
          <w:sz w:val="20"/>
          <w:szCs w:val="20"/>
          <w:lang w:val="en-US"/>
        </w:rPr>
        <w:t>.</w:t>
      </w:r>
      <w:r>
        <w:rPr>
          <w:rFonts w:hint="default" w:eastAsia="宋体"/>
          <w:color w:val="000000"/>
          <w:sz w:val="20"/>
          <w:szCs w:val="20"/>
          <w:lang w:val="en-US"/>
        </w:rPr>
        <w:t>72</w:t>
      </w:r>
      <w:r>
        <w:rPr>
          <w:rFonts w:eastAsia="宋体"/>
          <w:color w:val="000000"/>
          <w:sz w:val="20"/>
          <w:szCs w:val="20"/>
          <w:lang w:val="en-US"/>
        </w:rPr>
        <w:t>%) and TP53-wildtype</w:t>
      </w:r>
      <w:r>
        <w:rPr>
          <w:color w:val="000000" w:themeColor="text1"/>
          <w:sz w:val="20"/>
          <w:szCs w:val="20"/>
          <w:lang w:val="en-US"/>
          <w14:textFill>
            <w14:solidFill>
              <w14:schemeClr w14:val="tx1"/>
            </w14:solidFill>
          </w14:textFill>
        </w:rPr>
        <w:t xml:space="preserve"> – </w:t>
      </w:r>
      <w:r>
        <w:rPr>
          <w:rFonts w:eastAsia="宋体"/>
          <w:color w:val="000000"/>
          <w:sz w:val="20"/>
          <w:szCs w:val="20"/>
          <w:lang w:val="en-US"/>
        </w:rPr>
        <w:t>1</w:t>
      </w:r>
      <w:r>
        <w:rPr>
          <w:rFonts w:hint="default" w:eastAsia="宋体"/>
          <w:color w:val="000000"/>
          <w:sz w:val="20"/>
          <w:szCs w:val="20"/>
          <w:lang w:val="en-US"/>
        </w:rPr>
        <w:t>50</w:t>
      </w:r>
      <w:r>
        <w:rPr>
          <w:rFonts w:eastAsia="宋体"/>
          <w:color w:val="000000"/>
          <w:sz w:val="20"/>
          <w:szCs w:val="20"/>
          <w:lang w:val="en-US"/>
        </w:rPr>
        <w:t xml:space="preserve"> (</w:t>
      </w:r>
      <w:r>
        <w:rPr>
          <w:rFonts w:hint="default" w:eastAsia="宋体"/>
          <w:color w:val="000000"/>
          <w:sz w:val="20"/>
          <w:szCs w:val="20"/>
          <w:lang w:val="en-US"/>
        </w:rPr>
        <w:t>59</w:t>
      </w:r>
      <w:r>
        <w:rPr>
          <w:rFonts w:eastAsia="宋体"/>
          <w:color w:val="000000"/>
          <w:sz w:val="20"/>
          <w:szCs w:val="20"/>
          <w:lang w:val="en-US"/>
        </w:rPr>
        <w:t>.</w:t>
      </w:r>
      <w:r>
        <w:rPr>
          <w:rFonts w:hint="default" w:eastAsia="宋体"/>
          <w:color w:val="000000"/>
          <w:sz w:val="20"/>
          <w:szCs w:val="20"/>
          <w:lang w:val="en-US"/>
        </w:rPr>
        <w:t>29</w:t>
      </w:r>
      <w:r>
        <w:rPr>
          <w:rFonts w:eastAsia="宋体"/>
          <w:color w:val="000000"/>
          <w:sz w:val="20"/>
          <w:szCs w:val="20"/>
          <w:lang w:val="en-US"/>
        </w:rPr>
        <w:t xml:space="preserve">%). </w:t>
      </w:r>
      <w:r>
        <w:rPr>
          <w:rFonts w:hint="default" w:eastAsia="宋体"/>
          <w:color w:val="000000"/>
          <w:sz w:val="20"/>
          <w:szCs w:val="20"/>
          <w:lang w:val="en-US"/>
        </w:rPr>
        <w:t>For</w:t>
      </w:r>
      <w:r>
        <w:rPr>
          <w:rFonts w:eastAsia="宋体"/>
          <w:color w:val="000000"/>
          <w:sz w:val="20"/>
          <w:szCs w:val="20"/>
          <w:lang w:val="en-US"/>
        </w:rPr>
        <w:t>ty-</w:t>
      </w:r>
      <w:r>
        <w:rPr>
          <w:rFonts w:hint="default" w:eastAsia="宋体"/>
          <w:color w:val="000000"/>
          <w:sz w:val="20"/>
          <w:szCs w:val="20"/>
          <w:lang w:val="en-US"/>
        </w:rPr>
        <w:t>seven</w:t>
      </w:r>
      <w:r>
        <w:rPr>
          <w:rFonts w:eastAsia="宋体"/>
          <w:color w:val="000000"/>
          <w:sz w:val="20"/>
          <w:szCs w:val="20"/>
          <w:lang w:val="en-US"/>
        </w:rPr>
        <w:t xml:space="preserve"> patients with non-WNT/non-SHH and 43 patients with SHH were not further subclassified</w:t>
      </w:r>
      <w:r>
        <w:rPr>
          <w:rFonts w:eastAsia="宋体"/>
          <w:color w:val="000000" w:themeColor="text1"/>
          <w:sz w:val="20"/>
          <w:szCs w:val="20"/>
          <w:lang w:val="en-US"/>
          <w14:textFill>
            <w14:solidFill>
              <w14:schemeClr w14:val="tx1"/>
            </w14:solidFill>
          </w14:textFill>
        </w:rPr>
        <w:t xml:space="preserve">. </w:t>
      </w:r>
    </w:p>
    <w:p>
      <w:pPr>
        <w:jc w:val="both"/>
        <w:rPr>
          <w:rFonts w:eastAsia="宋体"/>
          <w:color w:val="000000" w:themeColor="text1"/>
          <w:sz w:val="20"/>
          <w:szCs w:val="20"/>
          <w:lang w:val="en-US"/>
          <w14:textFill>
            <w14:solidFill>
              <w14:schemeClr w14:val="tx1"/>
            </w14:solidFill>
          </w14:textFill>
        </w:rPr>
      </w:pPr>
    </w:p>
    <w:p>
      <w:pPr>
        <w:spacing w:line="240" w:lineRule="exact"/>
        <w:contextualSpacing/>
        <w:jc w:val="both"/>
        <w:rPr>
          <w:b/>
          <w:bCs/>
          <w:color w:val="0070C0"/>
          <w:sz w:val="20"/>
          <w:szCs w:val="20"/>
          <w:lang w:val="en-US"/>
        </w:rPr>
      </w:pPr>
      <w:r>
        <w:rPr>
          <w:b/>
          <w:bCs/>
          <w:color w:val="9E1435"/>
          <w:sz w:val="20"/>
          <w:szCs w:val="20"/>
          <w:lang w:val="en-US"/>
        </w:rPr>
        <w:t>Association of clinicopathological features and the collective molecular subgroups</w:t>
      </w:r>
    </w:p>
    <w:p>
      <w:pPr>
        <w:jc w:val="both"/>
        <w:rPr>
          <w:sz w:val="20"/>
          <w:szCs w:val="20"/>
          <w:lang w:val="en-US"/>
        </w:rPr>
      </w:pPr>
      <w:r>
        <w:rPr>
          <w:rFonts w:eastAsia="宋体"/>
          <w:color w:val="000000"/>
          <w:sz w:val="20"/>
          <w:szCs w:val="20"/>
          <w:lang w:val="en-US"/>
        </w:rPr>
        <w:t xml:space="preserve">We further examined the association between clinicopathological features and the collective molecular subgroups (WNT, SHH TP53+, SHH TP53-, G3, G4) within this first and expansive medulloblastoma cohort, with a particular emphasis on the Asian demographic. </w:t>
      </w:r>
      <w:r>
        <w:rPr>
          <w:rFonts w:eastAsia="宋体"/>
          <w:color w:val="000000"/>
          <w:sz w:val="20"/>
          <w:szCs w:val="20"/>
          <w:highlight w:val="yellow"/>
          <w:lang w:val="en-US"/>
        </w:rPr>
        <w:t>Table 3</w:t>
      </w:r>
      <w:r>
        <w:rPr>
          <w:rFonts w:eastAsia="宋体"/>
          <w:color w:val="000000" w:themeColor="text1"/>
          <w:sz w:val="20"/>
          <w:szCs w:val="20"/>
          <w:lang w:val="en-US"/>
          <w14:textFill>
            <w14:solidFill>
              <w14:schemeClr w14:val="tx1"/>
            </w14:solidFill>
          </w14:textFill>
        </w:rPr>
        <w:t xml:space="preserve"> </w:t>
      </w:r>
      <w:r>
        <w:rPr>
          <w:rFonts w:eastAsia="宋体"/>
          <w:color w:val="000000"/>
          <w:sz w:val="20"/>
          <w:szCs w:val="20"/>
          <w:lang w:val="en-US"/>
        </w:rPr>
        <w:t xml:space="preserve">shows demographic, </w:t>
      </w:r>
      <w:r>
        <w:rPr>
          <w:sz w:val="20"/>
          <w:szCs w:val="20"/>
          <w:lang w:val="en-US"/>
        </w:rPr>
        <w:t>clinicopathological</w:t>
      </w:r>
      <w:r>
        <w:rPr>
          <w:rFonts w:eastAsia="宋体"/>
          <w:color w:val="000000"/>
          <w:sz w:val="20"/>
          <w:szCs w:val="20"/>
          <w:lang w:val="en-US"/>
        </w:rPr>
        <w:t xml:space="preserve">, and prognostic features of molecular subgroups and their association. </w:t>
      </w:r>
      <w:r>
        <w:rPr>
          <w:sz w:val="20"/>
          <w:szCs w:val="20"/>
          <w:lang w:val="en-US"/>
        </w:rPr>
        <w:t xml:space="preserve">Clinicopathological features were non-randomly distributed in subgroups. </w:t>
      </w:r>
    </w:p>
    <w:p>
      <w:pPr>
        <w:jc w:val="both"/>
        <w:rPr>
          <w:sz w:val="20"/>
          <w:szCs w:val="20"/>
          <w:lang w:val="en-US"/>
        </w:rPr>
      </w:pPr>
    </w:p>
    <w:p>
      <w:pPr>
        <w:jc w:val="both"/>
        <w:rPr>
          <w:sz w:val="20"/>
          <w:szCs w:val="20"/>
          <w:lang w:val="en-US"/>
        </w:rPr>
      </w:pPr>
      <w:r>
        <w:rPr>
          <w:sz w:val="20"/>
          <w:szCs w:val="20"/>
          <w:lang w:val="en-US"/>
        </w:rPr>
        <w:t>WNT subgroup occurs primarily in children to early adulthood (median age of diagnosis [IQR], 9 [7, 12]) and exhibits a balanced male versus female ratio (male percentage, 4</w:t>
      </w:r>
      <w:r>
        <w:rPr>
          <w:rFonts w:hint="default"/>
          <w:sz w:val="20"/>
          <w:szCs w:val="20"/>
          <w:lang w:val="en-US"/>
        </w:rPr>
        <w:t>3</w:t>
      </w:r>
      <w:r>
        <w:rPr>
          <w:sz w:val="20"/>
          <w:szCs w:val="20"/>
          <w:lang w:val="en-US"/>
        </w:rPr>
        <w:t>.</w:t>
      </w:r>
      <w:r>
        <w:rPr>
          <w:rFonts w:hint="default"/>
          <w:sz w:val="20"/>
          <w:szCs w:val="20"/>
          <w:lang w:val="en-US"/>
        </w:rPr>
        <w:t>94</w:t>
      </w:r>
      <w:r>
        <w:rPr>
          <w:sz w:val="20"/>
          <w:szCs w:val="20"/>
          <w:lang w:val="en-US"/>
        </w:rPr>
        <w:t>%). WNT tumors are mostly of classic histology (</w:t>
      </w:r>
      <w:r>
        <w:rPr>
          <w:rFonts w:hint="default"/>
          <w:sz w:val="20"/>
          <w:szCs w:val="20"/>
          <w:lang w:val="en-US"/>
        </w:rPr>
        <w:t>91</w:t>
      </w:r>
      <w:r>
        <w:rPr>
          <w:sz w:val="20"/>
          <w:szCs w:val="20"/>
          <w:lang w:val="en-US"/>
        </w:rPr>
        <w:t>.3</w:t>
      </w:r>
      <w:r>
        <w:rPr>
          <w:rFonts w:hint="default"/>
          <w:sz w:val="20"/>
          <w:szCs w:val="20"/>
          <w:lang w:val="en-US"/>
        </w:rPr>
        <w:t>8</w:t>
      </w:r>
      <w:r>
        <w:rPr>
          <w:sz w:val="20"/>
          <w:szCs w:val="20"/>
          <w:lang w:val="en-US"/>
        </w:rPr>
        <w:t xml:space="preserve">%). These observations align with prior findings conducted within EU/USA cohorts </w:t>
      </w:r>
      <w:r>
        <w:rPr>
          <w:sz w:val="20"/>
          <w:szCs w:val="20"/>
          <w:lang w:val="en-US"/>
        </w:rPr>
        <w:fldChar w:fldCharType="begin"/>
      </w:r>
      <w:r>
        <w:rPr>
          <w:sz w:val="20"/>
          <w:szCs w:val="20"/>
          <w:lang w:val="en-US"/>
        </w:rPr>
        <w:instrText xml:space="preserve"> ADDIN EN.CITE &lt;EndNote&gt;&lt;Cite&gt;&lt;Author&gt;Hovestadt&lt;/Author&gt;&lt;Year&gt;2020&lt;/Year&gt;&lt;RecNum&gt;2682&lt;/RecNum&gt;&lt;DisplayText&gt;&lt;style face="superscript"&gt;39&lt;/style&gt;&lt;/DisplayText&gt;&lt;record&gt;&lt;rec-number&gt;2682&lt;/rec-number&gt;&lt;foreign-keys&gt;&lt;key app="EN" db-id="50wxdpzd9vd5r7e9t5b595djrfpttrxw9avp" timestamp="1680770345"&gt;2682&lt;/key&gt;&lt;/foreign-keys&gt;&lt;ref-type name="Journal Article"&gt;17&lt;/ref-type&gt;&lt;contributors&gt;&lt;authors&gt;&lt;author&gt;Hovestadt, Volker&lt;/author&gt;&lt;author&gt;Ayrault, Olivier&lt;/author&gt;&lt;author&gt;Swartling, Fredrik J&lt;/author&gt;&lt;author&gt;Robinson, Giles W&lt;/author&gt;&lt;author&gt;Pfister, Stefan M&lt;/author&gt;&lt;author&gt;Northcott, Paul A&lt;/author&gt;&lt;/authors&gt;&lt;/contributors&gt;&lt;titles&gt;&lt;title&gt;Medulloblastomics revisited: biological and clinical insights from thousands of patients&lt;/title&gt;&lt;secondary-title&gt;Nature Reviews Cancer&lt;/secondary-title&gt;&lt;/titles&gt;&lt;periodical&gt;&lt;full-title&gt;Nature Reviews Cancer&lt;/full-title&gt;&lt;/periodical&gt;&lt;pages&gt;42-56&lt;/pages&gt;&lt;volume&gt;20&lt;/volume&gt;&lt;number&gt;1&lt;/number&gt;&lt;dates&gt;&lt;year&gt;2020&lt;/year&gt;&lt;/dates&gt;&lt;isbn&gt;1474-175X&lt;/isbn&gt;&lt;urls&gt;&lt;/urls&gt;&lt;/record&gt;&lt;/Cite&gt;&lt;/EndNote&gt;</w:instrText>
      </w:r>
      <w:r>
        <w:rPr>
          <w:sz w:val="20"/>
          <w:szCs w:val="20"/>
          <w:lang w:val="en-US"/>
        </w:rPr>
        <w:fldChar w:fldCharType="separate"/>
      </w:r>
      <w:r>
        <w:rPr>
          <w:sz w:val="20"/>
          <w:szCs w:val="20"/>
          <w:vertAlign w:val="superscript"/>
          <w:lang w:val="en-US"/>
        </w:rPr>
        <w:t>39</w:t>
      </w:r>
      <w:r>
        <w:rPr>
          <w:sz w:val="20"/>
          <w:szCs w:val="20"/>
          <w:lang w:val="en-US"/>
        </w:rPr>
        <w:fldChar w:fldCharType="end"/>
      </w:r>
      <w:r>
        <w:rPr>
          <w:sz w:val="20"/>
          <w:szCs w:val="20"/>
          <w:lang w:val="en-US"/>
        </w:rPr>
        <w:t>. The presence of hydrocephalus before surgery in WNT is the lowest (</w:t>
      </w:r>
      <w:r>
        <w:rPr>
          <w:sz w:val="20"/>
          <w:szCs w:val="20"/>
          <w:highlight w:val="red"/>
          <w:lang w:val="en-US"/>
        </w:rPr>
        <w:t>68</w:t>
      </w:r>
      <w:r>
        <w:rPr>
          <w:rFonts w:hint="default"/>
          <w:sz w:val="20"/>
          <w:szCs w:val="20"/>
          <w:highlight w:val="red"/>
          <w:lang w:val="en-US"/>
        </w:rPr>
        <w:t>.18</w:t>
      </w:r>
      <w:r>
        <w:commentReference w:id="0"/>
      </w:r>
      <w:r>
        <w:commentReference w:id="1"/>
      </w:r>
      <w:r>
        <w:rPr>
          <w:sz w:val="20"/>
          <w:szCs w:val="20"/>
          <w:highlight w:val="red"/>
          <w:lang w:val="en-US"/>
        </w:rPr>
        <w:t>%</w:t>
      </w:r>
      <w:r>
        <w:rPr>
          <w:sz w:val="20"/>
          <w:szCs w:val="20"/>
          <w:lang w:val="en-US"/>
        </w:rPr>
        <w:t xml:space="preserve">) among subgroups. The outcomes for patients with WNT are </w:t>
      </w:r>
      <w:r>
        <w:rPr>
          <w:color w:val="000000" w:themeColor="text1"/>
          <w:sz w:val="20"/>
          <w:szCs w:val="20"/>
          <w:lang w:val="en-US"/>
          <w14:textFill>
            <w14:solidFill>
              <w14:schemeClr w14:val="tx1"/>
            </w14:solidFill>
          </w14:textFill>
        </w:rPr>
        <w:t>f</w:t>
      </w:r>
      <w:r>
        <w:rPr>
          <w:color w:val="000000" w:themeColor="text1"/>
          <w:sz w:val="20"/>
          <w:szCs w:val="20"/>
          <w14:textFill>
            <w14:solidFill>
              <w14:schemeClr w14:val="tx1"/>
            </w14:solidFill>
          </w14:textFill>
        </w:rPr>
        <w:t>avourable</w:t>
      </w:r>
      <w:r>
        <w:rPr>
          <w:sz w:val="20"/>
          <w:szCs w:val="20"/>
          <w:lang w:val="en-US"/>
        </w:rPr>
        <w:t>, with 3-year overall survival of 91.</w:t>
      </w:r>
      <w:r>
        <w:rPr>
          <w:rFonts w:hint="default"/>
          <w:sz w:val="20"/>
          <w:szCs w:val="20"/>
          <w:lang w:val="en-US"/>
        </w:rPr>
        <w:t>7</w:t>
      </w:r>
      <w:r>
        <w:rPr>
          <w:sz w:val="20"/>
          <w:szCs w:val="20"/>
          <w:lang w:val="en-US"/>
        </w:rPr>
        <w:t>% and 5-year overall survival of 8</w:t>
      </w:r>
      <w:r>
        <w:rPr>
          <w:rFonts w:hint="default"/>
          <w:sz w:val="20"/>
          <w:szCs w:val="20"/>
          <w:lang w:val="en-US"/>
        </w:rPr>
        <w:t>8.3</w:t>
      </w:r>
      <w:r>
        <w:rPr>
          <w:sz w:val="20"/>
          <w:szCs w:val="20"/>
          <w:lang w:val="en-US"/>
        </w:rPr>
        <w:t xml:space="preserve">%. Conversely, prior studies documented 5-year overall survival exceeding 90% for WNT-MB in EU/USA cohorts </w:t>
      </w:r>
      <w:r>
        <w:rPr>
          <w:sz w:val="20"/>
          <w:szCs w:val="20"/>
          <w:lang w:val="en-US"/>
        </w:rPr>
        <w:fldChar w:fldCharType="begin">
          <w:fldData xml:space="preserve">PEVuZE5vdGU+PENpdGU+PEF1dGhvcj5DYXZhbGxpPC9BdXRob3I+PFllYXI+MjAxNzwvWWVhcj48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==
</w:fldData>
        </w:fldChar>
      </w:r>
      <w:r>
        <w:rPr>
          <w:sz w:val="20"/>
          <w:szCs w:val="20"/>
          <w:lang w:val="en-US"/>
        </w:rPr>
        <w:instrText xml:space="preserve"> ADDIN EN.CITE </w:instrText>
      </w:r>
      <w:r>
        <w:rPr>
          <w:sz w:val="20"/>
          <w:szCs w:val="20"/>
          <w:lang w:val="en-US"/>
        </w:rPr>
        <w:fldChar w:fldCharType="begin">
          <w:fldData xml:space="preserve">PEVuZE5vdGU+PENpdGU+PEF1dGhvcj5DYXZhbGxpPC9BdXRob3I+PFllYXI+MjAxNzwvWWVhcj48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==
</w:fldData>
        </w:fldChar>
      </w:r>
      <w:r>
        <w:rPr>
          <w:sz w:val="20"/>
          <w:szCs w:val="20"/>
          <w:lang w:val="en-US"/>
        </w:rPr>
        <w:instrText xml:space="preserve"> ADDIN EN.CITE.DATA </w:instrText>
      </w:r>
      <w:r>
        <w:rPr>
          <w:sz w:val="20"/>
          <w:szCs w:val="20"/>
          <w:lang w:val="en-US"/>
        </w:rPr>
        <w:fldChar w:fldCharType="end"/>
      </w:r>
      <w:r>
        <w:rPr>
          <w:sz w:val="20"/>
          <w:szCs w:val="20"/>
          <w:lang w:val="en-US"/>
        </w:rPr>
        <w:fldChar w:fldCharType="separate"/>
      </w:r>
      <w:r>
        <w:rPr>
          <w:sz w:val="20"/>
          <w:szCs w:val="20"/>
          <w:vertAlign w:val="superscript"/>
          <w:lang w:val="en-US"/>
        </w:rPr>
        <w:t>7,39,40</w:t>
      </w:r>
      <w:r>
        <w:rPr>
          <w:sz w:val="20"/>
          <w:szCs w:val="20"/>
          <w:lang w:val="en-US"/>
        </w:rPr>
        <w:fldChar w:fldCharType="end"/>
      </w:r>
      <w:r>
        <w:rPr>
          <w:sz w:val="20"/>
          <w:szCs w:val="20"/>
          <w:lang w:val="en-US"/>
        </w:rPr>
        <w:t>. The relatively diminished survival of WNT MB patients within this cohort (</w:t>
      </w:r>
      <w:r>
        <w:rPr>
          <w:sz w:val="20"/>
          <w:szCs w:val="20"/>
          <w:highlight w:val="none"/>
          <w:lang w:val="en-US"/>
        </w:rPr>
        <w:t>n=1</w:t>
      </w:r>
      <w:r>
        <w:rPr>
          <w:rFonts w:hint="default"/>
          <w:sz w:val="20"/>
          <w:szCs w:val="20"/>
          <w:highlight w:val="none"/>
          <w:lang w:val="en-US"/>
        </w:rPr>
        <w:t>32</w:t>
      </w:r>
      <w:r>
        <w:rPr>
          <w:sz w:val="20"/>
          <w:szCs w:val="20"/>
          <w:highlight w:val="none"/>
          <w:lang w:val="en-US"/>
        </w:rPr>
        <w:t>; 9</w:t>
      </w:r>
      <w:r>
        <w:rPr>
          <w:rFonts w:hint="default"/>
          <w:sz w:val="20"/>
          <w:szCs w:val="20"/>
          <w:highlight w:val="none"/>
          <w:lang w:val="en-US"/>
        </w:rPr>
        <w:t>3.94</w:t>
      </w:r>
      <w:r>
        <w:rPr>
          <w:sz w:val="20"/>
          <w:szCs w:val="20"/>
          <w:highlight w:val="none"/>
          <w:lang w:val="en-US"/>
        </w:rPr>
        <w:t>% managed in Asia</w:t>
      </w:r>
      <w:r>
        <w:rPr>
          <w:sz w:val="20"/>
          <w:szCs w:val="20"/>
          <w:lang w:val="en-US"/>
        </w:rPr>
        <w:t>) could potentially arise from instances where certain patients in the Asian subset did not timely undergo adjuvant chemotherapy and radiotherapy subsequent to the primary tumor resection surgery, potentially due to financial constraints or apprehensions regarding associated risks.</w:t>
      </w:r>
    </w:p>
    <w:p>
      <w:pPr>
        <w:jc w:val="both"/>
        <w:rPr>
          <w:sz w:val="20"/>
          <w:szCs w:val="20"/>
          <w:lang w:val="en-US"/>
        </w:rPr>
      </w:pPr>
    </w:p>
    <w:p>
      <w:pPr>
        <w:jc w:val="both"/>
        <w:rPr>
          <w:sz w:val="20"/>
          <w:szCs w:val="20"/>
          <w:lang w:val="en-US"/>
        </w:rPr>
      </w:pPr>
      <w:r>
        <w:rPr>
          <w:sz w:val="20"/>
          <w:szCs w:val="20"/>
          <w:lang w:val="en-US"/>
        </w:rPr>
        <w:t xml:space="preserve">SHH represents the most common molecular subgroup in both infants and adults, especially in TP53- subtype. It is more common in males than in females (approximately 2:1). Classic and DN histology occur at similar frequencies, which is consistent with reports derived from EU/USA cohorts </w:t>
      </w:r>
      <w:r>
        <w:rPr>
          <w:sz w:val="20"/>
          <w:szCs w:val="20"/>
          <w:lang w:val="en-US"/>
        </w:rPr>
        <w:fldChar w:fldCharType="begin"/>
      </w:r>
      <w:r>
        <w:rPr>
          <w:sz w:val="20"/>
          <w:szCs w:val="20"/>
          <w:lang w:val="en-US"/>
        </w:rPr>
        <w:instrText xml:space="preserve"> ADDIN EN.CITE &lt;EndNote&gt;&lt;Cite&gt;&lt;Author&gt;Hovestadt&lt;/Author&gt;&lt;Year&gt;2020&lt;/Year&gt;&lt;RecNum&gt;2682&lt;/RecNum&gt;&lt;DisplayText&gt;&lt;style face="superscript"&gt;39&lt;/style&gt;&lt;/DisplayText&gt;&lt;record&gt;&lt;rec-number&gt;2682&lt;/rec-number&gt;&lt;foreign-keys&gt;&lt;key app="EN" db-id="50wxdpzd9vd5r7e9t5b595djrfpttrxw9avp" timestamp="1680770345"&gt;2682&lt;/key&gt;&lt;/foreign-keys&gt;&lt;ref-type name="Journal Article"&gt;17&lt;/ref-type&gt;&lt;contributors&gt;&lt;authors&gt;&lt;author&gt;Hovestadt, Volker&lt;/author&gt;&lt;author&gt;Ayrault, Olivier&lt;/author&gt;&lt;author&gt;Swartling, Fredrik J&lt;/author&gt;&lt;author&gt;Robinson, Giles W&lt;/author&gt;&lt;author&gt;Pfister, Stefan M&lt;/author&gt;&lt;author&gt;Northcott, Paul A&lt;/author&gt;&lt;/authors&gt;&lt;/contributors&gt;&lt;titles&gt;&lt;title&gt;Medulloblastomics revisited: biological and clinical insights from thousands of patients&lt;/title&gt;&lt;secondary-title&gt;Nature Reviews Cancer&lt;/secondary-title&gt;&lt;/titles&gt;&lt;periodical&gt;&lt;full-title&gt;Nature Reviews Cancer&lt;/full-title&gt;&lt;/periodical&gt;&lt;pages&gt;42-56&lt;/pages&gt;&lt;volume&gt;20&lt;/volume&gt;&lt;number&gt;1&lt;/number&gt;&lt;dates&gt;&lt;year&gt;2020&lt;/year&gt;&lt;/dates&gt;&lt;isbn&gt;1474-175X&lt;/isbn&gt;&lt;urls&gt;&lt;/urls&gt;&lt;/record&gt;&lt;/Cite&gt;&lt;/EndNote&gt;</w:instrText>
      </w:r>
      <w:r>
        <w:rPr>
          <w:sz w:val="20"/>
          <w:szCs w:val="20"/>
          <w:lang w:val="en-US"/>
        </w:rPr>
        <w:fldChar w:fldCharType="separate"/>
      </w:r>
      <w:r>
        <w:rPr>
          <w:sz w:val="20"/>
          <w:szCs w:val="20"/>
          <w:vertAlign w:val="superscript"/>
          <w:lang w:val="en-US"/>
        </w:rPr>
        <w:t>39</w:t>
      </w:r>
      <w:r>
        <w:rPr>
          <w:sz w:val="20"/>
          <w:szCs w:val="20"/>
          <w:lang w:val="en-US"/>
        </w:rPr>
        <w:fldChar w:fldCharType="end"/>
      </w:r>
      <w:r>
        <w:rPr>
          <w:sz w:val="20"/>
          <w:szCs w:val="20"/>
          <w:highlight w:val="yellow"/>
          <w:lang w:val="en-US"/>
        </w:rPr>
        <w:t>. Subtype SHH TP53+ accounts for 28.</w:t>
      </w:r>
      <w:r>
        <w:rPr>
          <w:rFonts w:hint="default"/>
          <w:sz w:val="20"/>
          <w:szCs w:val="20"/>
          <w:highlight w:val="yellow"/>
          <w:lang w:val="en-US"/>
        </w:rPr>
        <w:t>57</w:t>
      </w:r>
      <w:r>
        <w:rPr>
          <w:sz w:val="20"/>
          <w:szCs w:val="20"/>
          <w:highlight w:val="yellow"/>
          <w:lang w:val="en-US"/>
        </w:rPr>
        <w:t>% of patients with SHH, and large cell/anaplastic (LCA) histology is more prevalent in SHH TP53+ than in SHH TP53- (P = 0.0</w:t>
      </w:r>
      <w:r>
        <w:rPr>
          <w:rFonts w:hint="default"/>
          <w:sz w:val="20"/>
          <w:szCs w:val="20"/>
          <w:highlight w:val="yellow"/>
          <w:lang w:val="en-US"/>
        </w:rPr>
        <w:t>065</w:t>
      </w:r>
      <w:r>
        <w:rPr>
          <w:sz w:val="20"/>
          <w:szCs w:val="20"/>
          <w:highlight w:val="yellow"/>
          <w:lang w:val="en-US"/>
        </w:rPr>
        <w:t xml:space="preserve">). </w:t>
      </w:r>
      <w:r>
        <w:rPr>
          <w:color w:val="000000" w:themeColor="text1"/>
          <w:sz w:val="20"/>
          <w:szCs w:val="20"/>
          <w:highlight w:val="yellow"/>
          <w14:textFill>
            <w14:solidFill>
              <w14:schemeClr w14:val="tx1"/>
            </w14:solidFill>
          </w14:textFill>
        </w:rPr>
        <w:t xml:space="preserve">There was significant difference in </w:t>
      </w:r>
      <w:r>
        <w:rPr>
          <w:color w:val="000000" w:themeColor="text1"/>
          <w:sz w:val="20"/>
          <w:szCs w:val="20"/>
          <w:highlight w:val="yellow"/>
          <w:lang w:val="en-US"/>
          <w14:textFill>
            <w14:solidFill>
              <w14:schemeClr w14:val="tx1"/>
            </w14:solidFill>
          </w14:textFill>
        </w:rPr>
        <w:t>the three-year overall survival</w:t>
      </w:r>
      <w:r>
        <w:rPr>
          <w:color w:val="000000" w:themeColor="text1"/>
          <w:sz w:val="20"/>
          <w:szCs w:val="20"/>
          <w:highlight w:val="yellow"/>
          <w14:textFill>
            <w14:solidFill>
              <w14:schemeClr w14:val="tx1"/>
            </w14:solidFill>
          </w14:textFill>
        </w:rPr>
        <w:t xml:space="preserve"> </w:t>
      </w:r>
      <w:r>
        <w:rPr>
          <w:color w:val="000000" w:themeColor="text1"/>
          <w:sz w:val="20"/>
          <w:szCs w:val="20"/>
          <w:highlight w:val="yellow"/>
          <w:lang w:val="en-US"/>
          <w14:textFill>
            <w14:solidFill>
              <w14:schemeClr w14:val="tx1"/>
            </w14:solidFill>
          </w14:textFill>
        </w:rPr>
        <w:t xml:space="preserve">rates </w:t>
      </w:r>
      <w:r>
        <w:rPr>
          <w:color w:val="000000" w:themeColor="text1"/>
          <w:sz w:val="20"/>
          <w:szCs w:val="20"/>
          <w:highlight w:val="yellow"/>
          <w14:textFill>
            <w14:solidFill>
              <w14:schemeClr w14:val="tx1"/>
            </w14:solidFill>
          </w14:textFill>
        </w:rPr>
        <w:t xml:space="preserve">between </w:t>
      </w:r>
      <w:r>
        <w:rPr>
          <w:rFonts w:eastAsia="Arial"/>
          <w:color w:val="000000" w:themeColor="text1"/>
          <w:sz w:val="20"/>
          <w:szCs w:val="20"/>
          <w:highlight w:val="yellow"/>
          <w:lang w:val="en-US"/>
          <w14:textFill>
            <w14:solidFill>
              <w14:schemeClr w14:val="tx1"/>
            </w14:solidFill>
          </w14:textFill>
        </w:rPr>
        <w:t>SHH</w:t>
      </w:r>
      <w:r>
        <w:rPr>
          <w:rFonts w:eastAsia="Arial"/>
          <w:color w:val="000000" w:themeColor="text1"/>
          <w:sz w:val="20"/>
          <w:szCs w:val="20"/>
          <w:highlight w:val="yellow"/>
          <w14:textFill>
            <w14:solidFill>
              <w14:schemeClr w14:val="tx1"/>
            </w14:solidFill>
          </w14:textFill>
        </w:rPr>
        <w:t xml:space="preserve"> </w:t>
      </w:r>
      <w:r>
        <w:rPr>
          <w:rFonts w:eastAsia="宋体"/>
          <w:color w:val="000000" w:themeColor="text1"/>
          <w:sz w:val="20"/>
          <w:szCs w:val="20"/>
          <w:highlight w:val="yellow"/>
          <w14:textFill>
            <w14:solidFill>
              <w14:schemeClr w14:val="tx1"/>
            </w14:solidFill>
          </w14:textFill>
        </w:rPr>
        <w:t>TP53</w:t>
      </w:r>
      <w:r>
        <w:rPr>
          <w:rFonts w:eastAsia="宋体"/>
          <w:color w:val="000000" w:themeColor="text1"/>
          <w:sz w:val="20"/>
          <w:szCs w:val="20"/>
          <w:highlight w:val="yellow"/>
          <w:lang w:val="en-US"/>
          <w14:textFill>
            <w14:solidFill>
              <w14:schemeClr w14:val="tx1"/>
            </w14:solidFill>
          </w14:textFill>
        </w:rPr>
        <w:t>-</w:t>
      </w:r>
      <w:r>
        <w:rPr>
          <w:rFonts w:eastAsia="宋体"/>
          <w:color w:val="000000" w:themeColor="text1"/>
          <w:sz w:val="20"/>
          <w:szCs w:val="20"/>
          <w:highlight w:val="yellow"/>
          <w14:textFill>
            <w14:solidFill>
              <w14:schemeClr w14:val="tx1"/>
            </w14:solidFill>
          </w14:textFill>
        </w:rPr>
        <w:t xml:space="preserve"> and </w:t>
      </w:r>
      <w:r>
        <w:rPr>
          <w:rFonts w:eastAsia="Arial"/>
          <w:color w:val="000000" w:themeColor="text1"/>
          <w:sz w:val="20"/>
          <w:szCs w:val="20"/>
          <w:highlight w:val="yellow"/>
          <w:lang w:val="en-US"/>
          <w14:textFill>
            <w14:solidFill>
              <w14:schemeClr w14:val="tx1"/>
            </w14:solidFill>
          </w14:textFill>
        </w:rPr>
        <w:t>SHH</w:t>
      </w:r>
      <w:r>
        <w:rPr>
          <w:rFonts w:eastAsia="宋体"/>
          <w:color w:val="000000" w:themeColor="text1"/>
          <w:sz w:val="20"/>
          <w:szCs w:val="20"/>
          <w:highlight w:val="yellow"/>
          <w14:textFill>
            <w14:solidFill>
              <w14:schemeClr w14:val="tx1"/>
            </w14:solidFill>
          </w14:textFill>
        </w:rPr>
        <w:t xml:space="preserve"> TP53</w:t>
      </w:r>
      <w:r>
        <w:rPr>
          <w:rFonts w:eastAsia="宋体"/>
          <w:color w:val="000000" w:themeColor="text1"/>
          <w:sz w:val="20"/>
          <w:szCs w:val="20"/>
          <w:highlight w:val="yellow"/>
          <w:lang w:val="en-US"/>
          <w14:textFill>
            <w14:solidFill>
              <w14:schemeClr w14:val="tx1"/>
            </w14:solidFill>
          </w14:textFill>
        </w:rPr>
        <w:t xml:space="preserve">+ </w:t>
      </w:r>
      <w:r>
        <w:rPr>
          <w:color w:val="000000" w:themeColor="text1"/>
          <w:sz w:val="20"/>
          <w:szCs w:val="20"/>
          <w:highlight w:val="yellow"/>
          <w14:textFill>
            <w14:solidFill>
              <w14:schemeClr w14:val="tx1"/>
            </w14:solidFill>
          </w14:textFill>
        </w:rPr>
        <w:t>(</w:t>
      </w:r>
      <w:r>
        <w:rPr>
          <w:color w:val="000000" w:themeColor="text1"/>
          <w:sz w:val="20"/>
          <w:szCs w:val="20"/>
          <w:highlight w:val="red"/>
          <w:lang w:val="en-US"/>
          <w14:textFill>
            <w14:solidFill>
              <w14:schemeClr w14:val="tx1"/>
            </w14:solidFill>
          </w14:textFill>
        </w:rPr>
        <w:t xml:space="preserve">P </w:t>
      </w:r>
      <w:r>
        <w:rPr>
          <w:color w:val="000000" w:themeColor="text1"/>
          <w:sz w:val="20"/>
          <w:szCs w:val="20"/>
          <w:highlight w:val="red"/>
          <w14:textFill>
            <w14:solidFill>
              <w14:schemeClr w14:val="tx1"/>
            </w14:solidFill>
          </w14:textFill>
        </w:rPr>
        <w:t>=</w:t>
      </w:r>
      <w:r>
        <w:rPr>
          <w:color w:val="000000" w:themeColor="text1"/>
          <w:sz w:val="20"/>
          <w:szCs w:val="20"/>
          <w:highlight w:val="red"/>
          <w:lang w:val="en-US"/>
          <w14:textFill>
            <w14:solidFill>
              <w14:schemeClr w14:val="tx1"/>
            </w14:solidFill>
          </w14:textFill>
        </w:rPr>
        <w:t xml:space="preserve"> </w:t>
      </w:r>
      <w:r>
        <w:rPr>
          <w:color w:val="000000" w:themeColor="text1"/>
          <w:sz w:val="20"/>
          <w:szCs w:val="20"/>
          <w:highlight w:val="red"/>
          <w14:textFill>
            <w14:solidFill>
              <w14:schemeClr w14:val="tx1"/>
            </w14:solidFill>
          </w14:textFill>
        </w:rPr>
        <w:t>0.0</w:t>
      </w:r>
      <w:r>
        <w:rPr>
          <w:color w:val="000000" w:themeColor="text1"/>
          <w:sz w:val="20"/>
          <w:szCs w:val="20"/>
          <w:highlight w:val="red"/>
          <w:lang w:val="en-US"/>
          <w14:textFill>
            <w14:solidFill>
              <w14:schemeClr w14:val="tx1"/>
            </w14:solidFill>
          </w14:textFill>
        </w:rPr>
        <w:t>4</w:t>
      </w:r>
      <w:r>
        <w:rPr>
          <w:color w:val="000000" w:themeColor="text1"/>
          <w:sz w:val="20"/>
          <w:szCs w:val="20"/>
          <w:highlight w:val="yellow"/>
          <w14:textFill>
            <w14:solidFill>
              <w14:schemeClr w14:val="tx1"/>
            </w14:solidFill>
          </w14:textFill>
        </w:rPr>
        <w:t>)</w:t>
      </w:r>
      <w:r>
        <w:rPr>
          <w:color w:val="000000" w:themeColor="text1"/>
          <w:sz w:val="20"/>
          <w:szCs w:val="20"/>
          <w:highlight w:val="yellow"/>
          <w:lang w:val="en-US"/>
          <w14:textFill>
            <w14:solidFill>
              <w14:schemeClr w14:val="tx1"/>
            </w14:solidFill>
          </w14:textFill>
        </w:rPr>
        <w:t>.</w:t>
      </w:r>
    </w:p>
    <w:p>
      <w:pPr>
        <w:jc w:val="both"/>
        <w:rPr>
          <w:sz w:val="20"/>
          <w:szCs w:val="20"/>
          <w:lang w:val="en-US"/>
        </w:rPr>
      </w:pPr>
    </w:p>
    <w:p>
      <w:pPr>
        <w:jc w:val="both"/>
        <w:rPr>
          <w:sz w:val="20"/>
          <w:szCs w:val="20"/>
          <w:lang w:val="en-US"/>
        </w:rPr>
      </w:pPr>
      <w:r>
        <w:rPr>
          <w:sz w:val="20"/>
          <w:szCs w:val="20"/>
          <w:lang w:val="en-US"/>
        </w:rPr>
        <w:t xml:space="preserve">The male versus female ratio is 2:1 or higher for G3 and G4 medulloblastoma, which is consistent with reports from other EU/USA cohorts </w:t>
      </w:r>
      <w:r>
        <w:rPr>
          <w:sz w:val="20"/>
          <w:szCs w:val="20"/>
          <w:lang w:val="en-US"/>
        </w:rPr>
        <w:fldChar w:fldCharType="begin"/>
      </w:r>
      <w:r>
        <w:rPr>
          <w:sz w:val="20"/>
          <w:szCs w:val="20"/>
          <w:lang w:val="en-US"/>
        </w:rPr>
        <w:instrText xml:space="preserve"> ADDIN EN.CITE &lt;EndNote&gt;&lt;Cite&gt;&lt;Author&gt;Hovestadt&lt;/Author&gt;&lt;Year&gt;2020&lt;/Year&gt;&lt;RecNum&gt;2682&lt;/RecNum&gt;&lt;DisplayText&gt;&lt;style face="superscript"&gt;39&lt;/style&gt;&lt;/DisplayText&gt;&lt;record&gt;&lt;rec-number&gt;2682&lt;/rec-number&gt;&lt;foreign-keys&gt;&lt;key app="EN" db-id="50wxdpzd9vd5r7e9t5b595djrfpttrxw9avp" timestamp="1680770345"&gt;2682&lt;/key&gt;&lt;/foreign-keys&gt;&lt;ref-type name="Journal Article"&gt;17&lt;/ref-type&gt;&lt;contributors&gt;&lt;authors&gt;&lt;author&gt;Hovestadt, Volker&lt;/author&gt;&lt;author&gt;Ayrault, Olivier&lt;/author&gt;&lt;author&gt;Swartling, Fredrik J&lt;/author&gt;&lt;author&gt;Robinson, Giles W&lt;/author&gt;&lt;author&gt;Pfister, Stefan M&lt;/author&gt;&lt;author&gt;Northcott, Paul A&lt;/author&gt;&lt;/authors&gt;&lt;/contributors&gt;&lt;titles&gt;&lt;title&gt;Medulloblastomics revisited: biological and clinical insights from thousands of patients&lt;/title&gt;&lt;secondary-title&gt;Nature Reviews Cancer&lt;/secondary-title&gt;&lt;/titles&gt;&lt;periodical&gt;&lt;full-title&gt;Nature Reviews Cancer&lt;/full-title&gt;&lt;/periodical&gt;&lt;pages&gt;42-56&lt;/pages&gt;&lt;volume&gt;20&lt;/volume&gt;&lt;number&gt;1&lt;/number&gt;&lt;dates&gt;&lt;year&gt;2020&lt;/year&gt;&lt;/dates&gt;&lt;isbn&gt;1474-175X&lt;/isbn&gt;&lt;urls&gt;&lt;/urls&gt;&lt;/record&gt;&lt;/Cite&gt;&lt;/EndNote&gt;</w:instrText>
      </w:r>
      <w:r>
        <w:rPr>
          <w:sz w:val="20"/>
          <w:szCs w:val="20"/>
          <w:lang w:val="en-US"/>
        </w:rPr>
        <w:fldChar w:fldCharType="separate"/>
      </w:r>
      <w:r>
        <w:rPr>
          <w:sz w:val="20"/>
          <w:szCs w:val="20"/>
          <w:vertAlign w:val="superscript"/>
          <w:lang w:val="en-US"/>
        </w:rPr>
        <w:t>39</w:t>
      </w:r>
      <w:r>
        <w:rPr>
          <w:sz w:val="20"/>
          <w:szCs w:val="20"/>
          <w:lang w:val="en-US"/>
        </w:rPr>
        <w:fldChar w:fldCharType="end"/>
      </w:r>
      <w:r>
        <w:rPr>
          <w:sz w:val="20"/>
          <w:szCs w:val="20"/>
          <w:lang w:val="en-US"/>
        </w:rPr>
        <w:t>. G3 accounts for 2</w:t>
      </w:r>
      <w:r>
        <w:rPr>
          <w:rFonts w:hint="default"/>
          <w:sz w:val="20"/>
          <w:szCs w:val="20"/>
          <w:lang w:val="en-US"/>
        </w:rPr>
        <w:t>0</w:t>
      </w:r>
      <w:r>
        <w:rPr>
          <w:sz w:val="20"/>
          <w:szCs w:val="20"/>
          <w:lang w:val="en-US"/>
        </w:rPr>
        <w:t>.</w:t>
      </w:r>
      <w:r>
        <w:rPr>
          <w:rFonts w:hint="default"/>
          <w:sz w:val="20"/>
          <w:szCs w:val="20"/>
          <w:lang w:val="en-US"/>
        </w:rPr>
        <w:t>80</w:t>
      </w:r>
      <w:r>
        <w:rPr>
          <w:sz w:val="20"/>
          <w:szCs w:val="20"/>
          <w:lang w:val="en-US"/>
        </w:rPr>
        <w:t>% of patients with non-WNT/non-SHH, and it had significantly enriched LCA pathology compared with G4 (</w:t>
      </w:r>
      <w:r>
        <w:rPr>
          <w:sz w:val="20"/>
          <w:szCs w:val="20"/>
          <w:highlight w:val="red"/>
          <w:lang w:val="en-US"/>
        </w:rPr>
        <w:t>P = 0.02</w:t>
      </w:r>
      <w:r>
        <w:rPr>
          <w:sz w:val="20"/>
          <w:szCs w:val="20"/>
          <w:lang w:val="en-US"/>
        </w:rPr>
        <w:t xml:space="preserve">). G3 is associated with significant inferior prognostic outcomes compared with patients of G4 (1-year OS, 3-year OS, and 5-year OS; </w:t>
      </w:r>
      <w:r>
        <w:rPr>
          <w:sz w:val="20"/>
          <w:szCs w:val="20"/>
          <w:highlight w:val="red"/>
          <w:lang w:val="en-US"/>
        </w:rPr>
        <w:t>P &lt; 0.01</w:t>
      </w:r>
      <w:r>
        <w:rPr>
          <w:sz w:val="20"/>
          <w:szCs w:val="20"/>
          <w:lang w:val="en-US"/>
        </w:rPr>
        <w:t xml:space="preserve">; </w:t>
      </w:r>
      <w:r>
        <w:rPr>
          <w:color w:val="0070C0"/>
          <w:sz w:val="20"/>
          <w:szCs w:val="20"/>
          <w:lang w:val="en-US"/>
        </w:rPr>
        <w:t>Table 3</w:t>
      </w:r>
      <w:r>
        <w:rPr>
          <w:sz w:val="20"/>
          <w:szCs w:val="20"/>
          <w:lang w:val="en-US"/>
        </w:rPr>
        <w:t xml:space="preserve">). </w:t>
      </w:r>
    </w:p>
    <w:p>
      <w:pPr>
        <w:rPr>
          <w:lang w:val="en-US"/>
        </w:rPr>
      </w:pPr>
    </w:p>
    <w:p>
      <w:pPr>
        <w:jc w:val="both"/>
        <w:rPr>
          <w:b/>
          <w:bCs/>
          <w:color w:val="9E1435"/>
          <w:sz w:val="20"/>
          <w:szCs w:val="20"/>
          <w:lang w:val="en-US"/>
        </w:rPr>
      </w:pPr>
      <w:r>
        <w:rPr>
          <w:b/>
          <w:bCs/>
          <w:color w:val="9E1435"/>
          <w:sz w:val="20"/>
          <w:szCs w:val="20"/>
          <w:lang w:val="en-US"/>
        </w:rPr>
        <w:t>Comparison between Asian and EU/America MB cohort</w:t>
      </w:r>
    </w:p>
    <w:p>
      <w:pPr>
        <w:rPr>
          <w:rFonts w:hint="default"/>
          <w:sz w:val="20"/>
          <w:szCs w:val="20"/>
          <w:lang w:val="en-US"/>
        </w:rPr>
      </w:pPr>
      <w:r>
        <w:rPr>
          <w:rFonts w:hint="default"/>
          <w:sz w:val="20"/>
          <w:szCs w:val="20"/>
          <w:lang w:val="en-US"/>
        </w:rPr>
        <w:t>Asian and EU/American cohorts show a significant difference in the distribution of the LCA histological subgroups. EU/America patients are more likely to have this kine while it is rare in Asian group.</w:t>
      </w:r>
    </w:p>
    <w:p>
      <w:pPr>
        <w:rPr>
          <w:rFonts w:hint="default"/>
          <w:sz w:val="20"/>
          <w:szCs w:val="20"/>
          <w:lang w:val="en-US"/>
        </w:rPr>
      </w:pPr>
      <w:r>
        <w:rPr>
          <w:rFonts w:hint="default"/>
          <w:sz w:val="20"/>
          <w:szCs w:val="20"/>
          <w:lang w:val="en-US"/>
        </w:rPr>
        <w:t>Asian patients are more likely to have hydrocephalus before surgery compared to EU/America patients (P &lt; 0.0001).</w:t>
      </w:r>
    </w:p>
    <w:p>
      <w:pPr>
        <w:rPr>
          <w:rFonts w:hint="default"/>
          <w:sz w:val="20"/>
          <w:szCs w:val="20"/>
          <w:lang w:val="en-US"/>
        </w:rPr>
      </w:pPr>
      <w:r>
        <w:rPr>
          <w:rFonts w:hint="default"/>
          <w:sz w:val="20"/>
          <w:szCs w:val="20"/>
          <w:lang w:val="en-US"/>
        </w:rPr>
        <w:t>Both of the two cohorts are rara to have intracranial solid metases with the close probabilty (approximately 20%, P=0.1968).</w:t>
      </w:r>
    </w:p>
    <w:p>
      <w:pPr>
        <w:rPr>
          <w:rFonts w:hint="default"/>
          <w:sz w:val="20"/>
          <w:szCs w:val="20"/>
          <w:lang w:val="en-US"/>
        </w:rPr>
      </w:pPr>
      <w:r>
        <w:rPr>
          <w:rFonts w:hint="default"/>
          <w:sz w:val="20"/>
          <w:szCs w:val="20"/>
          <w:lang w:val="en-US"/>
        </w:rPr>
        <w:t>The two cohorts show a significant difference in whether to take STR tumor resection. The other two ways’ (GTR and NTR) ratio between Asian and EU/America cohorts are both close to 1 : 1.</w:t>
      </w:r>
    </w:p>
    <w:p>
      <w:pPr>
        <w:rPr>
          <w:rFonts w:hint="default"/>
          <w:sz w:val="20"/>
          <w:szCs w:val="20"/>
          <w:lang w:val="en-US"/>
        </w:rPr>
      </w:pPr>
      <w:r>
        <w:rPr>
          <w:rFonts w:hint="default"/>
          <w:sz w:val="20"/>
          <w:szCs w:val="20"/>
          <w:lang w:val="en-US"/>
        </w:rPr>
        <w:t>Asian and EU/America patients are both inclined to take chemotherapy (P = 0.3351). And EU/American patients are followed up longer (with the median 46.3 months) than Asian patients (with the median 19, P &lt; 0.0001).</w:t>
      </w:r>
    </w:p>
    <w:p>
      <w:pPr>
        <w:rPr>
          <w:rFonts w:hint="default"/>
          <w:sz w:val="20"/>
          <w:szCs w:val="20"/>
          <w:lang w:val="en-US"/>
        </w:rPr>
      </w:pPr>
      <w:r>
        <w:rPr>
          <w:rFonts w:hint="default"/>
          <w:sz w:val="20"/>
          <w:szCs w:val="20"/>
          <w:lang w:val="en-US"/>
        </w:rPr>
        <w:t>The survival probabilty from 1 year to 5 year2 of EU/American patients is larger than Asian (P = 0.0002).</w:t>
      </w:r>
    </w:p>
    <w:sectPr>
      <w:pgSz w:w="12240" w:h="15840"/>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胡" w:date="2024-04-16T00:51:36Z" w:initials="">
    <w:p w14:paraId="9E5A1807">
      <w:pPr>
        <w:pStyle w:val="5"/>
      </w:pPr>
      <w:r>
        <w:annotationRef/>
      </w:r>
    </w:p>
  </w:comment>
  <w:comment w:id="1" w:author="胡" w:date="2024-04-16T00:51:51Z" w:initials="">
    <w:p w14:paraId="FDFDA7ED">
      <w:pPr>
        <w:pStyle w:val="5"/>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9E5A1807" w15:done="0"/>
  <w15:commentEx w15:paraId="FDFDA7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胡">
    <w15:presenceInfo w15:providerId="WPS Office" w15:userId="88112179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9A7"/>
    <w:rsid w:val="00006C36"/>
    <w:rsid w:val="00020B4A"/>
    <w:rsid w:val="00020D78"/>
    <w:rsid w:val="00022D88"/>
    <w:rsid w:val="00023E16"/>
    <w:rsid w:val="0003089A"/>
    <w:rsid w:val="0003118B"/>
    <w:rsid w:val="000360AA"/>
    <w:rsid w:val="00036D03"/>
    <w:rsid w:val="00044076"/>
    <w:rsid w:val="000443A4"/>
    <w:rsid w:val="00044540"/>
    <w:rsid w:val="00044A5C"/>
    <w:rsid w:val="00045413"/>
    <w:rsid w:val="000509CF"/>
    <w:rsid w:val="0005337D"/>
    <w:rsid w:val="00053740"/>
    <w:rsid w:val="00062B99"/>
    <w:rsid w:val="00063643"/>
    <w:rsid w:val="00066143"/>
    <w:rsid w:val="00067F7C"/>
    <w:rsid w:val="00075F36"/>
    <w:rsid w:val="000769AD"/>
    <w:rsid w:val="00076E8A"/>
    <w:rsid w:val="00077EEE"/>
    <w:rsid w:val="000829D9"/>
    <w:rsid w:val="000838DE"/>
    <w:rsid w:val="00084555"/>
    <w:rsid w:val="00087D71"/>
    <w:rsid w:val="000903F7"/>
    <w:rsid w:val="00096205"/>
    <w:rsid w:val="000A1C02"/>
    <w:rsid w:val="000A1D78"/>
    <w:rsid w:val="000A33D6"/>
    <w:rsid w:val="000A362D"/>
    <w:rsid w:val="000A55EB"/>
    <w:rsid w:val="000A63A7"/>
    <w:rsid w:val="000A7F1A"/>
    <w:rsid w:val="000B1AE8"/>
    <w:rsid w:val="000B20C3"/>
    <w:rsid w:val="000C5C8D"/>
    <w:rsid w:val="000C6603"/>
    <w:rsid w:val="000C7FA2"/>
    <w:rsid w:val="000D0378"/>
    <w:rsid w:val="000D35D2"/>
    <w:rsid w:val="000D5F17"/>
    <w:rsid w:val="000E19EB"/>
    <w:rsid w:val="000E6641"/>
    <w:rsid w:val="000F0DC8"/>
    <w:rsid w:val="000F1D87"/>
    <w:rsid w:val="000F3DAD"/>
    <w:rsid w:val="000F50A7"/>
    <w:rsid w:val="00105F83"/>
    <w:rsid w:val="00107572"/>
    <w:rsid w:val="001105D6"/>
    <w:rsid w:val="00111601"/>
    <w:rsid w:val="00111AEB"/>
    <w:rsid w:val="00112BB6"/>
    <w:rsid w:val="00115C53"/>
    <w:rsid w:val="00130F9F"/>
    <w:rsid w:val="00131788"/>
    <w:rsid w:val="001321FF"/>
    <w:rsid w:val="00140E69"/>
    <w:rsid w:val="00140E88"/>
    <w:rsid w:val="00140F91"/>
    <w:rsid w:val="00143EF1"/>
    <w:rsid w:val="00144BE5"/>
    <w:rsid w:val="00144F6B"/>
    <w:rsid w:val="0014558E"/>
    <w:rsid w:val="0014572B"/>
    <w:rsid w:val="001535A3"/>
    <w:rsid w:val="00157CEC"/>
    <w:rsid w:val="00161668"/>
    <w:rsid w:val="001632C7"/>
    <w:rsid w:val="00170DA6"/>
    <w:rsid w:val="001721A0"/>
    <w:rsid w:val="00180987"/>
    <w:rsid w:val="001839B7"/>
    <w:rsid w:val="00185578"/>
    <w:rsid w:val="00191002"/>
    <w:rsid w:val="0019192B"/>
    <w:rsid w:val="00194BF8"/>
    <w:rsid w:val="0019657C"/>
    <w:rsid w:val="001A23E7"/>
    <w:rsid w:val="001A2D88"/>
    <w:rsid w:val="001A3D35"/>
    <w:rsid w:val="001A5056"/>
    <w:rsid w:val="001A5404"/>
    <w:rsid w:val="001A6298"/>
    <w:rsid w:val="001B1815"/>
    <w:rsid w:val="001B3A41"/>
    <w:rsid w:val="001B7C7D"/>
    <w:rsid w:val="001B7D7A"/>
    <w:rsid w:val="001C0498"/>
    <w:rsid w:val="001C593E"/>
    <w:rsid w:val="001D1826"/>
    <w:rsid w:val="001D1B17"/>
    <w:rsid w:val="001D3422"/>
    <w:rsid w:val="001D6D11"/>
    <w:rsid w:val="001E0D43"/>
    <w:rsid w:val="001E221D"/>
    <w:rsid w:val="001E5681"/>
    <w:rsid w:val="001F5D92"/>
    <w:rsid w:val="00201F5F"/>
    <w:rsid w:val="00210CA9"/>
    <w:rsid w:val="002130E4"/>
    <w:rsid w:val="00214E83"/>
    <w:rsid w:val="00220375"/>
    <w:rsid w:val="00221BA5"/>
    <w:rsid w:val="00226067"/>
    <w:rsid w:val="00226BF6"/>
    <w:rsid w:val="00231B83"/>
    <w:rsid w:val="00231C7C"/>
    <w:rsid w:val="00236DC2"/>
    <w:rsid w:val="0024110D"/>
    <w:rsid w:val="0024420B"/>
    <w:rsid w:val="00247577"/>
    <w:rsid w:val="00250310"/>
    <w:rsid w:val="00250929"/>
    <w:rsid w:val="00251B1A"/>
    <w:rsid w:val="00251BEA"/>
    <w:rsid w:val="00255FD7"/>
    <w:rsid w:val="00265C0D"/>
    <w:rsid w:val="002675E7"/>
    <w:rsid w:val="0026765A"/>
    <w:rsid w:val="00267CDB"/>
    <w:rsid w:val="002718C0"/>
    <w:rsid w:val="00275A09"/>
    <w:rsid w:val="00276B4D"/>
    <w:rsid w:val="00280293"/>
    <w:rsid w:val="0028462D"/>
    <w:rsid w:val="0028578B"/>
    <w:rsid w:val="00287445"/>
    <w:rsid w:val="002942ED"/>
    <w:rsid w:val="00294923"/>
    <w:rsid w:val="002A0BEA"/>
    <w:rsid w:val="002A6F5D"/>
    <w:rsid w:val="002B11E4"/>
    <w:rsid w:val="002B2E21"/>
    <w:rsid w:val="002B32FF"/>
    <w:rsid w:val="002B6D80"/>
    <w:rsid w:val="002C10C4"/>
    <w:rsid w:val="002C20E0"/>
    <w:rsid w:val="002C2AF8"/>
    <w:rsid w:val="002D3637"/>
    <w:rsid w:val="002D43D9"/>
    <w:rsid w:val="002D5FC6"/>
    <w:rsid w:val="002D7611"/>
    <w:rsid w:val="002E39E6"/>
    <w:rsid w:val="002E5983"/>
    <w:rsid w:val="002E69E0"/>
    <w:rsid w:val="002F5147"/>
    <w:rsid w:val="00306739"/>
    <w:rsid w:val="00311136"/>
    <w:rsid w:val="00312390"/>
    <w:rsid w:val="00312F55"/>
    <w:rsid w:val="00313FDE"/>
    <w:rsid w:val="00315D77"/>
    <w:rsid w:val="00317383"/>
    <w:rsid w:val="00317B40"/>
    <w:rsid w:val="00321A8E"/>
    <w:rsid w:val="00322E06"/>
    <w:rsid w:val="00323D5F"/>
    <w:rsid w:val="003343BA"/>
    <w:rsid w:val="00334D4C"/>
    <w:rsid w:val="00335D32"/>
    <w:rsid w:val="00342A1E"/>
    <w:rsid w:val="00343672"/>
    <w:rsid w:val="00345F6B"/>
    <w:rsid w:val="00346718"/>
    <w:rsid w:val="003469E1"/>
    <w:rsid w:val="003472DA"/>
    <w:rsid w:val="003473EE"/>
    <w:rsid w:val="003509C7"/>
    <w:rsid w:val="00350FD7"/>
    <w:rsid w:val="003533F6"/>
    <w:rsid w:val="00354F9B"/>
    <w:rsid w:val="00355E0A"/>
    <w:rsid w:val="00356C2D"/>
    <w:rsid w:val="0036233F"/>
    <w:rsid w:val="00364A1B"/>
    <w:rsid w:val="00371537"/>
    <w:rsid w:val="00371667"/>
    <w:rsid w:val="00372827"/>
    <w:rsid w:val="0037449E"/>
    <w:rsid w:val="00377A14"/>
    <w:rsid w:val="0038114E"/>
    <w:rsid w:val="003854BE"/>
    <w:rsid w:val="003A1B19"/>
    <w:rsid w:val="003A7818"/>
    <w:rsid w:val="003B3DBA"/>
    <w:rsid w:val="003C1F64"/>
    <w:rsid w:val="003C2032"/>
    <w:rsid w:val="003C39DF"/>
    <w:rsid w:val="003C42B4"/>
    <w:rsid w:val="003C480D"/>
    <w:rsid w:val="003C594A"/>
    <w:rsid w:val="003C65E3"/>
    <w:rsid w:val="003D10AB"/>
    <w:rsid w:val="003D3B3C"/>
    <w:rsid w:val="003D3FAB"/>
    <w:rsid w:val="003D6F3A"/>
    <w:rsid w:val="003D75E8"/>
    <w:rsid w:val="003D7882"/>
    <w:rsid w:val="003D7A92"/>
    <w:rsid w:val="003E282D"/>
    <w:rsid w:val="003E2BC0"/>
    <w:rsid w:val="003E3468"/>
    <w:rsid w:val="003E4597"/>
    <w:rsid w:val="00400928"/>
    <w:rsid w:val="004025F6"/>
    <w:rsid w:val="00407F37"/>
    <w:rsid w:val="004108E9"/>
    <w:rsid w:val="00411394"/>
    <w:rsid w:val="004120D7"/>
    <w:rsid w:val="004177CA"/>
    <w:rsid w:val="004228CA"/>
    <w:rsid w:val="0042723D"/>
    <w:rsid w:val="004273DC"/>
    <w:rsid w:val="00430B88"/>
    <w:rsid w:val="0043364C"/>
    <w:rsid w:val="00435223"/>
    <w:rsid w:val="00443C2F"/>
    <w:rsid w:val="004475C1"/>
    <w:rsid w:val="00451CB9"/>
    <w:rsid w:val="00452016"/>
    <w:rsid w:val="00456DB9"/>
    <w:rsid w:val="00457B58"/>
    <w:rsid w:val="004606FD"/>
    <w:rsid w:val="004610DD"/>
    <w:rsid w:val="0047117E"/>
    <w:rsid w:val="00474F30"/>
    <w:rsid w:val="004801F9"/>
    <w:rsid w:val="004802B5"/>
    <w:rsid w:val="00483B96"/>
    <w:rsid w:val="00493234"/>
    <w:rsid w:val="00494C45"/>
    <w:rsid w:val="004B28E7"/>
    <w:rsid w:val="004B4210"/>
    <w:rsid w:val="004C08F5"/>
    <w:rsid w:val="004C1362"/>
    <w:rsid w:val="004C17B2"/>
    <w:rsid w:val="004C1A6F"/>
    <w:rsid w:val="004C1EA1"/>
    <w:rsid w:val="004C2072"/>
    <w:rsid w:val="004D3231"/>
    <w:rsid w:val="004D32FE"/>
    <w:rsid w:val="004D5379"/>
    <w:rsid w:val="004D54C8"/>
    <w:rsid w:val="004D5E83"/>
    <w:rsid w:val="004D78F2"/>
    <w:rsid w:val="004E18EA"/>
    <w:rsid w:val="004E232B"/>
    <w:rsid w:val="004E7AD6"/>
    <w:rsid w:val="004F02C4"/>
    <w:rsid w:val="004F1153"/>
    <w:rsid w:val="004F3B41"/>
    <w:rsid w:val="004F3CBC"/>
    <w:rsid w:val="004F58C4"/>
    <w:rsid w:val="005011B4"/>
    <w:rsid w:val="00505CBE"/>
    <w:rsid w:val="0050750D"/>
    <w:rsid w:val="005109D0"/>
    <w:rsid w:val="00510EBE"/>
    <w:rsid w:val="005150FC"/>
    <w:rsid w:val="00515564"/>
    <w:rsid w:val="005228B9"/>
    <w:rsid w:val="0052299E"/>
    <w:rsid w:val="00526C13"/>
    <w:rsid w:val="0054012C"/>
    <w:rsid w:val="00546CD4"/>
    <w:rsid w:val="00546F4F"/>
    <w:rsid w:val="00546FA9"/>
    <w:rsid w:val="0055031B"/>
    <w:rsid w:val="005505D3"/>
    <w:rsid w:val="00557835"/>
    <w:rsid w:val="00557BD5"/>
    <w:rsid w:val="00560D69"/>
    <w:rsid w:val="005628BD"/>
    <w:rsid w:val="005640DD"/>
    <w:rsid w:val="00567457"/>
    <w:rsid w:val="00573F56"/>
    <w:rsid w:val="0057603F"/>
    <w:rsid w:val="005830D5"/>
    <w:rsid w:val="00591139"/>
    <w:rsid w:val="00591C7B"/>
    <w:rsid w:val="005961DC"/>
    <w:rsid w:val="0059730E"/>
    <w:rsid w:val="005A0357"/>
    <w:rsid w:val="005A45FB"/>
    <w:rsid w:val="005B3256"/>
    <w:rsid w:val="005B408C"/>
    <w:rsid w:val="005B5898"/>
    <w:rsid w:val="005B7ABD"/>
    <w:rsid w:val="005C1CC6"/>
    <w:rsid w:val="005C2A4C"/>
    <w:rsid w:val="005D03C3"/>
    <w:rsid w:val="005D065B"/>
    <w:rsid w:val="005D0875"/>
    <w:rsid w:val="005D5623"/>
    <w:rsid w:val="005E25CF"/>
    <w:rsid w:val="005E35E3"/>
    <w:rsid w:val="005E4270"/>
    <w:rsid w:val="005E70E6"/>
    <w:rsid w:val="005F3EEC"/>
    <w:rsid w:val="005F559B"/>
    <w:rsid w:val="00605DEB"/>
    <w:rsid w:val="006076F1"/>
    <w:rsid w:val="00610739"/>
    <w:rsid w:val="0061619E"/>
    <w:rsid w:val="00620F2F"/>
    <w:rsid w:val="00621B5B"/>
    <w:rsid w:val="00623D9C"/>
    <w:rsid w:val="006240ED"/>
    <w:rsid w:val="006243AD"/>
    <w:rsid w:val="006362EA"/>
    <w:rsid w:val="0063777C"/>
    <w:rsid w:val="0064141D"/>
    <w:rsid w:val="006428B3"/>
    <w:rsid w:val="00650237"/>
    <w:rsid w:val="0065063E"/>
    <w:rsid w:val="006547FB"/>
    <w:rsid w:val="00661D5A"/>
    <w:rsid w:val="00661DA0"/>
    <w:rsid w:val="006658A7"/>
    <w:rsid w:val="00670E42"/>
    <w:rsid w:val="00672BFC"/>
    <w:rsid w:val="00677490"/>
    <w:rsid w:val="006815F0"/>
    <w:rsid w:val="00681BCB"/>
    <w:rsid w:val="00682948"/>
    <w:rsid w:val="006832AB"/>
    <w:rsid w:val="006842F4"/>
    <w:rsid w:val="00685F16"/>
    <w:rsid w:val="006A4225"/>
    <w:rsid w:val="006B5C91"/>
    <w:rsid w:val="006B5D4E"/>
    <w:rsid w:val="006B67C7"/>
    <w:rsid w:val="006B6B9F"/>
    <w:rsid w:val="006C1281"/>
    <w:rsid w:val="006C5C39"/>
    <w:rsid w:val="006C6110"/>
    <w:rsid w:val="006D5153"/>
    <w:rsid w:val="006D6CB2"/>
    <w:rsid w:val="006E3F63"/>
    <w:rsid w:val="006E6680"/>
    <w:rsid w:val="006E6EB1"/>
    <w:rsid w:val="006E7BEC"/>
    <w:rsid w:val="006E7E04"/>
    <w:rsid w:val="006F1AE0"/>
    <w:rsid w:val="00700BCA"/>
    <w:rsid w:val="0070103E"/>
    <w:rsid w:val="0070388F"/>
    <w:rsid w:val="007104BA"/>
    <w:rsid w:val="00710D46"/>
    <w:rsid w:val="00713108"/>
    <w:rsid w:val="007146ED"/>
    <w:rsid w:val="00715972"/>
    <w:rsid w:val="007171FA"/>
    <w:rsid w:val="00721DD7"/>
    <w:rsid w:val="00722C2E"/>
    <w:rsid w:val="00723C9E"/>
    <w:rsid w:val="00726832"/>
    <w:rsid w:val="00727D91"/>
    <w:rsid w:val="00731E30"/>
    <w:rsid w:val="007325DD"/>
    <w:rsid w:val="00735F0B"/>
    <w:rsid w:val="00740540"/>
    <w:rsid w:val="00744D3F"/>
    <w:rsid w:val="00750862"/>
    <w:rsid w:val="00750A88"/>
    <w:rsid w:val="00752BCC"/>
    <w:rsid w:val="00752E21"/>
    <w:rsid w:val="00755CD4"/>
    <w:rsid w:val="007567D1"/>
    <w:rsid w:val="00757D04"/>
    <w:rsid w:val="00760ED7"/>
    <w:rsid w:val="007613DE"/>
    <w:rsid w:val="0077629C"/>
    <w:rsid w:val="007858F3"/>
    <w:rsid w:val="00785CAC"/>
    <w:rsid w:val="00790959"/>
    <w:rsid w:val="007A1534"/>
    <w:rsid w:val="007A4C07"/>
    <w:rsid w:val="007A5BC4"/>
    <w:rsid w:val="007A6A8A"/>
    <w:rsid w:val="007C009E"/>
    <w:rsid w:val="007C0BCE"/>
    <w:rsid w:val="007C0CE6"/>
    <w:rsid w:val="007C1786"/>
    <w:rsid w:val="007C20C0"/>
    <w:rsid w:val="007C677E"/>
    <w:rsid w:val="007C788D"/>
    <w:rsid w:val="007D45B9"/>
    <w:rsid w:val="007D53B4"/>
    <w:rsid w:val="007D58A1"/>
    <w:rsid w:val="007D6C69"/>
    <w:rsid w:val="007E0611"/>
    <w:rsid w:val="007E23FB"/>
    <w:rsid w:val="007E40C5"/>
    <w:rsid w:val="007E540B"/>
    <w:rsid w:val="007E69B9"/>
    <w:rsid w:val="007E6E6A"/>
    <w:rsid w:val="007E76E0"/>
    <w:rsid w:val="007F1BE4"/>
    <w:rsid w:val="007F3382"/>
    <w:rsid w:val="007F3B50"/>
    <w:rsid w:val="007F42B0"/>
    <w:rsid w:val="008017CC"/>
    <w:rsid w:val="008030B3"/>
    <w:rsid w:val="0080458F"/>
    <w:rsid w:val="00805869"/>
    <w:rsid w:val="0080593F"/>
    <w:rsid w:val="00806602"/>
    <w:rsid w:val="008111A7"/>
    <w:rsid w:val="00812747"/>
    <w:rsid w:val="0081353B"/>
    <w:rsid w:val="00815AF4"/>
    <w:rsid w:val="00816419"/>
    <w:rsid w:val="0082074A"/>
    <w:rsid w:val="00821961"/>
    <w:rsid w:val="00823676"/>
    <w:rsid w:val="008253BF"/>
    <w:rsid w:val="008259A5"/>
    <w:rsid w:val="008259C8"/>
    <w:rsid w:val="00825CE0"/>
    <w:rsid w:val="008323C9"/>
    <w:rsid w:val="0083468B"/>
    <w:rsid w:val="00835230"/>
    <w:rsid w:val="008365B3"/>
    <w:rsid w:val="00836A43"/>
    <w:rsid w:val="00840C76"/>
    <w:rsid w:val="00840CB4"/>
    <w:rsid w:val="00842AE1"/>
    <w:rsid w:val="0084302D"/>
    <w:rsid w:val="008459C1"/>
    <w:rsid w:val="00846544"/>
    <w:rsid w:val="00847DBB"/>
    <w:rsid w:val="008532B3"/>
    <w:rsid w:val="0085370B"/>
    <w:rsid w:val="008544F0"/>
    <w:rsid w:val="00854DF2"/>
    <w:rsid w:val="00857AE9"/>
    <w:rsid w:val="00860D4A"/>
    <w:rsid w:val="00863DBB"/>
    <w:rsid w:val="008658A8"/>
    <w:rsid w:val="008712C7"/>
    <w:rsid w:val="00874661"/>
    <w:rsid w:val="008765DA"/>
    <w:rsid w:val="0088167D"/>
    <w:rsid w:val="008834B1"/>
    <w:rsid w:val="00884CEB"/>
    <w:rsid w:val="008869C3"/>
    <w:rsid w:val="008A27EA"/>
    <w:rsid w:val="008A3C13"/>
    <w:rsid w:val="008A4032"/>
    <w:rsid w:val="008A6A03"/>
    <w:rsid w:val="008C04BD"/>
    <w:rsid w:val="008C5256"/>
    <w:rsid w:val="008D11E0"/>
    <w:rsid w:val="008D1F4A"/>
    <w:rsid w:val="008D3F46"/>
    <w:rsid w:val="008D597B"/>
    <w:rsid w:val="008E6EA9"/>
    <w:rsid w:val="008E7656"/>
    <w:rsid w:val="008F0C5F"/>
    <w:rsid w:val="008F1499"/>
    <w:rsid w:val="008F6B2F"/>
    <w:rsid w:val="008F7EF7"/>
    <w:rsid w:val="00903A03"/>
    <w:rsid w:val="009055E8"/>
    <w:rsid w:val="0090680F"/>
    <w:rsid w:val="009124C1"/>
    <w:rsid w:val="00917A2F"/>
    <w:rsid w:val="009204BD"/>
    <w:rsid w:val="0092098A"/>
    <w:rsid w:val="0092341C"/>
    <w:rsid w:val="00926D97"/>
    <w:rsid w:val="00930A63"/>
    <w:rsid w:val="00930CA8"/>
    <w:rsid w:val="0093346F"/>
    <w:rsid w:val="00933EBD"/>
    <w:rsid w:val="00935915"/>
    <w:rsid w:val="009372BA"/>
    <w:rsid w:val="00950D4E"/>
    <w:rsid w:val="009539A7"/>
    <w:rsid w:val="0095525B"/>
    <w:rsid w:val="00955BD8"/>
    <w:rsid w:val="00956166"/>
    <w:rsid w:val="009571E3"/>
    <w:rsid w:val="00957281"/>
    <w:rsid w:val="009601D3"/>
    <w:rsid w:val="00966007"/>
    <w:rsid w:val="00966BD9"/>
    <w:rsid w:val="00983B07"/>
    <w:rsid w:val="00983DE1"/>
    <w:rsid w:val="009864A3"/>
    <w:rsid w:val="00986BB8"/>
    <w:rsid w:val="00987B38"/>
    <w:rsid w:val="009907A0"/>
    <w:rsid w:val="0099119E"/>
    <w:rsid w:val="009928EC"/>
    <w:rsid w:val="0099422D"/>
    <w:rsid w:val="009A14A8"/>
    <w:rsid w:val="009A335B"/>
    <w:rsid w:val="009A4706"/>
    <w:rsid w:val="009A6C92"/>
    <w:rsid w:val="009B061D"/>
    <w:rsid w:val="009B26CC"/>
    <w:rsid w:val="009B38A4"/>
    <w:rsid w:val="009B3BBE"/>
    <w:rsid w:val="009B66A6"/>
    <w:rsid w:val="009B7BA9"/>
    <w:rsid w:val="009C1857"/>
    <w:rsid w:val="009C4449"/>
    <w:rsid w:val="009C4ECE"/>
    <w:rsid w:val="009C53E9"/>
    <w:rsid w:val="009C718E"/>
    <w:rsid w:val="009D0D06"/>
    <w:rsid w:val="009D753B"/>
    <w:rsid w:val="009E333D"/>
    <w:rsid w:val="009E5F07"/>
    <w:rsid w:val="009F09F6"/>
    <w:rsid w:val="009F17DF"/>
    <w:rsid w:val="009F17F1"/>
    <w:rsid w:val="009F1890"/>
    <w:rsid w:val="009F1AD0"/>
    <w:rsid w:val="009F3E1E"/>
    <w:rsid w:val="009F500A"/>
    <w:rsid w:val="00A0007D"/>
    <w:rsid w:val="00A024EA"/>
    <w:rsid w:val="00A02C73"/>
    <w:rsid w:val="00A048B3"/>
    <w:rsid w:val="00A07B7F"/>
    <w:rsid w:val="00A100BF"/>
    <w:rsid w:val="00A124C7"/>
    <w:rsid w:val="00A15926"/>
    <w:rsid w:val="00A16F77"/>
    <w:rsid w:val="00A17437"/>
    <w:rsid w:val="00A263E8"/>
    <w:rsid w:val="00A26C7A"/>
    <w:rsid w:val="00A30E57"/>
    <w:rsid w:val="00A3289F"/>
    <w:rsid w:val="00A32CA0"/>
    <w:rsid w:val="00A33E63"/>
    <w:rsid w:val="00A3545B"/>
    <w:rsid w:val="00A359A4"/>
    <w:rsid w:val="00A406BB"/>
    <w:rsid w:val="00A458F2"/>
    <w:rsid w:val="00A55FC5"/>
    <w:rsid w:val="00A56CDE"/>
    <w:rsid w:val="00A57533"/>
    <w:rsid w:val="00A60ABB"/>
    <w:rsid w:val="00A60BF1"/>
    <w:rsid w:val="00A61397"/>
    <w:rsid w:val="00A7571A"/>
    <w:rsid w:val="00A771D2"/>
    <w:rsid w:val="00A81A8D"/>
    <w:rsid w:val="00A846CD"/>
    <w:rsid w:val="00A8564C"/>
    <w:rsid w:val="00A86DC6"/>
    <w:rsid w:val="00A874D9"/>
    <w:rsid w:val="00A87E3C"/>
    <w:rsid w:val="00A90DEB"/>
    <w:rsid w:val="00A92EB0"/>
    <w:rsid w:val="00A97E01"/>
    <w:rsid w:val="00A97FD5"/>
    <w:rsid w:val="00AA4B22"/>
    <w:rsid w:val="00AA755F"/>
    <w:rsid w:val="00AB0496"/>
    <w:rsid w:val="00AB2C06"/>
    <w:rsid w:val="00AB39C6"/>
    <w:rsid w:val="00AB534B"/>
    <w:rsid w:val="00AC0AAE"/>
    <w:rsid w:val="00AC1360"/>
    <w:rsid w:val="00AC15DA"/>
    <w:rsid w:val="00AC3AA9"/>
    <w:rsid w:val="00AC5285"/>
    <w:rsid w:val="00AD2206"/>
    <w:rsid w:val="00AD381C"/>
    <w:rsid w:val="00AD71FD"/>
    <w:rsid w:val="00AE0A37"/>
    <w:rsid w:val="00AE1E14"/>
    <w:rsid w:val="00AE2258"/>
    <w:rsid w:val="00AE28E4"/>
    <w:rsid w:val="00AE5B8D"/>
    <w:rsid w:val="00AE6B9C"/>
    <w:rsid w:val="00AE79DE"/>
    <w:rsid w:val="00AF0A42"/>
    <w:rsid w:val="00AF18DF"/>
    <w:rsid w:val="00AF4B87"/>
    <w:rsid w:val="00AF7134"/>
    <w:rsid w:val="00B017DE"/>
    <w:rsid w:val="00B01BEC"/>
    <w:rsid w:val="00B13A1B"/>
    <w:rsid w:val="00B1777A"/>
    <w:rsid w:val="00B34EB2"/>
    <w:rsid w:val="00B54082"/>
    <w:rsid w:val="00B57FE9"/>
    <w:rsid w:val="00B64D61"/>
    <w:rsid w:val="00B72692"/>
    <w:rsid w:val="00B754C1"/>
    <w:rsid w:val="00B77CBE"/>
    <w:rsid w:val="00B82792"/>
    <w:rsid w:val="00B82B6E"/>
    <w:rsid w:val="00B8712A"/>
    <w:rsid w:val="00B915EC"/>
    <w:rsid w:val="00B93C8A"/>
    <w:rsid w:val="00B94EDB"/>
    <w:rsid w:val="00B95191"/>
    <w:rsid w:val="00BA09E1"/>
    <w:rsid w:val="00BA10C9"/>
    <w:rsid w:val="00BA1F69"/>
    <w:rsid w:val="00BA2630"/>
    <w:rsid w:val="00BB0FB6"/>
    <w:rsid w:val="00BB22F7"/>
    <w:rsid w:val="00BB32B6"/>
    <w:rsid w:val="00BB4558"/>
    <w:rsid w:val="00BB7785"/>
    <w:rsid w:val="00BC0585"/>
    <w:rsid w:val="00BC09F0"/>
    <w:rsid w:val="00BC1FDA"/>
    <w:rsid w:val="00BC2685"/>
    <w:rsid w:val="00BC52A5"/>
    <w:rsid w:val="00BD01FB"/>
    <w:rsid w:val="00BD12E4"/>
    <w:rsid w:val="00BD3F21"/>
    <w:rsid w:val="00BD4ED9"/>
    <w:rsid w:val="00BD5B28"/>
    <w:rsid w:val="00BE26BD"/>
    <w:rsid w:val="00BE7262"/>
    <w:rsid w:val="00BE7C65"/>
    <w:rsid w:val="00BF05C5"/>
    <w:rsid w:val="00BF2D4B"/>
    <w:rsid w:val="00BF3F86"/>
    <w:rsid w:val="00BF432B"/>
    <w:rsid w:val="00BF4D67"/>
    <w:rsid w:val="00BF5476"/>
    <w:rsid w:val="00BF799F"/>
    <w:rsid w:val="00C22344"/>
    <w:rsid w:val="00C2379E"/>
    <w:rsid w:val="00C23889"/>
    <w:rsid w:val="00C24232"/>
    <w:rsid w:val="00C25AAE"/>
    <w:rsid w:val="00C26C58"/>
    <w:rsid w:val="00C275E7"/>
    <w:rsid w:val="00C27C58"/>
    <w:rsid w:val="00C307F7"/>
    <w:rsid w:val="00C32BE2"/>
    <w:rsid w:val="00C33BAC"/>
    <w:rsid w:val="00C42624"/>
    <w:rsid w:val="00C47A99"/>
    <w:rsid w:val="00C50BE4"/>
    <w:rsid w:val="00C52CB0"/>
    <w:rsid w:val="00C56FAA"/>
    <w:rsid w:val="00C6011B"/>
    <w:rsid w:val="00C674F8"/>
    <w:rsid w:val="00C73D08"/>
    <w:rsid w:val="00C76A1C"/>
    <w:rsid w:val="00C813A2"/>
    <w:rsid w:val="00C8675D"/>
    <w:rsid w:val="00C90608"/>
    <w:rsid w:val="00C92568"/>
    <w:rsid w:val="00C97B6B"/>
    <w:rsid w:val="00CA08C8"/>
    <w:rsid w:val="00CA60C3"/>
    <w:rsid w:val="00CB00C6"/>
    <w:rsid w:val="00CB0130"/>
    <w:rsid w:val="00CB13EC"/>
    <w:rsid w:val="00CC5EFE"/>
    <w:rsid w:val="00CD0E1C"/>
    <w:rsid w:val="00CD2924"/>
    <w:rsid w:val="00CD330C"/>
    <w:rsid w:val="00CD3E0C"/>
    <w:rsid w:val="00CE4E6A"/>
    <w:rsid w:val="00CE51B5"/>
    <w:rsid w:val="00CE5568"/>
    <w:rsid w:val="00CF02C4"/>
    <w:rsid w:val="00CF09D0"/>
    <w:rsid w:val="00CF2065"/>
    <w:rsid w:val="00CF5A62"/>
    <w:rsid w:val="00CF65F3"/>
    <w:rsid w:val="00D05605"/>
    <w:rsid w:val="00D06172"/>
    <w:rsid w:val="00D10679"/>
    <w:rsid w:val="00D14B86"/>
    <w:rsid w:val="00D20FC7"/>
    <w:rsid w:val="00D23E2F"/>
    <w:rsid w:val="00D25EFD"/>
    <w:rsid w:val="00D30554"/>
    <w:rsid w:val="00D310DA"/>
    <w:rsid w:val="00D37B5D"/>
    <w:rsid w:val="00D426DE"/>
    <w:rsid w:val="00D43638"/>
    <w:rsid w:val="00D46CD1"/>
    <w:rsid w:val="00D47C7D"/>
    <w:rsid w:val="00D51F74"/>
    <w:rsid w:val="00D5408B"/>
    <w:rsid w:val="00D646DF"/>
    <w:rsid w:val="00D64785"/>
    <w:rsid w:val="00D662C2"/>
    <w:rsid w:val="00D70477"/>
    <w:rsid w:val="00D70FCC"/>
    <w:rsid w:val="00D737B1"/>
    <w:rsid w:val="00D75BB5"/>
    <w:rsid w:val="00D764F6"/>
    <w:rsid w:val="00D8046A"/>
    <w:rsid w:val="00D8089A"/>
    <w:rsid w:val="00D858A9"/>
    <w:rsid w:val="00D86302"/>
    <w:rsid w:val="00D864BC"/>
    <w:rsid w:val="00D875A2"/>
    <w:rsid w:val="00D92EDD"/>
    <w:rsid w:val="00D93A2D"/>
    <w:rsid w:val="00D95892"/>
    <w:rsid w:val="00DA0347"/>
    <w:rsid w:val="00DA4EF2"/>
    <w:rsid w:val="00DB152C"/>
    <w:rsid w:val="00DB42A3"/>
    <w:rsid w:val="00DB4ABC"/>
    <w:rsid w:val="00DB6E04"/>
    <w:rsid w:val="00DC25C5"/>
    <w:rsid w:val="00DC338F"/>
    <w:rsid w:val="00DD2E4B"/>
    <w:rsid w:val="00DD303F"/>
    <w:rsid w:val="00DD70D7"/>
    <w:rsid w:val="00DE4449"/>
    <w:rsid w:val="00DF1205"/>
    <w:rsid w:val="00DF5138"/>
    <w:rsid w:val="00E000ED"/>
    <w:rsid w:val="00E00581"/>
    <w:rsid w:val="00E025D5"/>
    <w:rsid w:val="00E0798A"/>
    <w:rsid w:val="00E141AE"/>
    <w:rsid w:val="00E20DB1"/>
    <w:rsid w:val="00E24509"/>
    <w:rsid w:val="00E250ED"/>
    <w:rsid w:val="00E2579B"/>
    <w:rsid w:val="00E30B8E"/>
    <w:rsid w:val="00E33597"/>
    <w:rsid w:val="00E41B11"/>
    <w:rsid w:val="00E470C4"/>
    <w:rsid w:val="00E51F2D"/>
    <w:rsid w:val="00E556F6"/>
    <w:rsid w:val="00E57E52"/>
    <w:rsid w:val="00E60FFA"/>
    <w:rsid w:val="00E61173"/>
    <w:rsid w:val="00E646CA"/>
    <w:rsid w:val="00E71EB7"/>
    <w:rsid w:val="00E747F0"/>
    <w:rsid w:val="00E74A52"/>
    <w:rsid w:val="00E8084C"/>
    <w:rsid w:val="00E833BA"/>
    <w:rsid w:val="00E835E3"/>
    <w:rsid w:val="00E83636"/>
    <w:rsid w:val="00E84BA4"/>
    <w:rsid w:val="00E84ED4"/>
    <w:rsid w:val="00E87A0C"/>
    <w:rsid w:val="00E90CD1"/>
    <w:rsid w:val="00E919AB"/>
    <w:rsid w:val="00E938FF"/>
    <w:rsid w:val="00E93B96"/>
    <w:rsid w:val="00E95088"/>
    <w:rsid w:val="00E9511F"/>
    <w:rsid w:val="00E9582E"/>
    <w:rsid w:val="00E95B73"/>
    <w:rsid w:val="00EA16E6"/>
    <w:rsid w:val="00EA42FF"/>
    <w:rsid w:val="00EA77B4"/>
    <w:rsid w:val="00EB5E73"/>
    <w:rsid w:val="00EB60C9"/>
    <w:rsid w:val="00EC1F5B"/>
    <w:rsid w:val="00EC2A58"/>
    <w:rsid w:val="00EC79D7"/>
    <w:rsid w:val="00ED09EC"/>
    <w:rsid w:val="00ED6148"/>
    <w:rsid w:val="00ED67F1"/>
    <w:rsid w:val="00EE02C3"/>
    <w:rsid w:val="00EE0774"/>
    <w:rsid w:val="00EE0D6E"/>
    <w:rsid w:val="00EE16B3"/>
    <w:rsid w:val="00EE45AF"/>
    <w:rsid w:val="00EE5421"/>
    <w:rsid w:val="00EE7A6F"/>
    <w:rsid w:val="00EF03EE"/>
    <w:rsid w:val="00EF12C6"/>
    <w:rsid w:val="00EF4CDC"/>
    <w:rsid w:val="00F005DE"/>
    <w:rsid w:val="00F040D0"/>
    <w:rsid w:val="00F14FAE"/>
    <w:rsid w:val="00F2134F"/>
    <w:rsid w:val="00F24ED7"/>
    <w:rsid w:val="00F32A49"/>
    <w:rsid w:val="00F347A8"/>
    <w:rsid w:val="00F40A59"/>
    <w:rsid w:val="00F44EAF"/>
    <w:rsid w:val="00F44EB2"/>
    <w:rsid w:val="00F46E30"/>
    <w:rsid w:val="00F50F96"/>
    <w:rsid w:val="00F51926"/>
    <w:rsid w:val="00F527E1"/>
    <w:rsid w:val="00F5395E"/>
    <w:rsid w:val="00F55E08"/>
    <w:rsid w:val="00F573FA"/>
    <w:rsid w:val="00F607D3"/>
    <w:rsid w:val="00F645ED"/>
    <w:rsid w:val="00F708DF"/>
    <w:rsid w:val="00F70F06"/>
    <w:rsid w:val="00F73AA4"/>
    <w:rsid w:val="00F8145A"/>
    <w:rsid w:val="00F85A71"/>
    <w:rsid w:val="00F9371D"/>
    <w:rsid w:val="00F95E88"/>
    <w:rsid w:val="00FA069A"/>
    <w:rsid w:val="00FA37D3"/>
    <w:rsid w:val="00FA4D27"/>
    <w:rsid w:val="00FA7CAE"/>
    <w:rsid w:val="00FB02EA"/>
    <w:rsid w:val="00FB108F"/>
    <w:rsid w:val="00FB3426"/>
    <w:rsid w:val="00FB47DE"/>
    <w:rsid w:val="00FB5766"/>
    <w:rsid w:val="00FB72DA"/>
    <w:rsid w:val="00FB7696"/>
    <w:rsid w:val="00FC1387"/>
    <w:rsid w:val="00FC242A"/>
    <w:rsid w:val="00FC327F"/>
    <w:rsid w:val="00FC52B5"/>
    <w:rsid w:val="00FD0500"/>
    <w:rsid w:val="00FD09BB"/>
    <w:rsid w:val="00FD0CFB"/>
    <w:rsid w:val="00FD1FC5"/>
    <w:rsid w:val="00FD2CD6"/>
    <w:rsid w:val="00FD72DB"/>
    <w:rsid w:val="00FE19E1"/>
    <w:rsid w:val="00FE7CE3"/>
    <w:rsid w:val="00FF54EC"/>
    <w:rsid w:val="00FF5DD1"/>
    <w:rsid w:val="00FF67F8"/>
    <w:rsid w:val="00FF7073"/>
    <w:rsid w:val="00FF7F89"/>
    <w:rsid w:val="66AEF281"/>
    <w:rsid w:val="77771282"/>
    <w:rsid w:val="BB6F8CA8"/>
    <w:rsid w:val="E2FDAF6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unhideWhenUsed/>
    <w:qFormat/>
    <w:uiPriority w:val="99"/>
    <w:rPr>
      <w:sz w:val="16"/>
      <w:szCs w:val="16"/>
    </w:rPr>
  </w:style>
  <w:style w:type="paragraph" w:styleId="5">
    <w:name w:val="annotation text"/>
    <w:basedOn w:val="1"/>
    <w:link w:val="6"/>
    <w:unhideWhenUsed/>
    <w:qFormat/>
    <w:uiPriority w:val="99"/>
    <w:rPr>
      <w:sz w:val="20"/>
      <w:szCs w:val="20"/>
    </w:rPr>
  </w:style>
  <w:style w:type="character" w:customStyle="1" w:styleId="6">
    <w:name w:val="Comment Text Char"/>
    <w:basedOn w:val="2"/>
    <w:link w:val="5"/>
    <w:qFormat/>
    <w:uiPriority w:val="99"/>
    <w:rPr>
      <w:rFonts w:ascii="Times New Roman" w:hAnsi="Times New Roman" w:eastAsia="Times New Roman" w:cs="Times New Roman"/>
      <w:sz w:val="20"/>
      <w:szCs w:val="20"/>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1057</Words>
  <Characters>6030</Characters>
  <Lines>50</Lines>
  <Paragraphs>14</Paragraphs>
  <TotalTime>64</TotalTime>
  <ScaleCrop>false</ScaleCrop>
  <LinksUpToDate>false</LinksUpToDate>
  <CharactersWithSpaces>7073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2024-04-15T13:19:00Z</dcterms:created>
  <dc:creator>Yan-Ran Wang</dc:creator>
  <cp:lastModifiedBy>胡</cp:lastModifiedBy>
  <dcterms:modified xsi:type="dcterms:W3CDTF">2024-04-16T01:21:10Z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FDAC69639C8112D967431D6665357D5D_42</vt:lpwstr>
  </property>
</Properties>
</file>