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69B4" w14:textId="77777777" w:rsidR="00186A56" w:rsidRPr="008813ED" w:rsidRDefault="00186A56" w:rsidP="00186A56">
      <w:pPr>
        <w:spacing w:line="240" w:lineRule="exact"/>
        <w:jc w:val="both"/>
        <w:rPr>
          <w:b/>
          <w:bCs/>
          <w:color w:val="9E1435"/>
          <w:sz w:val="20"/>
          <w:szCs w:val="20"/>
          <w:lang w:val="en-US"/>
        </w:rPr>
      </w:pPr>
      <w:r w:rsidRPr="004B1A64">
        <w:rPr>
          <w:b/>
          <w:bCs/>
          <w:color w:val="9E1435"/>
          <w:sz w:val="20"/>
          <w:szCs w:val="20"/>
          <w:lang w:val="en-US"/>
        </w:rPr>
        <w:t xml:space="preserve">Prognostic </w:t>
      </w:r>
      <w:r>
        <w:rPr>
          <w:b/>
          <w:bCs/>
          <w:color w:val="9E1435"/>
          <w:sz w:val="20"/>
          <w:szCs w:val="20"/>
          <w:lang w:val="en-US"/>
        </w:rPr>
        <w:t>e</w:t>
      </w:r>
      <w:r w:rsidRPr="004B1A64">
        <w:rPr>
          <w:b/>
          <w:bCs/>
          <w:color w:val="9E1435"/>
          <w:sz w:val="20"/>
          <w:szCs w:val="20"/>
          <w:lang w:val="en-US"/>
        </w:rPr>
        <w:t xml:space="preserve">ffect of </w:t>
      </w:r>
      <w:r>
        <w:rPr>
          <w:b/>
          <w:bCs/>
          <w:color w:val="9E1435"/>
          <w:sz w:val="20"/>
          <w:szCs w:val="20"/>
          <w:lang w:val="en-US"/>
        </w:rPr>
        <w:t>m</w:t>
      </w:r>
      <w:r w:rsidRPr="004B1A64">
        <w:rPr>
          <w:b/>
          <w:bCs/>
          <w:color w:val="9E1435"/>
          <w:sz w:val="20"/>
          <w:szCs w:val="20"/>
          <w:lang w:val="en-US"/>
        </w:rPr>
        <w:t xml:space="preserve">olecular </w:t>
      </w:r>
      <w:r>
        <w:rPr>
          <w:b/>
          <w:bCs/>
          <w:color w:val="9E1435"/>
          <w:sz w:val="20"/>
          <w:szCs w:val="20"/>
          <w:lang w:val="en-US"/>
        </w:rPr>
        <w:t>s</w:t>
      </w:r>
      <w:r w:rsidRPr="004B1A64">
        <w:rPr>
          <w:b/>
          <w:bCs/>
          <w:color w:val="9E1435"/>
          <w:sz w:val="20"/>
          <w:szCs w:val="20"/>
          <w:lang w:val="en-US"/>
        </w:rPr>
        <w:t>ubgroups</w:t>
      </w:r>
    </w:p>
    <w:p w14:paraId="10E2EF04" w14:textId="77777777" w:rsidR="00186A56" w:rsidRPr="008F50EE" w:rsidRDefault="00186A56" w:rsidP="00186A56">
      <w:pPr>
        <w:jc w:val="both"/>
        <w:rPr>
          <w:color w:val="000000" w:themeColor="text1"/>
          <w:sz w:val="20"/>
          <w:szCs w:val="20"/>
        </w:rPr>
      </w:pPr>
      <w:r w:rsidRPr="008F50EE">
        <w:rPr>
          <w:color w:val="000000" w:themeColor="text1"/>
          <w:sz w:val="20"/>
          <w:szCs w:val="20"/>
        </w:rPr>
        <w:t>To assess principal molecular subgroup outcomes derived from the</w:t>
      </w:r>
      <w:r>
        <w:rPr>
          <w:color w:val="000000" w:themeColor="text1"/>
          <w:sz w:val="20"/>
          <w:szCs w:val="20"/>
          <w:lang w:val="en-US"/>
        </w:rPr>
        <w:t xml:space="preserve"> WHO guidelines,</w:t>
      </w:r>
      <w:r w:rsidRPr="008F50EE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  <w:lang w:val="en-US"/>
        </w:rPr>
        <w:t>p</w:t>
      </w:r>
      <w:r w:rsidRPr="00907305">
        <w:rPr>
          <w:color w:val="000000" w:themeColor="text1"/>
          <w:sz w:val="20"/>
          <w:szCs w:val="20"/>
        </w:rPr>
        <w:t xml:space="preserve">atients were classified by principal molecular subtype as described in the 2021 WHO Classification (i.e., WNT, SHH TP53+, SHH TP53-, non-WNT/non-SHH). This was further compared to results when classified according to the 2016 WHO Classification (i.e., WNT, SHH, </w:t>
      </w:r>
      <w:r>
        <w:rPr>
          <w:color w:val="000000" w:themeColor="text1"/>
          <w:sz w:val="20"/>
          <w:szCs w:val="20"/>
          <w:lang w:val="en-US"/>
        </w:rPr>
        <w:t>G3</w:t>
      </w:r>
      <w:r w:rsidRPr="00907305">
        <w:rPr>
          <w:color w:val="000000" w:themeColor="text1"/>
          <w:sz w:val="20"/>
          <w:szCs w:val="20"/>
        </w:rPr>
        <w:t xml:space="preserve">, and </w:t>
      </w:r>
      <w:r>
        <w:rPr>
          <w:color w:val="000000" w:themeColor="text1"/>
          <w:sz w:val="20"/>
          <w:szCs w:val="20"/>
          <w:lang w:val="en-US"/>
        </w:rPr>
        <w:t>G</w:t>
      </w:r>
      <w:r w:rsidRPr="00907305">
        <w:rPr>
          <w:color w:val="000000" w:themeColor="text1"/>
          <w:sz w:val="20"/>
          <w:szCs w:val="20"/>
        </w:rPr>
        <w:t>4).</w:t>
      </w:r>
      <w:r>
        <w:rPr>
          <w:color w:val="000000" w:themeColor="text1"/>
          <w:sz w:val="20"/>
          <w:szCs w:val="20"/>
          <w:lang w:val="en-US"/>
        </w:rPr>
        <w:t xml:space="preserve"> </w:t>
      </w:r>
    </w:p>
    <w:p w14:paraId="6CF83103" w14:textId="77777777" w:rsidR="00186A56" w:rsidRDefault="00186A56" w:rsidP="00186A56">
      <w:pPr>
        <w:jc w:val="both"/>
        <w:rPr>
          <w:color w:val="000000" w:themeColor="text1"/>
          <w:sz w:val="20"/>
          <w:szCs w:val="20"/>
          <w:lang w:val="en-US"/>
        </w:rPr>
      </w:pPr>
    </w:p>
    <w:p w14:paraId="087D21A6" w14:textId="77777777" w:rsidR="00186A56" w:rsidRPr="004B1A64" w:rsidRDefault="00186A56" w:rsidP="00186A56">
      <w:pPr>
        <w:jc w:val="both"/>
        <w:rPr>
          <w:color w:val="000000" w:themeColor="text1"/>
          <w:sz w:val="20"/>
          <w:szCs w:val="20"/>
          <w:lang w:val="en-US"/>
        </w:rPr>
      </w:pPr>
      <w:r w:rsidRPr="004B1A64">
        <w:rPr>
          <w:color w:val="000000" w:themeColor="text1"/>
          <w:sz w:val="20"/>
          <w:szCs w:val="20"/>
        </w:rPr>
        <w:t xml:space="preserve">We </w:t>
      </w:r>
      <w:r w:rsidRPr="004B1A64">
        <w:rPr>
          <w:color w:val="000000" w:themeColor="text1"/>
          <w:sz w:val="20"/>
          <w:szCs w:val="20"/>
          <w:lang w:val="en-US"/>
        </w:rPr>
        <w:t xml:space="preserve">first </w:t>
      </w:r>
      <w:r w:rsidRPr="004B1A64">
        <w:rPr>
          <w:color w:val="000000" w:themeColor="text1"/>
          <w:sz w:val="20"/>
          <w:szCs w:val="20"/>
        </w:rPr>
        <w:t xml:space="preserve">assessed survival in a Kaplan–Meier analysis of </w:t>
      </w:r>
      <w:r>
        <w:rPr>
          <w:color w:val="000000" w:themeColor="text1"/>
          <w:sz w:val="20"/>
          <w:szCs w:val="20"/>
          <w:lang w:val="en-US"/>
        </w:rPr>
        <w:t xml:space="preserve">the two </w:t>
      </w:r>
      <w:r w:rsidRPr="004B1A64">
        <w:rPr>
          <w:color w:val="000000" w:themeColor="text1"/>
          <w:sz w:val="20"/>
          <w:szCs w:val="20"/>
          <w:lang w:val="en-US"/>
        </w:rPr>
        <w:t>classification</w:t>
      </w:r>
      <w:r>
        <w:rPr>
          <w:color w:val="000000" w:themeColor="text1"/>
          <w:sz w:val="20"/>
          <w:szCs w:val="20"/>
          <w:lang w:val="en-US"/>
        </w:rPr>
        <w:t xml:space="preserve"> schemes</w:t>
      </w:r>
      <w:r w:rsidRPr="004B1A64">
        <w:rPr>
          <w:color w:val="000000" w:themeColor="text1"/>
          <w:sz w:val="20"/>
          <w:szCs w:val="20"/>
        </w:rPr>
        <w:t>. The log-rank test revealed</w:t>
      </w:r>
      <w:r w:rsidRPr="004B1A64">
        <w:rPr>
          <w:color w:val="000000" w:themeColor="text1"/>
          <w:sz w:val="20"/>
          <w:szCs w:val="20"/>
          <w:lang w:val="en-US"/>
        </w:rPr>
        <w:t xml:space="preserve"> </w:t>
      </w:r>
      <w:r w:rsidRPr="004B1A64">
        <w:rPr>
          <w:color w:val="000000" w:themeColor="text1"/>
          <w:sz w:val="20"/>
          <w:szCs w:val="20"/>
        </w:rPr>
        <w:t>highly significant difference</w:t>
      </w:r>
      <w:r w:rsidRPr="004B1A64">
        <w:rPr>
          <w:color w:val="000000" w:themeColor="text1"/>
          <w:sz w:val="20"/>
          <w:szCs w:val="20"/>
          <w:lang w:val="en-US"/>
        </w:rPr>
        <w:t>s in survival across subgroups for both molecular classification schemes, with the 2016</w:t>
      </w:r>
      <w:r>
        <w:rPr>
          <w:color w:val="000000" w:themeColor="text1"/>
          <w:sz w:val="20"/>
          <w:szCs w:val="20"/>
          <w:lang w:val="en-US"/>
        </w:rPr>
        <w:t xml:space="preserve"> </w:t>
      </w:r>
      <w:r w:rsidRPr="004B1A64">
        <w:rPr>
          <w:color w:val="000000" w:themeColor="text1"/>
          <w:sz w:val="20"/>
          <w:szCs w:val="20"/>
          <w:lang w:val="en-US"/>
        </w:rPr>
        <w:t xml:space="preserve">classification demonstrating more </w:t>
      </w:r>
      <w:r w:rsidRPr="004B1A64">
        <w:rPr>
          <w:rFonts w:eastAsia="Arial"/>
          <w:color w:val="000000" w:themeColor="text1"/>
          <w:sz w:val="20"/>
          <w:szCs w:val="20"/>
          <w:lang w:val="en-US" w:bidi="en-US"/>
        </w:rPr>
        <w:t>statistically significant between subgroup differences (</w:t>
      </w:r>
      <w:r w:rsidRPr="004B1A64">
        <w:rPr>
          <w:color w:val="000000" w:themeColor="text1"/>
          <w:sz w:val="20"/>
          <w:szCs w:val="20"/>
        </w:rPr>
        <w:t>P &lt; 0.0001</w:t>
      </w:r>
      <w:r w:rsidRPr="004B1A64">
        <w:rPr>
          <w:color w:val="000000" w:themeColor="text1"/>
          <w:sz w:val="20"/>
          <w:szCs w:val="20"/>
          <w:lang w:val="en-US"/>
        </w:rPr>
        <w:t xml:space="preserve"> versus P = </w:t>
      </w:r>
      <w:r w:rsidRPr="004B1A64">
        <w:rPr>
          <w:color w:val="000000" w:themeColor="text1"/>
          <w:sz w:val="20"/>
          <w:szCs w:val="20"/>
        </w:rPr>
        <w:t>0.0043</w:t>
      </w:r>
      <w:r w:rsidRPr="004B1A64">
        <w:rPr>
          <w:rFonts w:eastAsia="Arial"/>
          <w:color w:val="000000" w:themeColor="text1"/>
          <w:sz w:val="20"/>
          <w:szCs w:val="20"/>
          <w:lang w:val="en-US" w:bidi="en-US"/>
        </w:rPr>
        <w:t>;</w:t>
      </w:r>
      <w:r w:rsidRPr="004B1A64">
        <w:rPr>
          <w:color w:val="000000" w:themeColor="text1"/>
          <w:sz w:val="20"/>
          <w:szCs w:val="20"/>
        </w:rPr>
        <w:t xml:space="preserve"> </w:t>
      </w:r>
      <w:r w:rsidRPr="004B1A64">
        <w:rPr>
          <w:color w:val="0070C0"/>
          <w:sz w:val="20"/>
          <w:szCs w:val="20"/>
        </w:rPr>
        <w:t xml:space="preserve">Figure </w:t>
      </w:r>
      <w:r w:rsidRPr="004B1A64">
        <w:rPr>
          <w:color w:val="0070C0"/>
          <w:sz w:val="20"/>
          <w:szCs w:val="20"/>
          <w:lang w:val="en-US"/>
        </w:rPr>
        <w:t>2</w:t>
      </w:r>
      <w:r w:rsidRPr="004B1A64">
        <w:rPr>
          <w:color w:val="0070C0"/>
          <w:sz w:val="20"/>
          <w:szCs w:val="20"/>
        </w:rPr>
        <w:t>A</w:t>
      </w:r>
      <w:r w:rsidRPr="004B1A64">
        <w:rPr>
          <w:color w:val="000000" w:themeColor="text1"/>
          <w:sz w:val="20"/>
          <w:szCs w:val="20"/>
        </w:rPr>
        <w:t xml:space="preserve"> and </w:t>
      </w:r>
      <w:r w:rsidRPr="004B1A64">
        <w:rPr>
          <w:color w:val="0070C0"/>
          <w:sz w:val="20"/>
          <w:szCs w:val="20"/>
          <w:lang w:val="en-US"/>
        </w:rPr>
        <w:t>2</w:t>
      </w:r>
      <w:r w:rsidRPr="004B1A64">
        <w:rPr>
          <w:color w:val="0070C0"/>
          <w:sz w:val="20"/>
          <w:szCs w:val="20"/>
        </w:rPr>
        <w:t>B</w:t>
      </w:r>
      <w:r w:rsidRPr="004B1A64">
        <w:rPr>
          <w:color w:val="000000" w:themeColor="text1"/>
          <w:sz w:val="20"/>
          <w:szCs w:val="20"/>
          <w:lang w:val="en-US"/>
        </w:rPr>
        <w:t>)</w:t>
      </w:r>
      <w:r w:rsidRPr="004B1A64">
        <w:rPr>
          <w:color w:val="000000" w:themeColor="text1"/>
          <w:sz w:val="20"/>
          <w:szCs w:val="20"/>
        </w:rPr>
        <w:t>.</w:t>
      </w:r>
      <w:r w:rsidRPr="004B1A64">
        <w:rPr>
          <w:color w:val="000000" w:themeColor="text1"/>
          <w:sz w:val="20"/>
          <w:szCs w:val="20"/>
          <w:lang w:val="en-US"/>
        </w:rPr>
        <w:t xml:space="preserve"> Meanwhile, f</w:t>
      </w:r>
      <w:r w:rsidRPr="004B1A64">
        <w:rPr>
          <w:color w:val="000000" w:themeColor="text1"/>
          <w:sz w:val="20"/>
          <w:szCs w:val="20"/>
        </w:rPr>
        <w:t xml:space="preserve">avourable </w:t>
      </w:r>
      <w:r w:rsidRPr="004B1A64">
        <w:rPr>
          <w:color w:val="000000" w:themeColor="text1"/>
          <w:sz w:val="20"/>
          <w:szCs w:val="20"/>
          <w:lang w:val="en-US"/>
        </w:rPr>
        <w:t xml:space="preserve">survival </w:t>
      </w:r>
      <w:r w:rsidRPr="004B1A64">
        <w:rPr>
          <w:color w:val="000000" w:themeColor="text1"/>
          <w:sz w:val="20"/>
          <w:szCs w:val="20"/>
        </w:rPr>
        <w:t xml:space="preserve">outcomes for WNT </w:t>
      </w:r>
      <w:r w:rsidRPr="004B1A64">
        <w:rPr>
          <w:color w:val="000000" w:themeColor="text1"/>
          <w:sz w:val="20"/>
          <w:szCs w:val="20"/>
          <w:lang w:val="en-US"/>
        </w:rPr>
        <w:t>subtype</w:t>
      </w:r>
      <w:r w:rsidRPr="004B1A64">
        <w:rPr>
          <w:color w:val="000000" w:themeColor="text1"/>
          <w:sz w:val="20"/>
          <w:szCs w:val="20"/>
        </w:rPr>
        <w:t xml:space="preserve"> were confirmed</w:t>
      </w:r>
      <w:r w:rsidRPr="004B1A64">
        <w:rPr>
          <w:color w:val="000000" w:themeColor="text1"/>
          <w:sz w:val="20"/>
          <w:szCs w:val="20"/>
          <w:lang w:val="en-US"/>
        </w:rPr>
        <w:t xml:space="preserve"> in </w:t>
      </w:r>
      <w:r w:rsidRPr="004B1A64">
        <w:rPr>
          <w:color w:val="000000" w:themeColor="text1"/>
          <w:sz w:val="20"/>
          <w:szCs w:val="20"/>
        </w:rPr>
        <w:t>Kaplan–Meier</w:t>
      </w:r>
      <w:r w:rsidRPr="004B1A64">
        <w:rPr>
          <w:color w:val="000000" w:themeColor="text1"/>
          <w:sz w:val="20"/>
          <w:szCs w:val="20"/>
          <w:lang w:val="en-US"/>
        </w:rPr>
        <w:t xml:space="preserve"> analysis. We then examined the Kaplan-Meier estimates of survival probability, specifically focusing on G3 versus G4 and SHH TP53- versus SHH TP53+ subgroups. The results are displayed in </w:t>
      </w:r>
      <w:r w:rsidRPr="004B1A64">
        <w:rPr>
          <w:color w:val="0070C0"/>
          <w:sz w:val="20"/>
          <w:szCs w:val="20"/>
          <w:lang w:val="en-US"/>
        </w:rPr>
        <w:t>Figure 2C</w:t>
      </w:r>
      <w:r w:rsidRPr="004B1A64">
        <w:rPr>
          <w:color w:val="000000" w:themeColor="text1"/>
          <w:sz w:val="20"/>
          <w:szCs w:val="20"/>
          <w:lang w:val="en-US"/>
        </w:rPr>
        <w:t xml:space="preserve"> and </w:t>
      </w:r>
      <w:r w:rsidRPr="004B1A64">
        <w:rPr>
          <w:color w:val="0070C0"/>
          <w:sz w:val="20"/>
          <w:szCs w:val="20"/>
          <w:lang w:val="en-US"/>
        </w:rPr>
        <w:t>2D</w:t>
      </w:r>
      <w:r w:rsidRPr="004B1A64">
        <w:rPr>
          <w:color w:val="000000" w:themeColor="text1"/>
          <w:sz w:val="20"/>
          <w:szCs w:val="20"/>
          <w:lang w:val="en-US"/>
        </w:rPr>
        <w:t xml:space="preserve">. </w:t>
      </w:r>
      <w:r w:rsidRPr="004B1A64">
        <w:rPr>
          <w:color w:val="000000" w:themeColor="text1"/>
          <w:sz w:val="20"/>
          <w:szCs w:val="20"/>
        </w:rPr>
        <w:t xml:space="preserve">There was no </w:t>
      </w:r>
      <w:r w:rsidRPr="004B1A64">
        <w:rPr>
          <w:color w:val="000000" w:themeColor="text1"/>
          <w:sz w:val="20"/>
          <w:szCs w:val="20"/>
          <w:lang w:val="en-US"/>
        </w:rPr>
        <w:t xml:space="preserve">statistically </w:t>
      </w:r>
      <w:r w:rsidRPr="004B1A64">
        <w:rPr>
          <w:color w:val="000000" w:themeColor="text1"/>
          <w:sz w:val="20"/>
          <w:szCs w:val="20"/>
        </w:rPr>
        <w:t xml:space="preserve">significant difference in survival distributions between </w:t>
      </w:r>
      <w:r w:rsidRPr="004B1A64">
        <w:rPr>
          <w:rFonts w:eastAsia="Arial"/>
          <w:color w:val="000000" w:themeColor="text1"/>
          <w:sz w:val="20"/>
          <w:szCs w:val="20"/>
          <w:lang w:val="en-US"/>
        </w:rPr>
        <w:t>SHH</w:t>
      </w:r>
      <w:r w:rsidRPr="004B1A64">
        <w:rPr>
          <w:rFonts w:eastAsia="Arial"/>
          <w:color w:val="000000" w:themeColor="text1"/>
          <w:sz w:val="20"/>
          <w:szCs w:val="20"/>
        </w:rPr>
        <w:t xml:space="preserve"> </w:t>
      </w:r>
      <w:r w:rsidRPr="004B1A64">
        <w:rPr>
          <w:rFonts w:eastAsia="SimSun"/>
          <w:color w:val="000000" w:themeColor="text1"/>
          <w:sz w:val="20"/>
          <w:szCs w:val="20"/>
        </w:rPr>
        <w:t>TP53</w:t>
      </w:r>
      <w:r w:rsidRPr="004B1A64">
        <w:rPr>
          <w:rFonts w:eastAsia="SimSun"/>
          <w:color w:val="000000" w:themeColor="text1"/>
          <w:sz w:val="20"/>
          <w:szCs w:val="20"/>
          <w:lang w:val="en-US"/>
        </w:rPr>
        <w:t>-</w:t>
      </w:r>
      <w:r w:rsidRPr="004B1A64">
        <w:rPr>
          <w:rFonts w:eastAsia="SimSun"/>
          <w:color w:val="000000" w:themeColor="text1"/>
          <w:sz w:val="20"/>
          <w:szCs w:val="20"/>
        </w:rPr>
        <w:t xml:space="preserve"> and </w:t>
      </w:r>
      <w:r w:rsidRPr="004B1A64">
        <w:rPr>
          <w:rFonts w:eastAsia="Arial"/>
          <w:color w:val="000000" w:themeColor="text1"/>
          <w:sz w:val="20"/>
          <w:szCs w:val="20"/>
          <w:lang w:val="en-US"/>
        </w:rPr>
        <w:t>SHH</w:t>
      </w:r>
      <w:r w:rsidRPr="004B1A64">
        <w:rPr>
          <w:rFonts w:eastAsia="SimSun"/>
          <w:color w:val="000000" w:themeColor="text1"/>
          <w:sz w:val="20"/>
          <w:szCs w:val="20"/>
        </w:rPr>
        <w:t xml:space="preserve"> TP53</w:t>
      </w:r>
      <w:r w:rsidRPr="004B1A64">
        <w:rPr>
          <w:rFonts w:eastAsia="SimSun"/>
          <w:color w:val="000000" w:themeColor="text1"/>
          <w:sz w:val="20"/>
          <w:szCs w:val="20"/>
          <w:lang w:val="en-US"/>
        </w:rPr>
        <w:t xml:space="preserve">+ </w:t>
      </w:r>
      <w:r w:rsidRPr="004B1A64">
        <w:rPr>
          <w:color w:val="000000" w:themeColor="text1"/>
          <w:sz w:val="20"/>
          <w:szCs w:val="20"/>
        </w:rPr>
        <w:t>(</w:t>
      </w:r>
      <w:r w:rsidRPr="004B1A64">
        <w:rPr>
          <w:color w:val="000000" w:themeColor="text1"/>
          <w:sz w:val="20"/>
          <w:szCs w:val="20"/>
          <w:lang w:val="en-US"/>
        </w:rPr>
        <w:t xml:space="preserve">P </w:t>
      </w:r>
      <w:r w:rsidRPr="004B1A64">
        <w:rPr>
          <w:color w:val="000000" w:themeColor="text1"/>
          <w:sz w:val="20"/>
          <w:szCs w:val="20"/>
        </w:rPr>
        <w:t>=</w:t>
      </w:r>
      <w:r w:rsidRPr="004B1A64">
        <w:rPr>
          <w:color w:val="000000" w:themeColor="text1"/>
          <w:sz w:val="20"/>
          <w:szCs w:val="20"/>
          <w:lang w:val="en-US"/>
        </w:rPr>
        <w:t xml:space="preserve"> </w:t>
      </w:r>
      <w:r w:rsidRPr="004B1A64">
        <w:rPr>
          <w:color w:val="000000" w:themeColor="text1"/>
          <w:sz w:val="20"/>
          <w:szCs w:val="20"/>
        </w:rPr>
        <w:t>0.081)</w:t>
      </w:r>
      <w:r w:rsidRPr="004B1A64">
        <w:rPr>
          <w:color w:val="000000" w:themeColor="text1"/>
          <w:sz w:val="20"/>
          <w:szCs w:val="20"/>
          <w:lang w:val="en-US"/>
        </w:rPr>
        <w:t>;</w:t>
      </w:r>
      <w:r w:rsidRPr="004B1A64">
        <w:rPr>
          <w:color w:val="000000" w:themeColor="text1"/>
          <w:sz w:val="20"/>
          <w:szCs w:val="20"/>
        </w:rPr>
        <w:t xml:space="preserve"> </w:t>
      </w:r>
      <w:r w:rsidRPr="004B1A64">
        <w:rPr>
          <w:color w:val="000000" w:themeColor="text1"/>
          <w:sz w:val="20"/>
          <w:szCs w:val="20"/>
          <w:lang w:val="en-US"/>
        </w:rPr>
        <w:t>the f</w:t>
      </w:r>
      <w:r w:rsidRPr="004B1A64">
        <w:rPr>
          <w:color w:val="000000" w:themeColor="text1"/>
          <w:sz w:val="20"/>
          <w:szCs w:val="20"/>
        </w:rPr>
        <w:t>ive-year survival probabilities were 65.4% (95%</w:t>
      </w:r>
      <w:r w:rsidRPr="004B1A64">
        <w:rPr>
          <w:color w:val="000000" w:themeColor="text1"/>
          <w:sz w:val="20"/>
          <w:szCs w:val="20"/>
          <w:lang w:val="en-US"/>
        </w:rPr>
        <w:t xml:space="preserve"> </w:t>
      </w:r>
      <w:r w:rsidRPr="004B1A64">
        <w:rPr>
          <w:color w:val="000000" w:themeColor="text1"/>
          <w:sz w:val="20"/>
          <w:szCs w:val="20"/>
        </w:rPr>
        <w:t>CI</w:t>
      </w:r>
      <w:r w:rsidRPr="004B1A64">
        <w:rPr>
          <w:color w:val="000000" w:themeColor="text1"/>
          <w:sz w:val="20"/>
          <w:szCs w:val="20"/>
          <w:lang w:val="en-US"/>
        </w:rPr>
        <w:t>,</w:t>
      </w:r>
      <w:r w:rsidRPr="004B1A64">
        <w:rPr>
          <w:color w:val="000000" w:themeColor="text1"/>
          <w:sz w:val="20"/>
          <w:szCs w:val="20"/>
        </w:rPr>
        <w:t xml:space="preserve"> 5</w:t>
      </w:r>
      <w:r w:rsidRPr="004B1A64">
        <w:rPr>
          <w:color w:val="000000" w:themeColor="text1"/>
          <w:sz w:val="20"/>
          <w:szCs w:val="20"/>
          <w:lang w:val="en-US"/>
        </w:rPr>
        <w:t>1</w:t>
      </w:r>
      <w:r w:rsidRPr="004B1A64">
        <w:rPr>
          <w:color w:val="000000" w:themeColor="text1"/>
          <w:sz w:val="20"/>
          <w:szCs w:val="20"/>
        </w:rPr>
        <w:t>.</w:t>
      </w:r>
      <w:r w:rsidRPr="004B1A64">
        <w:rPr>
          <w:color w:val="000000" w:themeColor="text1"/>
          <w:sz w:val="20"/>
          <w:szCs w:val="20"/>
          <w:lang w:val="en-US"/>
        </w:rPr>
        <w:t>8</w:t>
      </w:r>
      <w:r w:rsidRPr="004B1A64">
        <w:rPr>
          <w:color w:val="000000" w:themeColor="text1"/>
          <w:sz w:val="20"/>
          <w:szCs w:val="20"/>
        </w:rPr>
        <w:t>%</w:t>
      </w:r>
      <w:r w:rsidRPr="004B1A64">
        <w:rPr>
          <w:color w:val="000000" w:themeColor="text1"/>
          <w:sz w:val="20"/>
          <w:szCs w:val="20"/>
          <w:lang w:val="en-US"/>
        </w:rPr>
        <w:t xml:space="preserve"> to </w:t>
      </w:r>
      <w:r w:rsidRPr="004B1A64">
        <w:rPr>
          <w:color w:val="000000" w:themeColor="text1"/>
          <w:sz w:val="20"/>
          <w:szCs w:val="20"/>
        </w:rPr>
        <w:t>7</w:t>
      </w:r>
      <w:r w:rsidRPr="004B1A64">
        <w:rPr>
          <w:color w:val="000000" w:themeColor="text1"/>
          <w:sz w:val="20"/>
          <w:szCs w:val="20"/>
          <w:lang w:val="en-US"/>
        </w:rPr>
        <w:t>6.0</w:t>
      </w:r>
      <w:r w:rsidRPr="004B1A64">
        <w:rPr>
          <w:color w:val="000000" w:themeColor="text1"/>
          <w:sz w:val="20"/>
          <w:szCs w:val="20"/>
        </w:rPr>
        <w:t xml:space="preserve">%) in </w:t>
      </w:r>
      <w:r w:rsidRPr="004B1A64">
        <w:rPr>
          <w:rFonts w:eastAsia="Arial"/>
          <w:color w:val="000000" w:themeColor="text1"/>
          <w:sz w:val="20"/>
          <w:szCs w:val="20"/>
          <w:lang w:val="en-US"/>
        </w:rPr>
        <w:t>SHH</w:t>
      </w:r>
      <w:r w:rsidRPr="004B1A64">
        <w:rPr>
          <w:rFonts w:eastAsia="Arial"/>
          <w:color w:val="000000" w:themeColor="text1"/>
          <w:sz w:val="20"/>
          <w:szCs w:val="20"/>
        </w:rPr>
        <w:t xml:space="preserve"> </w:t>
      </w:r>
      <w:r w:rsidRPr="004B1A64">
        <w:rPr>
          <w:rFonts w:eastAsia="SimSun"/>
          <w:color w:val="000000" w:themeColor="text1"/>
          <w:sz w:val="20"/>
          <w:szCs w:val="20"/>
        </w:rPr>
        <w:t>TP53-</w:t>
      </w:r>
      <w:r w:rsidRPr="004B1A64">
        <w:rPr>
          <w:color w:val="000000" w:themeColor="text1"/>
          <w:sz w:val="20"/>
          <w:szCs w:val="20"/>
          <w:lang w:val="en-US"/>
        </w:rPr>
        <w:t xml:space="preserve"> and </w:t>
      </w:r>
      <w:r w:rsidRPr="004B1A64">
        <w:rPr>
          <w:color w:val="000000" w:themeColor="text1"/>
          <w:sz w:val="20"/>
          <w:szCs w:val="20"/>
        </w:rPr>
        <w:t>36.5% (95%</w:t>
      </w:r>
      <w:r w:rsidRPr="004B1A64">
        <w:rPr>
          <w:color w:val="000000" w:themeColor="text1"/>
          <w:sz w:val="20"/>
          <w:szCs w:val="20"/>
          <w:lang w:val="en-US"/>
        </w:rPr>
        <w:t xml:space="preserve"> </w:t>
      </w:r>
      <w:r w:rsidRPr="004B1A64">
        <w:rPr>
          <w:color w:val="000000" w:themeColor="text1"/>
          <w:sz w:val="20"/>
          <w:szCs w:val="20"/>
        </w:rPr>
        <w:t>CI</w:t>
      </w:r>
      <w:r w:rsidRPr="004B1A64">
        <w:rPr>
          <w:color w:val="000000" w:themeColor="text1"/>
          <w:sz w:val="20"/>
          <w:szCs w:val="20"/>
          <w:lang w:val="en-US"/>
        </w:rPr>
        <w:t>,</w:t>
      </w:r>
      <w:r w:rsidRPr="004B1A64">
        <w:rPr>
          <w:color w:val="000000" w:themeColor="text1"/>
          <w:sz w:val="20"/>
          <w:szCs w:val="20"/>
        </w:rPr>
        <w:t xml:space="preserve"> </w:t>
      </w:r>
      <w:r w:rsidRPr="004B1A64">
        <w:rPr>
          <w:color w:val="000000" w:themeColor="text1"/>
          <w:sz w:val="20"/>
          <w:szCs w:val="20"/>
          <w:lang w:val="en-US"/>
        </w:rPr>
        <w:t>9.3</w:t>
      </w:r>
      <w:r w:rsidRPr="004B1A64">
        <w:rPr>
          <w:color w:val="000000" w:themeColor="text1"/>
          <w:sz w:val="20"/>
          <w:szCs w:val="20"/>
        </w:rPr>
        <w:t>%</w:t>
      </w:r>
      <w:r w:rsidRPr="004B1A64">
        <w:rPr>
          <w:color w:val="000000" w:themeColor="text1"/>
          <w:sz w:val="20"/>
          <w:szCs w:val="20"/>
          <w:lang w:val="en-US"/>
        </w:rPr>
        <w:t xml:space="preserve"> to 65</w:t>
      </w:r>
      <w:r w:rsidRPr="004B1A64">
        <w:rPr>
          <w:color w:val="000000" w:themeColor="text1"/>
          <w:sz w:val="20"/>
          <w:szCs w:val="20"/>
        </w:rPr>
        <w:t>.</w:t>
      </w:r>
      <w:r w:rsidRPr="004B1A64">
        <w:rPr>
          <w:color w:val="000000" w:themeColor="text1"/>
          <w:sz w:val="20"/>
          <w:szCs w:val="20"/>
          <w:lang w:val="en-US"/>
        </w:rPr>
        <w:t>2</w:t>
      </w:r>
      <w:r w:rsidRPr="004B1A64">
        <w:rPr>
          <w:color w:val="000000" w:themeColor="text1"/>
          <w:sz w:val="20"/>
          <w:szCs w:val="20"/>
        </w:rPr>
        <w:t xml:space="preserve">%) in </w:t>
      </w:r>
      <w:r w:rsidRPr="004B1A64">
        <w:rPr>
          <w:rFonts w:eastAsia="Arial"/>
          <w:color w:val="000000" w:themeColor="text1"/>
          <w:sz w:val="20"/>
          <w:szCs w:val="20"/>
          <w:lang w:val="en-US"/>
        </w:rPr>
        <w:t>SHH</w:t>
      </w:r>
      <w:r w:rsidRPr="004B1A64">
        <w:rPr>
          <w:rFonts w:eastAsia="Arial"/>
          <w:color w:val="000000" w:themeColor="text1"/>
          <w:sz w:val="20"/>
          <w:szCs w:val="20"/>
        </w:rPr>
        <w:t xml:space="preserve"> </w:t>
      </w:r>
      <w:r w:rsidRPr="004B1A64">
        <w:rPr>
          <w:rFonts w:eastAsia="SimSun"/>
          <w:color w:val="000000" w:themeColor="text1"/>
          <w:sz w:val="20"/>
          <w:szCs w:val="20"/>
        </w:rPr>
        <w:t>TP53+</w:t>
      </w:r>
      <w:r w:rsidRPr="004B1A64">
        <w:rPr>
          <w:rFonts w:eastAsia="SimSun"/>
          <w:color w:val="000000" w:themeColor="text1"/>
          <w:sz w:val="20"/>
          <w:szCs w:val="20"/>
          <w:lang w:val="en-US"/>
        </w:rPr>
        <w:t>. D</w:t>
      </w:r>
      <w:r w:rsidRPr="004B1A64">
        <w:rPr>
          <w:color w:val="000000" w:themeColor="text1"/>
          <w:sz w:val="20"/>
          <w:szCs w:val="20"/>
          <w:lang w:val="en-US"/>
        </w:rPr>
        <w:t>istinct survival outcomes were observed for G3 and G4 (P = 0.0013), with a five-year overall survival probability of 54.3% (</w:t>
      </w:r>
      <w:r w:rsidRPr="004B1A64">
        <w:rPr>
          <w:color w:val="000000" w:themeColor="text1"/>
          <w:sz w:val="20"/>
          <w:szCs w:val="20"/>
        </w:rPr>
        <w:t>95%</w:t>
      </w:r>
      <w:r w:rsidRPr="004B1A64">
        <w:rPr>
          <w:color w:val="000000" w:themeColor="text1"/>
          <w:sz w:val="20"/>
          <w:szCs w:val="20"/>
          <w:lang w:val="en-US"/>
        </w:rPr>
        <w:t xml:space="preserve"> </w:t>
      </w:r>
      <w:r w:rsidRPr="004B1A64">
        <w:rPr>
          <w:color w:val="000000" w:themeColor="text1"/>
          <w:sz w:val="20"/>
          <w:szCs w:val="20"/>
        </w:rPr>
        <w:t>CI</w:t>
      </w:r>
      <w:r w:rsidRPr="004B1A64">
        <w:rPr>
          <w:color w:val="000000" w:themeColor="text1"/>
          <w:sz w:val="20"/>
          <w:szCs w:val="20"/>
          <w:lang w:val="en-US"/>
        </w:rPr>
        <w:t>,</w:t>
      </w:r>
      <w:r w:rsidRPr="004B1A64">
        <w:rPr>
          <w:color w:val="000000" w:themeColor="text1"/>
          <w:sz w:val="20"/>
          <w:szCs w:val="20"/>
        </w:rPr>
        <w:t xml:space="preserve"> </w:t>
      </w:r>
      <w:r w:rsidRPr="004B1A64">
        <w:rPr>
          <w:color w:val="000000" w:themeColor="text1"/>
          <w:sz w:val="20"/>
          <w:szCs w:val="20"/>
          <w:lang w:val="en-US"/>
        </w:rPr>
        <w:t>43.1% to 68.4%) for G3 and 71.7% (</w:t>
      </w:r>
      <w:r w:rsidRPr="004B1A64">
        <w:rPr>
          <w:color w:val="000000" w:themeColor="text1"/>
          <w:sz w:val="20"/>
          <w:szCs w:val="20"/>
        </w:rPr>
        <w:t>95%</w:t>
      </w:r>
      <w:r w:rsidRPr="004B1A64">
        <w:rPr>
          <w:color w:val="000000" w:themeColor="text1"/>
          <w:sz w:val="20"/>
          <w:szCs w:val="20"/>
          <w:lang w:val="en-US"/>
        </w:rPr>
        <w:t xml:space="preserve"> </w:t>
      </w:r>
      <w:r w:rsidRPr="004B1A64">
        <w:rPr>
          <w:color w:val="000000" w:themeColor="text1"/>
          <w:sz w:val="20"/>
          <w:szCs w:val="20"/>
        </w:rPr>
        <w:t>CI</w:t>
      </w:r>
      <w:r w:rsidRPr="004B1A64">
        <w:rPr>
          <w:color w:val="000000" w:themeColor="text1"/>
          <w:sz w:val="20"/>
          <w:szCs w:val="20"/>
          <w:lang w:val="en-US"/>
        </w:rPr>
        <w:t>,</w:t>
      </w:r>
      <w:r w:rsidRPr="004B1A64">
        <w:rPr>
          <w:color w:val="000000" w:themeColor="text1"/>
          <w:sz w:val="20"/>
          <w:szCs w:val="20"/>
        </w:rPr>
        <w:t xml:space="preserve"> </w:t>
      </w:r>
      <w:r w:rsidRPr="004B1A64">
        <w:rPr>
          <w:color w:val="000000" w:themeColor="text1"/>
          <w:sz w:val="20"/>
          <w:szCs w:val="20"/>
          <w:lang w:val="en-US"/>
        </w:rPr>
        <w:t xml:space="preserve">65.7% to 78.2%) for G4. </w:t>
      </w:r>
    </w:p>
    <w:p w14:paraId="4380A3F6" w14:textId="77777777" w:rsidR="00186A56" w:rsidRPr="004B1A64" w:rsidRDefault="00186A56" w:rsidP="00186A56">
      <w:pPr>
        <w:jc w:val="both"/>
        <w:rPr>
          <w:color w:val="000000" w:themeColor="text1"/>
          <w:sz w:val="20"/>
          <w:szCs w:val="20"/>
          <w:lang w:val="en-US"/>
        </w:rPr>
      </w:pPr>
    </w:p>
    <w:p w14:paraId="391EF939" w14:textId="77777777" w:rsidR="00186A56" w:rsidRPr="004B1A64" w:rsidRDefault="00186A56" w:rsidP="00186A56">
      <w:pPr>
        <w:jc w:val="both"/>
        <w:rPr>
          <w:color w:val="000000" w:themeColor="text1"/>
          <w:sz w:val="20"/>
          <w:szCs w:val="20"/>
          <w:lang w:val="en-US"/>
        </w:rPr>
      </w:pPr>
      <w:r w:rsidRPr="004B1A64">
        <w:rPr>
          <w:color w:val="000000" w:themeColor="text1"/>
          <w:sz w:val="20"/>
          <w:szCs w:val="20"/>
          <w:lang w:val="en-US"/>
        </w:rPr>
        <w:t>We then used Cox proportional hazard model to evaluate simultaneous effect of risk factors on survival rates. The hazard ratio (G3 vs G4) was 1.89 (95% CI, 1.27 to 2.81) in univariable analysis (</w:t>
      </w:r>
      <w:r w:rsidRPr="004B1A64">
        <w:rPr>
          <w:color w:val="0070C0"/>
          <w:sz w:val="20"/>
          <w:szCs w:val="20"/>
          <w:lang w:val="en-US"/>
        </w:rPr>
        <w:t>Figure 3A</w:t>
      </w:r>
      <w:r w:rsidRPr="004B1A64">
        <w:rPr>
          <w:color w:val="000000" w:themeColor="text1"/>
          <w:sz w:val="20"/>
          <w:szCs w:val="20"/>
          <w:lang w:val="en-US"/>
        </w:rPr>
        <w:t>). </w:t>
      </w:r>
      <w:r w:rsidRPr="004B1A64">
        <w:rPr>
          <w:rFonts w:eastAsia="SimSun"/>
          <w:color w:val="000000" w:themeColor="text1"/>
          <w:sz w:val="20"/>
          <w:szCs w:val="20"/>
          <w:lang w:val="en-US"/>
        </w:rPr>
        <w:t xml:space="preserve">The elevated hazard for G3 </w:t>
      </w:r>
      <w:r w:rsidRPr="004B1A64">
        <w:rPr>
          <w:rFonts w:eastAsia="SimSun"/>
          <w:color w:val="000000" w:themeColor="text1"/>
          <w:sz w:val="20"/>
          <w:szCs w:val="20"/>
        </w:rPr>
        <w:t xml:space="preserve">remained </w:t>
      </w:r>
      <w:r w:rsidRPr="004B1A64">
        <w:rPr>
          <w:rFonts w:eastAsia="SimSun"/>
          <w:color w:val="000000" w:themeColor="text1"/>
          <w:sz w:val="20"/>
          <w:szCs w:val="20"/>
          <w:lang w:val="en-US"/>
        </w:rPr>
        <w:t>significant</w:t>
      </w:r>
      <w:r w:rsidRPr="004B1A64">
        <w:rPr>
          <w:rFonts w:eastAsia="SimSun"/>
          <w:color w:val="000000" w:themeColor="text1"/>
          <w:sz w:val="20"/>
          <w:szCs w:val="20"/>
        </w:rPr>
        <w:t xml:space="preserve"> in multivariable analysis (HR</w:t>
      </w:r>
      <w:r w:rsidRPr="004B1A64">
        <w:rPr>
          <w:rFonts w:eastAsia="SimSun"/>
          <w:color w:val="000000" w:themeColor="text1"/>
          <w:sz w:val="20"/>
          <w:szCs w:val="20"/>
          <w:lang w:val="en-US"/>
        </w:rPr>
        <w:t>,</w:t>
      </w:r>
      <w:r w:rsidRPr="004B1A64">
        <w:rPr>
          <w:rFonts w:eastAsia="SimSun"/>
          <w:color w:val="000000" w:themeColor="text1"/>
          <w:sz w:val="20"/>
          <w:szCs w:val="20"/>
        </w:rPr>
        <w:t xml:space="preserve"> 1.90</w:t>
      </w:r>
      <w:r w:rsidRPr="004B1A64">
        <w:rPr>
          <w:rFonts w:eastAsia="SimSun"/>
          <w:color w:val="000000" w:themeColor="text1"/>
          <w:sz w:val="20"/>
          <w:szCs w:val="20"/>
          <w:lang w:val="en-US"/>
        </w:rPr>
        <w:t>; 95% CI, 1</w:t>
      </w:r>
      <w:r w:rsidRPr="004B1A64">
        <w:rPr>
          <w:rFonts w:eastAsia="SimSun"/>
          <w:color w:val="000000" w:themeColor="text1"/>
          <w:sz w:val="20"/>
          <w:szCs w:val="20"/>
        </w:rPr>
        <w:t>.27</w:t>
      </w:r>
      <w:r w:rsidRPr="004B1A64">
        <w:rPr>
          <w:rFonts w:eastAsia="SimSun"/>
          <w:color w:val="000000" w:themeColor="text1"/>
          <w:sz w:val="20"/>
          <w:szCs w:val="20"/>
          <w:lang w:val="en-US"/>
        </w:rPr>
        <w:t xml:space="preserve"> to </w:t>
      </w:r>
      <w:r w:rsidRPr="004B1A64">
        <w:rPr>
          <w:rFonts w:eastAsia="SimSun"/>
          <w:color w:val="000000" w:themeColor="text1"/>
          <w:sz w:val="20"/>
          <w:szCs w:val="20"/>
        </w:rPr>
        <w:t>2.8</w:t>
      </w:r>
      <w:r w:rsidRPr="004B1A64">
        <w:rPr>
          <w:rFonts w:eastAsia="SimSun"/>
          <w:color w:val="000000" w:themeColor="text1"/>
          <w:sz w:val="20"/>
          <w:szCs w:val="20"/>
          <w:lang w:val="en-US"/>
        </w:rPr>
        <w:t>3</w:t>
      </w:r>
      <w:r w:rsidRPr="004B1A64">
        <w:rPr>
          <w:rFonts w:eastAsia="SimSun"/>
          <w:color w:val="000000" w:themeColor="text1"/>
          <w:sz w:val="20"/>
          <w:szCs w:val="20"/>
        </w:rPr>
        <w:t xml:space="preserve">) </w:t>
      </w:r>
      <w:r w:rsidRPr="004B1A64">
        <w:rPr>
          <w:rFonts w:eastAsia="SimSun"/>
          <w:color w:val="000000" w:themeColor="text1"/>
          <w:sz w:val="20"/>
          <w:szCs w:val="20"/>
          <w:lang w:val="en-US"/>
        </w:rPr>
        <w:t xml:space="preserve">after </w:t>
      </w:r>
      <w:r w:rsidRPr="004B1A64">
        <w:rPr>
          <w:rFonts w:eastAsia="SimSun"/>
          <w:color w:val="000000" w:themeColor="text1"/>
          <w:sz w:val="20"/>
          <w:szCs w:val="20"/>
        </w:rPr>
        <w:t>adju</w:t>
      </w:r>
      <w:r w:rsidRPr="004B1A64">
        <w:rPr>
          <w:color w:val="000000"/>
          <w:sz w:val="20"/>
          <w:szCs w:val="20"/>
        </w:rPr>
        <w:t xml:space="preserve">sting for prognostic markers </w:t>
      </w:r>
      <w:r w:rsidRPr="004B1A64">
        <w:rPr>
          <w:color w:val="000000"/>
          <w:sz w:val="20"/>
          <w:szCs w:val="20"/>
          <w:lang w:val="en-US"/>
        </w:rPr>
        <w:t xml:space="preserve">that </w:t>
      </w:r>
      <w:r w:rsidRPr="004B1A64">
        <w:rPr>
          <w:color w:val="000000"/>
          <w:sz w:val="20"/>
          <w:szCs w:val="20"/>
        </w:rPr>
        <w:t>were significant in univariable</w:t>
      </w:r>
      <w:r>
        <w:rPr>
          <w:color w:val="000000"/>
          <w:sz w:val="20"/>
          <w:szCs w:val="20"/>
          <w:lang w:val="en-US"/>
        </w:rPr>
        <w:t xml:space="preserve"> Cox</w:t>
      </w:r>
      <w:r w:rsidRPr="004B1A64">
        <w:rPr>
          <w:color w:val="000000"/>
          <w:sz w:val="20"/>
          <w:szCs w:val="20"/>
        </w:rPr>
        <w:t xml:space="preserve"> analyses, including age, hydrocephalus before surgery, and LCA-pathology (</w:t>
      </w:r>
      <w:r w:rsidRPr="004B1A64">
        <w:rPr>
          <w:color w:val="0070C0"/>
          <w:sz w:val="20"/>
          <w:szCs w:val="20"/>
        </w:rPr>
        <w:t xml:space="preserve">Figure </w:t>
      </w:r>
      <w:r w:rsidRPr="004B1A64">
        <w:rPr>
          <w:color w:val="0070C0"/>
          <w:sz w:val="20"/>
          <w:szCs w:val="20"/>
          <w:lang w:val="en-US"/>
        </w:rPr>
        <w:t xml:space="preserve">3A </w:t>
      </w:r>
      <w:r w:rsidRPr="004B1A64">
        <w:rPr>
          <w:color w:val="000000" w:themeColor="text1"/>
          <w:sz w:val="20"/>
          <w:szCs w:val="20"/>
          <w:lang w:val="en-US"/>
        </w:rPr>
        <w:t xml:space="preserve">and </w:t>
      </w:r>
      <w:r w:rsidRPr="004B1A64">
        <w:rPr>
          <w:color w:val="0070C0"/>
          <w:sz w:val="20"/>
          <w:szCs w:val="20"/>
          <w:lang w:val="en-US"/>
        </w:rPr>
        <w:t>3B</w:t>
      </w:r>
      <w:r w:rsidRPr="004B1A64">
        <w:rPr>
          <w:color w:val="000000"/>
          <w:sz w:val="20"/>
          <w:szCs w:val="20"/>
        </w:rPr>
        <w:t>).</w:t>
      </w:r>
      <w:r w:rsidRPr="004B1A64">
        <w:rPr>
          <w:color w:val="000000"/>
          <w:sz w:val="20"/>
          <w:szCs w:val="20"/>
          <w:lang w:val="en-US"/>
        </w:rPr>
        <w:t xml:space="preserve"> In </w:t>
      </w:r>
      <w:r w:rsidRPr="004B1A64">
        <w:rPr>
          <w:color w:val="000000" w:themeColor="text1"/>
          <w:sz w:val="20"/>
          <w:szCs w:val="20"/>
          <w:lang w:val="en-US"/>
        </w:rPr>
        <w:t>m</w:t>
      </w:r>
      <w:r w:rsidRPr="004B1A64">
        <w:rPr>
          <w:color w:val="000000" w:themeColor="text1"/>
          <w:sz w:val="20"/>
          <w:szCs w:val="20"/>
        </w:rPr>
        <w:t>ultivariable</w:t>
      </w:r>
      <w:r w:rsidRPr="004B1A64">
        <w:rPr>
          <w:color w:val="000000" w:themeColor="text1"/>
          <w:sz w:val="20"/>
          <w:szCs w:val="20"/>
          <w:lang w:val="en-US"/>
        </w:rPr>
        <w:t xml:space="preserve"> </w:t>
      </w:r>
      <w:r>
        <w:rPr>
          <w:color w:val="000000" w:themeColor="text1"/>
          <w:sz w:val="20"/>
          <w:szCs w:val="20"/>
          <w:lang w:val="en-US"/>
        </w:rPr>
        <w:t xml:space="preserve">Cox </w:t>
      </w:r>
      <w:r w:rsidRPr="004B1A64">
        <w:rPr>
          <w:color w:val="000000" w:themeColor="text1"/>
          <w:sz w:val="20"/>
          <w:szCs w:val="20"/>
          <w:lang w:val="en-US"/>
        </w:rPr>
        <w:t>regression</w:t>
      </w:r>
      <w:r w:rsidRPr="004B1A64">
        <w:rPr>
          <w:color w:val="000000" w:themeColor="text1"/>
          <w:sz w:val="20"/>
          <w:szCs w:val="20"/>
        </w:rPr>
        <w:t xml:space="preserve"> analysis</w:t>
      </w:r>
      <w:r w:rsidRPr="004B1A64">
        <w:rPr>
          <w:color w:val="000000" w:themeColor="text1"/>
          <w:sz w:val="20"/>
          <w:szCs w:val="20"/>
          <w:lang w:val="en-US"/>
        </w:rPr>
        <w:t xml:space="preserve">, </w:t>
      </w:r>
      <w:r w:rsidRPr="004B1A64">
        <w:rPr>
          <w:color w:val="000000"/>
          <w:sz w:val="20"/>
          <w:szCs w:val="20"/>
          <w:lang w:val="en-US"/>
        </w:rPr>
        <w:t>age (P = 0.04; HR, 1.87; 95% CI, 1.04 to 3.37) was the only remaining significant independent prognostic factor in non-WNT/non-SHH patients (</w:t>
      </w:r>
      <w:r w:rsidRPr="004B1A64">
        <w:rPr>
          <w:color w:val="0070C0"/>
          <w:sz w:val="20"/>
          <w:szCs w:val="20"/>
          <w:lang w:val="en-US"/>
        </w:rPr>
        <w:t>Figure 3B</w:t>
      </w:r>
      <w:r w:rsidRPr="004B1A64">
        <w:rPr>
          <w:color w:val="000000"/>
          <w:sz w:val="20"/>
          <w:szCs w:val="20"/>
          <w:lang w:val="en-US"/>
        </w:rPr>
        <w:t xml:space="preserve">). Moreover, there was no </w:t>
      </w:r>
      <w:r w:rsidRPr="004B1A64">
        <w:rPr>
          <w:color w:val="000000" w:themeColor="text1"/>
          <w:sz w:val="20"/>
          <w:szCs w:val="20"/>
          <w:lang w:val="en-US"/>
        </w:rPr>
        <w:t xml:space="preserve">statistically </w:t>
      </w:r>
      <w:r w:rsidRPr="004B1A64">
        <w:rPr>
          <w:color w:val="000000"/>
          <w:sz w:val="20"/>
          <w:szCs w:val="20"/>
          <w:lang w:val="en-US"/>
        </w:rPr>
        <w:t xml:space="preserve">significant difference in hazard between SHH TP53+ and TP53- subgroups in both </w:t>
      </w:r>
      <w:r w:rsidRPr="004B1A64">
        <w:rPr>
          <w:color w:val="000000"/>
          <w:sz w:val="20"/>
          <w:szCs w:val="20"/>
        </w:rPr>
        <w:t>univariable</w:t>
      </w:r>
      <w:r w:rsidRPr="004B1A64">
        <w:rPr>
          <w:color w:val="000000"/>
          <w:sz w:val="20"/>
          <w:szCs w:val="20"/>
          <w:lang w:val="en-US"/>
        </w:rPr>
        <w:t xml:space="preserve"> analysis (HR, 1.71; 95% CI, 0.93 to 3.15) (</w:t>
      </w:r>
      <w:r w:rsidRPr="004B1A64">
        <w:rPr>
          <w:color w:val="0070C0"/>
          <w:sz w:val="20"/>
          <w:szCs w:val="20"/>
          <w:lang w:val="en-US"/>
        </w:rPr>
        <w:t>Figure 3A</w:t>
      </w:r>
      <w:r w:rsidRPr="004B1A64">
        <w:rPr>
          <w:color w:val="000000"/>
          <w:sz w:val="20"/>
          <w:szCs w:val="20"/>
          <w:lang w:val="en-US"/>
        </w:rPr>
        <w:t>) and multivariable analysis (HR, 1.58; 95% CI,</w:t>
      </w:r>
      <w:r w:rsidRPr="004B1A64">
        <w:rPr>
          <w:rFonts w:eastAsia="SimSun"/>
          <w:color w:val="FF0000"/>
          <w:sz w:val="20"/>
          <w:szCs w:val="20"/>
          <w:lang w:val="en-US"/>
        </w:rPr>
        <w:t xml:space="preserve"> </w:t>
      </w:r>
      <w:r w:rsidRPr="004B1A64">
        <w:rPr>
          <w:color w:val="000000"/>
          <w:sz w:val="20"/>
          <w:szCs w:val="20"/>
          <w:lang w:val="en-US"/>
        </w:rPr>
        <w:t>0.84 to 2.97) (</w:t>
      </w:r>
      <w:r w:rsidRPr="004B1A64">
        <w:rPr>
          <w:color w:val="0070C0"/>
          <w:sz w:val="20"/>
          <w:szCs w:val="20"/>
          <w:lang w:val="en-US"/>
        </w:rPr>
        <w:t>Figure 3C</w:t>
      </w:r>
      <w:r w:rsidRPr="004B1A64">
        <w:rPr>
          <w:color w:val="000000"/>
          <w:sz w:val="20"/>
          <w:szCs w:val="20"/>
          <w:lang w:val="en-US"/>
        </w:rPr>
        <w:t>).</w:t>
      </w:r>
    </w:p>
    <w:p w14:paraId="744BC5E9" w14:textId="77777777" w:rsidR="00186A56" w:rsidRPr="004B1A64" w:rsidRDefault="00186A56" w:rsidP="00186A56">
      <w:pPr>
        <w:jc w:val="both"/>
        <w:rPr>
          <w:color w:val="000000" w:themeColor="text1"/>
          <w:sz w:val="20"/>
          <w:szCs w:val="20"/>
        </w:rPr>
      </w:pPr>
    </w:p>
    <w:p w14:paraId="19F4836B" w14:textId="4F4CC5C4" w:rsidR="00186A56" w:rsidRDefault="00186A56" w:rsidP="00186A56">
      <w:pPr>
        <w:jc w:val="both"/>
        <w:rPr>
          <w:color w:val="000000" w:themeColor="text1"/>
          <w:sz w:val="20"/>
          <w:szCs w:val="20"/>
        </w:rPr>
      </w:pPr>
      <w:r w:rsidRPr="004B1A64">
        <w:rPr>
          <w:rFonts w:hint="eastAsia"/>
          <w:color w:val="000000" w:themeColor="text1"/>
          <w:sz w:val="20"/>
          <w:szCs w:val="20"/>
        </w:rPr>
        <w:t>Th</w:t>
      </w:r>
      <w:r w:rsidRPr="004B1A64">
        <w:rPr>
          <w:color w:val="000000" w:themeColor="text1"/>
          <w:sz w:val="20"/>
          <w:szCs w:val="20"/>
        </w:rPr>
        <w:t>e WHO</w:t>
      </w:r>
      <w:r w:rsidRPr="004B1A64">
        <w:rPr>
          <w:color w:val="000000" w:themeColor="text1"/>
          <w:sz w:val="20"/>
          <w:szCs w:val="20"/>
          <w:lang w:val="en-US"/>
        </w:rPr>
        <w:t xml:space="preserve"> CNS5</w:t>
      </w:r>
      <w:r w:rsidRPr="004B1A64">
        <w:rPr>
          <w:color w:val="000000" w:themeColor="text1"/>
          <w:sz w:val="20"/>
          <w:szCs w:val="20"/>
        </w:rPr>
        <w:t xml:space="preserve"> </w:t>
      </w:r>
      <w:r w:rsidRPr="004B1A64">
        <w:rPr>
          <w:color w:val="000000" w:themeColor="text1"/>
          <w:sz w:val="20"/>
          <w:szCs w:val="20"/>
          <w:lang w:val="en-US"/>
        </w:rPr>
        <w:t xml:space="preserve">principal </w:t>
      </w:r>
      <w:r w:rsidRPr="004B1A64">
        <w:rPr>
          <w:color w:val="000000" w:themeColor="text1"/>
          <w:sz w:val="20"/>
          <w:szCs w:val="20"/>
        </w:rPr>
        <w:t xml:space="preserve">classification </w:t>
      </w:r>
      <w:r>
        <w:rPr>
          <w:color w:val="000000" w:themeColor="text1"/>
          <w:sz w:val="20"/>
          <w:szCs w:val="20"/>
          <w:lang w:val="en-US"/>
        </w:rPr>
        <w:t xml:space="preserve">(2021 WHO) </w:t>
      </w:r>
      <w:r w:rsidRPr="004B1A64">
        <w:rPr>
          <w:color w:val="000000" w:themeColor="text1"/>
          <w:sz w:val="20"/>
          <w:szCs w:val="20"/>
          <w:lang w:val="en-US"/>
        </w:rPr>
        <w:t>achieved</w:t>
      </w:r>
      <w:r w:rsidRPr="004B1A64">
        <w:rPr>
          <w:color w:val="000000" w:themeColor="text1"/>
          <w:sz w:val="20"/>
          <w:szCs w:val="20"/>
        </w:rPr>
        <w:t xml:space="preserve"> a C-index of 0.</w:t>
      </w:r>
      <w:r w:rsidRPr="004B1A64">
        <w:rPr>
          <w:color w:val="000000" w:themeColor="text1"/>
          <w:sz w:val="20"/>
          <w:szCs w:val="20"/>
          <w:lang w:val="en-US"/>
        </w:rPr>
        <w:t>55 (95% CI, 0.49 to 0.60</w:t>
      </w:r>
      <w:r w:rsidRPr="004B1A64">
        <w:rPr>
          <w:color w:val="000000" w:themeColor="text1"/>
          <w:sz w:val="20"/>
          <w:szCs w:val="20"/>
        </w:rPr>
        <w:t xml:space="preserve">) </w:t>
      </w:r>
      <w:r w:rsidRPr="004B1A64">
        <w:rPr>
          <w:color w:val="000000" w:themeColor="text1"/>
          <w:sz w:val="20"/>
          <w:szCs w:val="20"/>
          <w:lang w:val="en-US"/>
        </w:rPr>
        <w:t>in the</w:t>
      </w:r>
      <w:r w:rsidRPr="004B1A64">
        <w:rPr>
          <w:color w:val="000000" w:themeColor="text1"/>
          <w:sz w:val="20"/>
          <w:szCs w:val="20"/>
        </w:rPr>
        <w:t xml:space="preserve"> univariable </w:t>
      </w:r>
      <w:r w:rsidRPr="004B1A64">
        <w:rPr>
          <w:color w:val="000000" w:themeColor="text1"/>
          <w:sz w:val="20"/>
          <w:szCs w:val="20"/>
          <w:lang w:val="en-US"/>
        </w:rPr>
        <w:t>C</w:t>
      </w:r>
      <w:r w:rsidRPr="004B1A64">
        <w:rPr>
          <w:color w:val="000000" w:themeColor="text1"/>
          <w:sz w:val="20"/>
          <w:szCs w:val="20"/>
        </w:rPr>
        <w:t xml:space="preserve">ox model analysis of </w:t>
      </w:r>
      <w:r w:rsidRPr="004B1A64">
        <w:rPr>
          <w:color w:val="000000" w:themeColor="text1"/>
          <w:sz w:val="20"/>
          <w:szCs w:val="20"/>
          <w:lang w:val="en-US"/>
        </w:rPr>
        <w:t xml:space="preserve">predicting </w:t>
      </w:r>
      <w:r w:rsidRPr="004B1A64">
        <w:rPr>
          <w:color w:val="000000" w:themeColor="text1"/>
          <w:sz w:val="20"/>
          <w:szCs w:val="20"/>
        </w:rPr>
        <w:t xml:space="preserve">overall survival, </w:t>
      </w:r>
      <w:r w:rsidRPr="004B1A64">
        <w:rPr>
          <w:color w:val="000000" w:themeColor="text1"/>
          <w:sz w:val="20"/>
          <w:szCs w:val="20"/>
          <w:lang w:val="en-US"/>
        </w:rPr>
        <w:t>indicating</w:t>
      </w:r>
      <w:r w:rsidRPr="004B1A64">
        <w:rPr>
          <w:color w:val="000000" w:themeColor="text1"/>
          <w:sz w:val="20"/>
          <w:szCs w:val="20"/>
        </w:rPr>
        <w:t xml:space="preserve"> </w:t>
      </w:r>
      <w:r w:rsidRPr="004B1A64">
        <w:rPr>
          <w:color w:val="000000" w:themeColor="text1"/>
          <w:sz w:val="20"/>
          <w:szCs w:val="20"/>
          <w:lang w:val="en-US"/>
        </w:rPr>
        <w:t>slightly less</w:t>
      </w:r>
      <w:r w:rsidRPr="004B1A64">
        <w:rPr>
          <w:color w:val="000000" w:themeColor="text1"/>
          <w:sz w:val="20"/>
          <w:szCs w:val="20"/>
        </w:rPr>
        <w:t xml:space="preserve"> </w:t>
      </w:r>
      <w:r w:rsidRPr="004B1A64">
        <w:rPr>
          <w:color w:val="000000" w:themeColor="text1"/>
          <w:sz w:val="20"/>
          <w:szCs w:val="20"/>
          <w:lang w:val="en-US"/>
        </w:rPr>
        <w:t xml:space="preserve">discriminatory capability compared to the 2016 principal classification, which had a C-index of 0.59 (95% CI, 0.52 to 0.65). </w:t>
      </w:r>
      <w:r w:rsidRPr="004B1A64">
        <w:rPr>
          <w:color w:val="000000" w:themeColor="text1"/>
          <w:sz w:val="20"/>
          <w:szCs w:val="20"/>
        </w:rPr>
        <w:t>The results remained consistent in the multivariable Cox analysis, with a C-index of 0.59 (</w:t>
      </w:r>
      <w:r w:rsidRPr="004B1A64">
        <w:rPr>
          <w:color w:val="000000" w:themeColor="text1"/>
          <w:sz w:val="20"/>
          <w:szCs w:val="20"/>
          <w:lang w:val="en-US"/>
        </w:rPr>
        <w:t xml:space="preserve">95% CI, </w:t>
      </w:r>
      <w:r w:rsidRPr="004B1A64">
        <w:rPr>
          <w:color w:val="000000" w:themeColor="text1"/>
          <w:sz w:val="20"/>
          <w:szCs w:val="20"/>
        </w:rPr>
        <w:t>0.52</w:t>
      </w:r>
      <w:r w:rsidRPr="004B1A64">
        <w:rPr>
          <w:color w:val="000000" w:themeColor="text1"/>
          <w:sz w:val="20"/>
          <w:szCs w:val="20"/>
          <w:lang w:val="en-US"/>
        </w:rPr>
        <w:t xml:space="preserve"> to </w:t>
      </w:r>
      <w:r w:rsidRPr="004B1A64">
        <w:rPr>
          <w:color w:val="000000" w:themeColor="text1"/>
          <w:sz w:val="20"/>
          <w:szCs w:val="20"/>
        </w:rPr>
        <w:t>0.66) for the WHO CNS5 classification and a C-index of 0.61 (</w:t>
      </w:r>
      <w:r w:rsidRPr="004B1A64">
        <w:rPr>
          <w:color w:val="000000" w:themeColor="text1"/>
          <w:sz w:val="20"/>
          <w:szCs w:val="20"/>
          <w:lang w:val="en-US"/>
        </w:rPr>
        <w:t xml:space="preserve">95% CI, </w:t>
      </w:r>
      <w:r w:rsidRPr="004B1A64">
        <w:rPr>
          <w:color w:val="000000" w:themeColor="text1"/>
          <w:sz w:val="20"/>
          <w:szCs w:val="20"/>
        </w:rPr>
        <w:t>0.53</w:t>
      </w:r>
      <w:r w:rsidRPr="004B1A64">
        <w:rPr>
          <w:color w:val="000000" w:themeColor="text1"/>
          <w:sz w:val="20"/>
          <w:szCs w:val="20"/>
          <w:lang w:val="en-US"/>
        </w:rPr>
        <w:t xml:space="preserve"> to </w:t>
      </w:r>
      <w:r w:rsidRPr="004B1A64">
        <w:rPr>
          <w:color w:val="000000" w:themeColor="text1"/>
          <w:sz w:val="20"/>
          <w:szCs w:val="20"/>
        </w:rPr>
        <w:t xml:space="preserve">0.68) for the </w:t>
      </w:r>
      <w:r>
        <w:rPr>
          <w:color w:val="000000" w:themeColor="text1"/>
          <w:sz w:val="20"/>
          <w:szCs w:val="20"/>
          <w:lang w:val="en-US"/>
        </w:rPr>
        <w:t>2016</w:t>
      </w:r>
      <w:r w:rsidRPr="004B1A64">
        <w:rPr>
          <w:color w:val="000000" w:themeColor="text1"/>
          <w:sz w:val="20"/>
          <w:szCs w:val="20"/>
        </w:rPr>
        <w:t xml:space="preserve"> classification. When combining both molecular classifications, the five-molecular-subgroup scheme did not outperform the </w:t>
      </w:r>
      <w:r w:rsidRPr="004B1A64">
        <w:rPr>
          <w:color w:val="000000" w:themeColor="text1"/>
          <w:sz w:val="20"/>
          <w:szCs w:val="20"/>
          <w:lang w:val="en-US"/>
        </w:rPr>
        <w:t>previous</w:t>
      </w:r>
      <w:r w:rsidRPr="004B1A64">
        <w:rPr>
          <w:color w:val="000000" w:themeColor="text1"/>
          <w:sz w:val="20"/>
          <w:szCs w:val="20"/>
        </w:rPr>
        <w:t xml:space="preserve"> classification</w:t>
      </w:r>
      <w:r w:rsidRPr="004B1A64">
        <w:rPr>
          <w:color w:val="000000" w:themeColor="text1"/>
          <w:sz w:val="20"/>
          <w:szCs w:val="20"/>
          <w:lang w:val="en-US"/>
        </w:rPr>
        <w:t>, with</w:t>
      </w:r>
      <w:r w:rsidRPr="004B1A64">
        <w:rPr>
          <w:color w:val="000000" w:themeColor="text1"/>
          <w:sz w:val="20"/>
          <w:szCs w:val="20"/>
        </w:rPr>
        <w:t xml:space="preserve"> a C-index of 0.58 (</w:t>
      </w:r>
      <w:r w:rsidRPr="004B1A64">
        <w:rPr>
          <w:color w:val="000000" w:themeColor="text1"/>
          <w:sz w:val="20"/>
          <w:szCs w:val="20"/>
          <w:lang w:val="en-US"/>
        </w:rPr>
        <w:t>95% CI,</w:t>
      </w:r>
      <w:r w:rsidRPr="004B1A64">
        <w:rPr>
          <w:rFonts w:eastAsia="SimSun"/>
          <w:color w:val="FF0000"/>
          <w:sz w:val="20"/>
          <w:szCs w:val="20"/>
          <w:lang w:val="en-US"/>
        </w:rPr>
        <w:t xml:space="preserve"> </w:t>
      </w:r>
      <w:r w:rsidRPr="004B1A64">
        <w:rPr>
          <w:color w:val="000000" w:themeColor="text1"/>
          <w:sz w:val="20"/>
          <w:szCs w:val="20"/>
        </w:rPr>
        <w:t>0.51</w:t>
      </w:r>
      <w:r w:rsidRPr="004B1A64">
        <w:rPr>
          <w:color w:val="000000" w:themeColor="text1"/>
          <w:sz w:val="20"/>
          <w:szCs w:val="20"/>
          <w:lang w:val="en-US"/>
        </w:rPr>
        <w:t xml:space="preserve"> to </w:t>
      </w:r>
      <w:r w:rsidRPr="004B1A64">
        <w:rPr>
          <w:color w:val="000000" w:themeColor="text1"/>
          <w:sz w:val="20"/>
          <w:szCs w:val="20"/>
        </w:rPr>
        <w:t>0.64) in the univariable analysis and 0.60 (</w:t>
      </w:r>
      <w:r w:rsidRPr="004B1A64">
        <w:rPr>
          <w:color w:val="000000" w:themeColor="text1"/>
          <w:sz w:val="20"/>
          <w:szCs w:val="20"/>
          <w:lang w:val="en-US"/>
        </w:rPr>
        <w:t>95% CI,</w:t>
      </w:r>
      <w:r w:rsidRPr="004B1A64">
        <w:rPr>
          <w:rFonts w:eastAsia="SimSun"/>
          <w:color w:val="FF0000"/>
          <w:sz w:val="20"/>
          <w:szCs w:val="20"/>
          <w:lang w:val="en-US"/>
        </w:rPr>
        <w:t xml:space="preserve"> </w:t>
      </w:r>
      <w:r w:rsidRPr="004B1A64">
        <w:rPr>
          <w:color w:val="000000" w:themeColor="text1"/>
          <w:sz w:val="20"/>
          <w:szCs w:val="20"/>
        </w:rPr>
        <w:t>0.53</w:t>
      </w:r>
      <w:r w:rsidRPr="004B1A64">
        <w:rPr>
          <w:color w:val="000000" w:themeColor="text1"/>
          <w:sz w:val="20"/>
          <w:szCs w:val="20"/>
          <w:lang w:val="en-US"/>
        </w:rPr>
        <w:t xml:space="preserve"> to </w:t>
      </w:r>
      <w:r w:rsidRPr="004B1A64">
        <w:rPr>
          <w:color w:val="000000" w:themeColor="text1"/>
          <w:sz w:val="20"/>
          <w:szCs w:val="20"/>
        </w:rPr>
        <w:t>0.67) in the multivariable analysis.</w:t>
      </w:r>
    </w:p>
    <w:p w14:paraId="4F4BC8EB" w14:textId="2967BB9C" w:rsidR="00551EC4" w:rsidRDefault="00551EC4" w:rsidP="00186A56">
      <w:pPr>
        <w:jc w:val="both"/>
        <w:rPr>
          <w:color w:val="000000" w:themeColor="text1"/>
          <w:sz w:val="20"/>
          <w:szCs w:val="20"/>
        </w:rPr>
      </w:pPr>
    </w:p>
    <w:p w14:paraId="721912C5" w14:textId="77777777" w:rsidR="00551EC4" w:rsidRPr="006C3A28" w:rsidRDefault="00551EC4" w:rsidP="00551EC4">
      <w:pPr>
        <w:jc w:val="both"/>
        <w:rPr>
          <w:b/>
          <w:bCs/>
          <w:color w:val="9E1435"/>
          <w:sz w:val="22"/>
          <w:szCs w:val="22"/>
          <w:lang w:val="en-US"/>
        </w:rPr>
      </w:pPr>
      <w:r>
        <w:rPr>
          <w:b/>
          <w:bCs/>
          <w:color w:val="9E1435"/>
          <w:sz w:val="22"/>
          <w:szCs w:val="22"/>
          <w:lang w:val="en-US"/>
        </w:rPr>
        <w:t>STATISTICAL ANALYSIS</w:t>
      </w:r>
      <w:r w:rsidRPr="00A42CDF">
        <w:rPr>
          <w:b/>
          <w:bCs/>
          <w:color w:val="9E1435"/>
          <w:sz w:val="22"/>
          <w:szCs w:val="22"/>
          <w:lang w:val="en-US"/>
        </w:rPr>
        <w:t xml:space="preserve"> </w:t>
      </w:r>
    </w:p>
    <w:p w14:paraId="46F21025" w14:textId="77777777" w:rsidR="00551EC4" w:rsidRPr="004B1A64" w:rsidRDefault="00551EC4" w:rsidP="00551EC4">
      <w:pPr>
        <w:jc w:val="both"/>
        <w:rPr>
          <w:rFonts w:eastAsia="Arial"/>
          <w:color w:val="000000"/>
          <w:sz w:val="20"/>
          <w:szCs w:val="20"/>
          <w:lang w:val="en-US"/>
        </w:rPr>
      </w:pPr>
      <w:r w:rsidRPr="004B1A64">
        <w:rPr>
          <w:rFonts w:eastAsia="Arial"/>
          <w:color w:val="000000"/>
          <w:sz w:val="20"/>
          <w:szCs w:val="20"/>
          <w:lang w:val="en-US"/>
        </w:rPr>
        <w:t xml:space="preserve">The prognostic value of the two </w:t>
      </w:r>
      <w:r w:rsidRPr="004B1A64">
        <w:rPr>
          <w:rFonts w:eastAsia="Arial"/>
          <w:color w:val="000000"/>
          <w:sz w:val="20"/>
          <w:szCs w:val="20"/>
        </w:rPr>
        <w:t xml:space="preserve">molecular </w:t>
      </w:r>
      <w:r w:rsidRPr="004B1A64">
        <w:rPr>
          <w:rFonts w:eastAsia="Arial"/>
          <w:color w:val="000000"/>
          <w:sz w:val="20"/>
          <w:szCs w:val="20"/>
          <w:lang w:val="en-US"/>
        </w:rPr>
        <w:t>classification</w:t>
      </w:r>
      <w:r w:rsidRPr="004B1A64">
        <w:rPr>
          <w:rFonts w:eastAsia="Arial"/>
          <w:color w:val="000000"/>
          <w:sz w:val="20"/>
          <w:szCs w:val="20"/>
        </w:rPr>
        <w:t xml:space="preserve"> scheme</w:t>
      </w:r>
      <w:r w:rsidRPr="004B1A64">
        <w:rPr>
          <w:rFonts w:eastAsia="Arial"/>
          <w:color w:val="000000"/>
          <w:sz w:val="20"/>
          <w:szCs w:val="20"/>
          <w:lang w:val="en-US"/>
        </w:rPr>
        <w:t xml:space="preserve">s was evaluated by three metrics: 1) </w:t>
      </w:r>
      <w:r w:rsidRPr="004B1A64">
        <w:rPr>
          <w:rFonts w:eastAsia="Arial"/>
          <w:color w:val="000000"/>
          <w:sz w:val="20"/>
          <w:szCs w:val="20"/>
        </w:rPr>
        <w:t>Kaplan-Meier curves with log-rank tests</w:t>
      </w:r>
      <w:r w:rsidRPr="004B1A64">
        <w:rPr>
          <w:rFonts w:eastAsia="Arial"/>
          <w:color w:val="000000"/>
          <w:sz w:val="20"/>
          <w:szCs w:val="20"/>
          <w:lang w:val="en-US"/>
        </w:rPr>
        <w:t xml:space="preserve"> to </w:t>
      </w:r>
      <w:r w:rsidRPr="004B1A64">
        <w:rPr>
          <w:rFonts w:eastAsia="Arial"/>
          <w:color w:val="000000"/>
          <w:sz w:val="20"/>
          <w:szCs w:val="20"/>
        </w:rPr>
        <w:t xml:space="preserve">compare patient subgroups; 2) Hazard ratios (HR) for overall survival, including 95% </w:t>
      </w:r>
      <w:r w:rsidRPr="004B1A64">
        <w:rPr>
          <w:rFonts w:eastAsia="Arial"/>
          <w:color w:val="000000"/>
          <w:sz w:val="20"/>
          <w:szCs w:val="20"/>
          <w:lang w:val="en-US"/>
        </w:rPr>
        <w:t>confidence intervals (</w:t>
      </w:r>
      <w:r w:rsidRPr="004B1A64">
        <w:rPr>
          <w:rFonts w:eastAsia="Arial"/>
          <w:color w:val="000000"/>
          <w:sz w:val="20"/>
          <w:szCs w:val="20"/>
        </w:rPr>
        <w:t>C</w:t>
      </w:r>
      <w:r w:rsidRPr="004B1A64">
        <w:rPr>
          <w:rFonts w:eastAsia="Arial"/>
          <w:color w:val="000000"/>
          <w:sz w:val="20"/>
          <w:szCs w:val="20"/>
          <w:lang w:val="en-US"/>
        </w:rPr>
        <w:t>I</w:t>
      </w:r>
      <w:r w:rsidRPr="004B1A64">
        <w:rPr>
          <w:rFonts w:eastAsia="Arial"/>
          <w:color w:val="000000"/>
          <w:sz w:val="20"/>
          <w:szCs w:val="20"/>
        </w:rPr>
        <w:t>s</w:t>
      </w:r>
      <w:r w:rsidRPr="004B1A64">
        <w:rPr>
          <w:rFonts w:eastAsia="Arial"/>
          <w:color w:val="000000"/>
          <w:sz w:val="20"/>
          <w:szCs w:val="20"/>
          <w:lang w:val="en-US"/>
        </w:rPr>
        <w:t>)</w:t>
      </w:r>
      <w:r w:rsidRPr="004B1A64">
        <w:rPr>
          <w:rFonts w:eastAsia="Arial"/>
          <w:color w:val="000000"/>
          <w:sz w:val="20"/>
          <w:szCs w:val="20"/>
        </w:rPr>
        <w:t>, from univariate and multivariable Cox proportional hazard regression</w:t>
      </w:r>
      <w:r w:rsidRPr="004B1A64">
        <w:rPr>
          <w:rFonts w:eastAsia="Arial"/>
          <w:color w:val="000000"/>
          <w:sz w:val="20"/>
          <w:szCs w:val="20"/>
          <w:lang w:val="en-US"/>
        </w:rPr>
        <w:t xml:space="preserve">; 3) Concordance index (Harrel’s C-index) </w:t>
      </w:r>
      <w:r w:rsidRPr="004B1A64">
        <w:rPr>
          <w:rFonts w:eastAsia="Arial"/>
          <w:color w:val="000000"/>
          <w:sz w:val="20"/>
          <w:szCs w:val="20"/>
        </w:rPr>
        <w:t xml:space="preserve">from </w:t>
      </w:r>
      <w:r w:rsidRPr="004B1A64">
        <w:rPr>
          <w:rFonts w:eastAsia="Arial"/>
          <w:color w:val="000000"/>
          <w:sz w:val="20"/>
          <w:szCs w:val="20"/>
          <w:lang w:val="en-US"/>
        </w:rPr>
        <w:t xml:space="preserve">the Cox models. The C-index from multivariate Cox model was estimated via cross-validating bootstrapped datasets to avoid the optimism bias. </w:t>
      </w:r>
      <w:r w:rsidRPr="004B1A64">
        <w:rPr>
          <w:rFonts w:eastAsia="Arial"/>
          <w:color w:val="000000"/>
          <w:sz w:val="20"/>
          <w:szCs w:val="20"/>
        </w:rPr>
        <w:t xml:space="preserve">We used forest plots to visualize the HRs </w:t>
      </w:r>
      <w:r w:rsidRPr="004B1A64">
        <w:rPr>
          <w:rFonts w:eastAsia="Arial"/>
          <w:color w:val="000000"/>
          <w:sz w:val="20"/>
          <w:szCs w:val="20"/>
          <w:lang w:val="en-US"/>
        </w:rPr>
        <w:t xml:space="preserve">and their CIs </w:t>
      </w:r>
      <w:r w:rsidRPr="004B1A64">
        <w:rPr>
          <w:rFonts w:eastAsia="Arial"/>
          <w:color w:val="000000"/>
          <w:sz w:val="20"/>
          <w:szCs w:val="20"/>
        </w:rPr>
        <w:t>from Cox model stratified by subgroups.</w:t>
      </w:r>
      <w:r w:rsidRPr="004B1A64">
        <w:rPr>
          <w:rFonts w:eastAsia="Arial"/>
          <w:color w:val="000000"/>
          <w:sz w:val="20"/>
          <w:szCs w:val="20"/>
          <w:lang w:val="en-US"/>
        </w:rPr>
        <w:t xml:space="preserve"> In addition, univariate analyses were conducted to compare patient characteristics between two groups,</w:t>
      </w:r>
      <w:r w:rsidRPr="004B1A64">
        <w:rPr>
          <w:rFonts w:eastAsia="Arial"/>
          <w:color w:val="000000"/>
          <w:sz w:val="20"/>
          <w:szCs w:val="20"/>
        </w:rPr>
        <w:t xml:space="preserve"> using the t test for continuous variables and </w:t>
      </w:r>
      <w:r w:rsidRPr="004B1A64">
        <w:rPr>
          <w:rFonts w:eastAsia="Arial"/>
          <w:color w:val="000000"/>
          <w:sz w:val="20"/>
          <w:szCs w:val="20"/>
          <w:lang w:val="en-US"/>
        </w:rPr>
        <w:t>chi-squared test</w:t>
      </w:r>
      <w:r w:rsidRPr="004B1A64">
        <w:rPr>
          <w:rFonts w:eastAsia="Arial"/>
          <w:color w:val="000000"/>
          <w:sz w:val="20"/>
          <w:szCs w:val="20"/>
        </w:rPr>
        <w:t xml:space="preserve"> for categorical variables.</w:t>
      </w:r>
      <w:r w:rsidRPr="004B1A64">
        <w:rPr>
          <w:rFonts w:eastAsia="Arial"/>
          <w:color w:val="000000"/>
          <w:sz w:val="20"/>
          <w:szCs w:val="20"/>
          <w:lang w:val="en-US"/>
        </w:rPr>
        <w:t xml:space="preserve"> </w:t>
      </w:r>
      <w:r w:rsidRPr="004B1A64">
        <w:rPr>
          <w:rFonts w:eastAsia="Arial"/>
          <w:color w:val="000000"/>
          <w:sz w:val="20"/>
          <w:szCs w:val="20"/>
        </w:rPr>
        <w:t xml:space="preserve">The significance threshold was set at </w:t>
      </w:r>
      <w:r w:rsidRPr="004B1A64">
        <w:rPr>
          <w:rFonts w:eastAsia="Arial"/>
          <w:color w:val="000000"/>
          <w:sz w:val="20"/>
          <w:szCs w:val="20"/>
          <w:lang w:val="en-US"/>
        </w:rPr>
        <w:t xml:space="preserve">P </w:t>
      </w:r>
      <w:r w:rsidRPr="004B1A64">
        <w:rPr>
          <w:rFonts w:eastAsia="Arial"/>
          <w:color w:val="000000"/>
          <w:sz w:val="20"/>
          <w:szCs w:val="20"/>
        </w:rPr>
        <w:t>&lt;</w:t>
      </w:r>
      <w:r w:rsidRPr="004B1A64">
        <w:rPr>
          <w:rFonts w:eastAsia="Arial"/>
          <w:color w:val="000000"/>
          <w:sz w:val="20"/>
          <w:szCs w:val="20"/>
          <w:lang w:val="en-US"/>
        </w:rPr>
        <w:t xml:space="preserve"> </w:t>
      </w:r>
      <w:r w:rsidRPr="004B1A64">
        <w:rPr>
          <w:rFonts w:eastAsia="Arial"/>
          <w:color w:val="000000"/>
          <w:sz w:val="20"/>
          <w:szCs w:val="20"/>
        </w:rPr>
        <w:t>0</w:t>
      </w:r>
      <w:r w:rsidRPr="004B1A64">
        <w:rPr>
          <w:rFonts w:eastAsia="Arial"/>
          <w:color w:val="000000"/>
          <w:sz w:val="20"/>
          <w:szCs w:val="20"/>
          <w:lang w:val="en-US"/>
        </w:rPr>
        <w:t>.</w:t>
      </w:r>
      <w:r w:rsidRPr="004B1A64">
        <w:rPr>
          <w:rFonts w:eastAsia="Arial"/>
          <w:color w:val="000000"/>
          <w:sz w:val="20"/>
          <w:szCs w:val="20"/>
        </w:rPr>
        <w:t>05 for all statistical tests in this study.</w:t>
      </w:r>
      <w:r w:rsidRPr="004B1A64">
        <w:rPr>
          <w:sz w:val="20"/>
          <w:szCs w:val="20"/>
        </w:rPr>
        <w:t xml:space="preserve"> </w:t>
      </w:r>
    </w:p>
    <w:p w14:paraId="0B951A27" w14:textId="77777777" w:rsidR="00551EC4" w:rsidRPr="00551EC4" w:rsidRDefault="00551EC4" w:rsidP="00186A56">
      <w:pPr>
        <w:jc w:val="both"/>
        <w:rPr>
          <w:color w:val="000000" w:themeColor="text1"/>
          <w:sz w:val="20"/>
          <w:szCs w:val="20"/>
          <w:lang w:val="en-US"/>
        </w:rPr>
      </w:pPr>
    </w:p>
    <w:p w14:paraId="35445D3E" w14:textId="3A83FE09" w:rsidR="00D92EDD" w:rsidRDefault="00186A56">
      <w:r w:rsidRPr="00186A56">
        <w:lastRenderedPageBreak/>
        <w:drawing>
          <wp:inline distT="0" distB="0" distL="0" distR="0" wp14:anchorId="7B636979" wp14:editId="5BADEDAD">
            <wp:extent cx="5943600" cy="6189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603B" w14:textId="6D39A3C7" w:rsidR="00186A56" w:rsidRDefault="00186A56"/>
    <w:p w14:paraId="574CFC4F" w14:textId="035DC40E" w:rsidR="00186A56" w:rsidRDefault="00186A56">
      <w:r w:rsidRPr="00186A56">
        <w:lastRenderedPageBreak/>
        <w:drawing>
          <wp:inline distT="0" distB="0" distL="0" distR="0" wp14:anchorId="3F36F82C" wp14:editId="51177AEF">
            <wp:extent cx="5943600" cy="381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56"/>
    <w:rsid w:val="00006C36"/>
    <w:rsid w:val="00020B4A"/>
    <w:rsid w:val="00020D78"/>
    <w:rsid w:val="00022D88"/>
    <w:rsid w:val="00023E16"/>
    <w:rsid w:val="0003089A"/>
    <w:rsid w:val="0003118B"/>
    <w:rsid w:val="000360AA"/>
    <w:rsid w:val="00036D03"/>
    <w:rsid w:val="00044076"/>
    <w:rsid w:val="000443A4"/>
    <w:rsid w:val="00044540"/>
    <w:rsid w:val="00044A5C"/>
    <w:rsid w:val="00045413"/>
    <w:rsid w:val="0005337D"/>
    <w:rsid w:val="00053740"/>
    <w:rsid w:val="00063643"/>
    <w:rsid w:val="00067F7C"/>
    <w:rsid w:val="000769AD"/>
    <w:rsid w:val="00076E8A"/>
    <w:rsid w:val="00077EEE"/>
    <w:rsid w:val="000829D9"/>
    <w:rsid w:val="000838DE"/>
    <w:rsid w:val="00084555"/>
    <w:rsid w:val="00087D71"/>
    <w:rsid w:val="00096205"/>
    <w:rsid w:val="000A1C02"/>
    <w:rsid w:val="000A1D78"/>
    <w:rsid w:val="000A33D6"/>
    <w:rsid w:val="000A55EB"/>
    <w:rsid w:val="000A63A7"/>
    <w:rsid w:val="000A7F1A"/>
    <w:rsid w:val="000B1AE8"/>
    <w:rsid w:val="000C5C8D"/>
    <w:rsid w:val="000C6603"/>
    <w:rsid w:val="000C7FA2"/>
    <w:rsid w:val="000D0378"/>
    <w:rsid w:val="000D35D2"/>
    <w:rsid w:val="000D5F17"/>
    <w:rsid w:val="000E19EB"/>
    <w:rsid w:val="000E6641"/>
    <w:rsid w:val="000F1D87"/>
    <w:rsid w:val="000F3DAD"/>
    <w:rsid w:val="000F50A7"/>
    <w:rsid w:val="00105F83"/>
    <w:rsid w:val="00107572"/>
    <w:rsid w:val="001105D6"/>
    <w:rsid w:val="00111601"/>
    <w:rsid w:val="00111AEB"/>
    <w:rsid w:val="00112BB6"/>
    <w:rsid w:val="00115C53"/>
    <w:rsid w:val="00130F9F"/>
    <w:rsid w:val="00131788"/>
    <w:rsid w:val="001321FF"/>
    <w:rsid w:val="00140E69"/>
    <w:rsid w:val="00140F91"/>
    <w:rsid w:val="00144BE5"/>
    <w:rsid w:val="00144F6B"/>
    <w:rsid w:val="0014558E"/>
    <w:rsid w:val="0014572B"/>
    <w:rsid w:val="00157CEC"/>
    <w:rsid w:val="001632C7"/>
    <w:rsid w:val="001721A0"/>
    <w:rsid w:val="00180987"/>
    <w:rsid w:val="00185578"/>
    <w:rsid w:val="00186A56"/>
    <w:rsid w:val="00191002"/>
    <w:rsid w:val="00194BF8"/>
    <w:rsid w:val="0019657C"/>
    <w:rsid w:val="001A2D88"/>
    <w:rsid w:val="001A5056"/>
    <w:rsid w:val="001A5404"/>
    <w:rsid w:val="001A6298"/>
    <w:rsid w:val="001B1815"/>
    <w:rsid w:val="001B3A41"/>
    <w:rsid w:val="001B7C7D"/>
    <w:rsid w:val="001B7D7A"/>
    <w:rsid w:val="001C0498"/>
    <w:rsid w:val="001C593E"/>
    <w:rsid w:val="001D1826"/>
    <w:rsid w:val="001D1B17"/>
    <w:rsid w:val="001D3422"/>
    <w:rsid w:val="001E0D43"/>
    <w:rsid w:val="001E221D"/>
    <w:rsid w:val="001E5681"/>
    <w:rsid w:val="001F5D92"/>
    <w:rsid w:val="00201F5F"/>
    <w:rsid w:val="00210CA9"/>
    <w:rsid w:val="002130E4"/>
    <w:rsid w:val="00214E83"/>
    <w:rsid w:val="00220375"/>
    <w:rsid w:val="00226067"/>
    <w:rsid w:val="00226BF6"/>
    <w:rsid w:val="00231B83"/>
    <w:rsid w:val="00231C7C"/>
    <w:rsid w:val="00236DC2"/>
    <w:rsid w:val="0024110D"/>
    <w:rsid w:val="0024420B"/>
    <w:rsid w:val="00247577"/>
    <w:rsid w:val="00250310"/>
    <w:rsid w:val="00250929"/>
    <w:rsid w:val="00251B1A"/>
    <w:rsid w:val="00251BEA"/>
    <w:rsid w:val="00265C0D"/>
    <w:rsid w:val="002675E7"/>
    <w:rsid w:val="0026765A"/>
    <w:rsid w:val="00267CDB"/>
    <w:rsid w:val="002718C0"/>
    <w:rsid w:val="00276B4D"/>
    <w:rsid w:val="00280293"/>
    <w:rsid w:val="0028462D"/>
    <w:rsid w:val="0028578B"/>
    <w:rsid w:val="00287445"/>
    <w:rsid w:val="002942ED"/>
    <w:rsid w:val="00294923"/>
    <w:rsid w:val="002A0BEA"/>
    <w:rsid w:val="002A6F5D"/>
    <w:rsid w:val="002B11E4"/>
    <w:rsid w:val="002B2E21"/>
    <w:rsid w:val="002B32FF"/>
    <w:rsid w:val="002B6D80"/>
    <w:rsid w:val="002C10C4"/>
    <w:rsid w:val="002C20E0"/>
    <w:rsid w:val="002C2AF8"/>
    <w:rsid w:val="002D3637"/>
    <w:rsid w:val="002D43D9"/>
    <w:rsid w:val="002D5FC6"/>
    <w:rsid w:val="002D7611"/>
    <w:rsid w:val="002E39E6"/>
    <w:rsid w:val="002E5983"/>
    <w:rsid w:val="002F5147"/>
    <w:rsid w:val="00306739"/>
    <w:rsid w:val="00312390"/>
    <w:rsid w:val="00312F55"/>
    <w:rsid w:val="00313FDE"/>
    <w:rsid w:val="00315D77"/>
    <w:rsid w:val="00317383"/>
    <w:rsid w:val="00317B40"/>
    <w:rsid w:val="00321A8E"/>
    <w:rsid w:val="00322E06"/>
    <w:rsid w:val="00323D5F"/>
    <w:rsid w:val="003343BA"/>
    <w:rsid w:val="00334D4C"/>
    <w:rsid w:val="00335D32"/>
    <w:rsid w:val="00342A1E"/>
    <w:rsid w:val="00343672"/>
    <w:rsid w:val="00345F6B"/>
    <w:rsid w:val="00346718"/>
    <w:rsid w:val="003469E1"/>
    <w:rsid w:val="003472DA"/>
    <w:rsid w:val="003509C7"/>
    <w:rsid w:val="00350FD7"/>
    <w:rsid w:val="003533F6"/>
    <w:rsid w:val="00354F9B"/>
    <w:rsid w:val="00355E0A"/>
    <w:rsid w:val="00356C2D"/>
    <w:rsid w:val="0036233F"/>
    <w:rsid w:val="00364A1B"/>
    <w:rsid w:val="00371537"/>
    <w:rsid w:val="00371667"/>
    <w:rsid w:val="00372827"/>
    <w:rsid w:val="00377A14"/>
    <w:rsid w:val="0038114E"/>
    <w:rsid w:val="003854BE"/>
    <w:rsid w:val="003A1B19"/>
    <w:rsid w:val="003A7818"/>
    <w:rsid w:val="003B3DBA"/>
    <w:rsid w:val="003C2032"/>
    <w:rsid w:val="003C39DF"/>
    <w:rsid w:val="003C42B4"/>
    <w:rsid w:val="003C480D"/>
    <w:rsid w:val="003C594A"/>
    <w:rsid w:val="003C65E3"/>
    <w:rsid w:val="003D3B3C"/>
    <w:rsid w:val="003D3FAB"/>
    <w:rsid w:val="003D6F3A"/>
    <w:rsid w:val="003D75E8"/>
    <w:rsid w:val="003D7882"/>
    <w:rsid w:val="003D7A92"/>
    <w:rsid w:val="003E2BC0"/>
    <w:rsid w:val="003E3468"/>
    <w:rsid w:val="003E4597"/>
    <w:rsid w:val="00400928"/>
    <w:rsid w:val="004025F6"/>
    <w:rsid w:val="00407F37"/>
    <w:rsid w:val="004108E9"/>
    <w:rsid w:val="00411394"/>
    <w:rsid w:val="004120D7"/>
    <w:rsid w:val="004177CA"/>
    <w:rsid w:val="004228CA"/>
    <w:rsid w:val="0042723D"/>
    <w:rsid w:val="004273DC"/>
    <w:rsid w:val="00430B88"/>
    <w:rsid w:val="0043364C"/>
    <w:rsid w:val="00435223"/>
    <w:rsid w:val="00443C2F"/>
    <w:rsid w:val="004475C1"/>
    <w:rsid w:val="00451CB9"/>
    <w:rsid w:val="00452016"/>
    <w:rsid w:val="00456DB9"/>
    <w:rsid w:val="00457B58"/>
    <w:rsid w:val="004606FD"/>
    <w:rsid w:val="004610DD"/>
    <w:rsid w:val="0047117E"/>
    <w:rsid w:val="00474F30"/>
    <w:rsid w:val="004802B5"/>
    <w:rsid w:val="00483B96"/>
    <w:rsid w:val="00493234"/>
    <w:rsid w:val="00494C45"/>
    <w:rsid w:val="004B28E7"/>
    <w:rsid w:val="004B4210"/>
    <w:rsid w:val="004C08F5"/>
    <w:rsid w:val="004C1362"/>
    <w:rsid w:val="004C17B2"/>
    <w:rsid w:val="004C1A6F"/>
    <w:rsid w:val="004C1EA1"/>
    <w:rsid w:val="004C2072"/>
    <w:rsid w:val="004D3231"/>
    <w:rsid w:val="004D32FE"/>
    <w:rsid w:val="004D5379"/>
    <w:rsid w:val="004D54C8"/>
    <w:rsid w:val="004D5E83"/>
    <w:rsid w:val="004D78F2"/>
    <w:rsid w:val="004E18EA"/>
    <w:rsid w:val="004E232B"/>
    <w:rsid w:val="004E7AD6"/>
    <w:rsid w:val="004F02C4"/>
    <w:rsid w:val="004F1153"/>
    <w:rsid w:val="004F3B41"/>
    <w:rsid w:val="004F3CBC"/>
    <w:rsid w:val="004F58C4"/>
    <w:rsid w:val="005011B4"/>
    <w:rsid w:val="00505CBE"/>
    <w:rsid w:val="0050750D"/>
    <w:rsid w:val="005109D0"/>
    <w:rsid w:val="00510EBE"/>
    <w:rsid w:val="005150FC"/>
    <w:rsid w:val="00515564"/>
    <w:rsid w:val="005228B9"/>
    <w:rsid w:val="0052299E"/>
    <w:rsid w:val="00526C13"/>
    <w:rsid w:val="0054012C"/>
    <w:rsid w:val="00546CD4"/>
    <w:rsid w:val="00546F4F"/>
    <w:rsid w:val="00546FA9"/>
    <w:rsid w:val="0055031B"/>
    <w:rsid w:val="005505D3"/>
    <w:rsid w:val="00551EC4"/>
    <w:rsid w:val="00557835"/>
    <w:rsid w:val="00557BD5"/>
    <w:rsid w:val="00560D69"/>
    <w:rsid w:val="005628BD"/>
    <w:rsid w:val="005640DD"/>
    <w:rsid w:val="00567457"/>
    <w:rsid w:val="00573F56"/>
    <w:rsid w:val="0057603F"/>
    <w:rsid w:val="005830D5"/>
    <w:rsid w:val="00591139"/>
    <w:rsid w:val="00591C7B"/>
    <w:rsid w:val="005961DC"/>
    <w:rsid w:val="0059730E"/>
    <w:rsid w:val="005A0357"/>
    <w:rsid w:val="005A45FB"/>
    <w:rsid w:val="005B3256"/>
    <w:rsid w:val="005B408C"/>
    <w:rsid w:val="005B5898"/>
    <w:rsid w:val="005B7ABD"/>
    <w:rsid w:val="005C1CC6"/>
    <w:rsid w:val="005D03C3"/>
    <w:rsid w:val="005D065B"/>
    <w:rsid w:val="005D0875"/>
    <w:rsid w:val="005D5623"/>
    <w:rsid w:val="005E25CF"/>
    <w:rsid w:val="005E35E3"/>
    <w:rsid w:val="005E4270"/>
    <w:rsid w:val="005E70E6"/>
    <w:rsid w:val="005F3EEC"/>
    <w:rsid w:val="005F559B"/>
    <w:rsid w:val="00605DEB"/>
    <w:rsid w:val="006076F1"/>
    <w:rsid w:val="00610739"/>
    <w:rsid w:val="0061619E"/>
    <w:rsid w:val="00620F2F"/>
    <w:rsid w:val="00621B5B"/>
    <w:rsid w:val="00623D9C"/>
    <w:rsid w:val="006243AD"/>
    <w:rsid w:val="006362EA"/>
    <w:rsid w:val="0063777C"/>
    <w:rsid w:val="0064141D"/>
    <w:rsid w:val="006428B3"/>
    <w:rsid w:val="00650237"/>
    <w:rsid w:val="0065063E"/>
    <w:rsid w:val="006547FB"/>
    <w:rsid w:val="00661D5A"/>
    <w:rsid w:val="00661DA0"/>
    <w:rsid w:val="006658A7"/>
    <w:rsid w:val="00670E42"/>
    <w:rsid w:val="00672BFC"/>
    <w:rsid w:val="00677490"/>
    <w:rsid w:val="006815F0"/>
    <w:rsid w:val="006832AB"/>
    <w:rsid w:val="006842F4"/>
    <w:rsid w:val="00685F16"/>
    <w:rsid w:val="006A4225"/>
    <w:rsid w:val="006B5C91"/>
    <w:rsid w:val="006B5D4E"/>
    <w:rsid w:val="006B67C7"/>
    <w:rsid w:val="006B6B9F"/>
    <w:rsid w:val="006C1281"/>
    <w:rsid w:val="006C5C39"/>
    <w:rsid w:val="006C6110"/>
    <w:rsid w:val="006D5153"/>
    <w:rsid w:val="006E6680"/>
    <w:rsid w:val="006E6EB1"/>
    <w:rsid w:val="006E7BEC"/>
    <w:rsid w:val="006E7E04"/>
    <w:rsid w:val="006F1AE0"/>
    <w:rsid w:val="00700BCA"/>
    <w:rsid w:val="0070103E"/>
    <w:rsid w:val="0070388F"/>
    <w:rsid w:val="007104BA"/>
    <w:rsid w:val="00710D46"/>
    <w:rsid w:val="00713108"/>
    <w:rsid w:val="007146ED"/>
    <w:rsid w:val="00715972"/>
    <w:rsid w:val="007171FA"/>
    <w:rsid w:val="00721DD7"/>
    <w:rsid w:val="00722C2E"/>
    <w:rsid w:val="00723C9E"/>
    <w:rsid w:val="00726832"/>
    <w:rsid w:val="00727D91"/>
    <w:rsid w:val="00731E30"/>
    <w:rsid w:val="007325DD"/>
    <w:rsid w:val="00735F0B"/>
    <w:rsid w:val="00740540"/>
    <w:rsid w:val="00744D3F"/>
    <w:rsid w:val="00750A88"/>
    <w:rsid w:val="00752BCC"/>
    <w:rsid w:val="00755CD4"/>
    <w:rsid w:val="007567D1"/>
    <w:rsid w:val="00757D04"/>
    <w:rsid w:val="00760ED7"/>
    <w:rsid w:val="007613DE"/>
    <w:rsid w:val="0077629C"/>
    <w:rsid w:val="007858F3"/>
    <w:rsid w:val="00785CAC"/>
    <w:rsid w:val="00790959"/>
    <w:rsid w:val="007A1534"/>
    <w:rsid w:val="007A4C07"/>
    <w:rsid w:val="007A5BC4"/>
    <w:rsid w:val="007C009E"/>
    <w:rsid w:val="007C0BCE"/>
    <w:rsid w:val="007C0CE6"/>
    <w:rsid w:val="007C1786"/>
    <w:rsid w:val="007C20C0"/>
    <w:rsid w:val="007C677E"/>
    <w:rsid w:val="007C788D"/>
    <w:rsid w:val="007D45B9"/>
    <w:rsid w:val="007D58A1"/>
    <w:rsid w:val="007D6C69"/>
    <w:rsid w:val="007E0611"/>
    <w:rsid w:val="007E23FB"/>
    <w:rsid w:val="007E40C5"/>
    <w:rsid w:val="007E540B"/>
    <w:rsid w:val="007E69B9"/>
    <w:rsid w:val="007E6E6A"/>
    <w:rsid w:val="007E76E0"/>
    <w:rsid w:val="007F1BE4"/>
    <w:rsid w:val="007F3382"/>
    <w:rsid w:val="007F3B50"/>
    <w:rsid w:val="007F42B0"/>
    <w:rsid w:val="008017CC"/>
    <w:rsid w:val="008030B3"/>
    <w:rsid w:val="0080458F"/>
    <w:rsid w:val="00805869"/>
    <w:rsid w:val="0080593F"/>
    <w:rsid w:val="00806602"/>
    <w:rsid w:val="008111A7"/>
    <w:rsid w:val="00812747"/>
    <w:rsid w:val="0081353B"/>
    <w:rsid w:val="00815AF4"/>
    <w:rsid w:val="00816419"/>
    <w:rsid w:val="0082074A"/>
    <w:rsid w:val="00821961"/>
    <w:rsid w:val="00823676"/>
    <w:rsid w:val="008253BF"/>
    <w:rsid w:val="008259A5"/>
    <w:rsid w:val="008259C8"/>
    <w:rsid w:val="00825CE0"/>
    <w:rsid w:val="008323C9"/>
    <w:rsid w:val="0083468B"/>
    <w:rsid w:val="00835230"/>
    <w:rsid w:val="008365B3"/>
    <w:rsid w:val="00836A43"/>
    <w:rsid w:val="00840CB4"/>
    <w:rsid w:val="00842AE1"/>
    <w:rsid w:val="0084302D"/>
    <w:rsid w:val="00846544"/>
    <w:rsid w:val="00847DBB"/>
    <w:rsid w:val="008532B3"/>
    <w:rsid w:val="0085370B"/>
    <w:rsid w:val="008544F0"/>
    <w:rsid w:val="00854DF2"/>
    <w:rsid w:val="00857AE9"/>
    <w:rsid w:val="00860D4A"/>
    <w:rsid w:val="00863DBB"/>
    <w:rsid w:val="008658A8"/>
    <w:rsid w:val="008712C7"/>
    <w:rsid w:val="00874661"/>
    <w:rsid w:val="008765DA"/>
    <w:rsid w:val="0088167D"/>
    <w:rsid w:val="008834B1"/>
    <w:rsid w:val="00884CEB"/>
    <w:rsid w:val="008869C3"/>
    <w:rsid w:val="008A27EA"/>
    <w:rsid w:val="008A3C13"/>
    <w:rsid w:val="008A4032"/>
    <w:rsid w:val="008A6A03"/>
    <w:rsid w:val="008C04BD"/>
    <w:rsid w:val="008C5256"/>
    <w:rsid w:val="008D11E0"/>
    <w:rsid w:val="008D1F4A"/>
    <w:rsid w:val="008D3F46"/>
    <w:rsid w:val="008D597B"/>
    <w:rsid w:val="008E6EA9"/>
    <w:rsid w:val="008E7656"/>
    <w:rsid w:val="008F0C5F"/>
    <w:rsid w:val="008F1499"/>
    <w:rsid w:val="008F6B2F"/>
    <w:rsid w:val="008F7EF7"/>
    <w:rsid w:val="00903A03"/>
    <w:rsid w:val="009055E8"/>
    <w:rsid w:val="0090680F"/>
    <w:rsid w:val="009124C1"/>
    <w:rsid w:val="00917A2F"/>
    <w:rsid w:val="009204BD"/>
    <w:rsid w:val="0092098A"/>
    <w:rsid w:val="0092341C"/>
    <w:rsid w:val="00926D97"/>
    <w:rsid w:val="00930A63"/>
    <w:rsid w:val="00930CA8"/>
    <w:rsid w:val="0093346F"/>
    <w:rsid w:val="00933EBD"/>
    <w:rsid w:val="00935915"/>
    <w:rsid w:val="009372BA"/>
    <w:rsid w:val="00950D4E"/>
    <w:rsid w:val="00955BD8"/>
    <w:rsid w:val="009571E3"/>
    <w:rsid w:val="00957281"/>
    <w:rsid w:val="009601D3"/>
    <w:rsid w:val="00966007"/>
    <w:rsid w:val="00966BD9"/>
    <w:rsid w:val="00983B07"/>
    <w:rsid w:val="00983DE1"/>
    <w:rsid w:val="009864A3"/>
    <w:rsid w:val="00986BB8"/>
    <w:rsid w:val="00987B38"/>
    <w:rsid w:val="009907A0"/>
    <w:rsid w:val="0099119E"/>
    <w:rsid w:val="009928EC"/>
    <w:rsid w:val="0099422D"/>
    <w:rsid w:val="009A14A8"/>
    <w:rsid w:val="009A335B"/>
    <w:rsid w:val="009A4706"/>
    <w:rsid w:val="009A6C92"/>
    <w:rsid w:val="009B061D"/>
    <w:rsid w:val="009B26CC"/>
    <w:rsid w:val="009B3BBE"/>
    <w:rsid w:val="009B7BA9"/>
    <w:rsid w:val="009C1857"/>
    <w:rsid w:val="009C4449"/>
    <w:rsid w:val="009C4ECE"/>
    <w:rsid w:val="009C53E9"/>
    <w:rsid w:val="009C718E"/>
    <w:rsid w:val="009D0D06"/>
    <w:rsid w:val="009D753B"/>
    <w:rsid w:val="009E333D"/>
    <w:rsid w:val="009E5F07"/>
    <w:rsid w:val="009F09F6"/>
    <w:rsid w:val="009F17DF"/>
    <w:rsid w:val="009F17F1"/>
    <w:rsid w:val="009F1890"/>
    <w:rsid w:val="009F1AD0"/>
    <w:rsid w:val="009F3E1E"/>
    <w:rsid w:val="009F500A"/>
    <w:rsid w:val="00A024EA"/>
    <w:rsid w:val="00A02C73"/>
    <w:rsid w:val="00A048B3"/>
    <w:rsid w:val="00A100BF"/>
    <w:rsid w:val="00A124C7"/>
    <w:rsid w:val="00A15926"/>
    <w:rsid w:val="00A16F77"/>
    <w:rsid w:val="00A17437"/>
    <w:rsid w:val="00A263E8"/>
    <w:rsid w:val="00A26C7A"/>
    <w:rsid w:val="00A3289F"/>
    <w:rsid w:val="00A32CA0"/>
    <w:rsid w:val="00A33E63"/>
    <w:rsid w:val="00A3545B"/>
    <w:rsid w:val="00A359A4"/>
    <w:rsid w:val="00A458F2"/>
    <w:rsid w:val="00A55FC5"/>
    <w:rsid w:val="00A56CDE"/>
    <w:rsid w:val="00A57533"/>
    <w:rsid w:val="00A60ABB"/>
    <w:rsid w:val="00A60BF1"/>
    <w:rsid w:val="00A61397"/>
    <w:rsid w:val="00A7571A"/>
    <w:rsid w:val="00A771D2"/>
    <w:rsid w:val="00A846CD"/>
    <w:rsid w:val="00A8564C"/>
    <w:rsid w:val="00A86DC6"/>
    <w:rsid w:val="00A874D9"/>
    <w:rsid w:val="00A87E3C"/>
    <w:rsid w:val="00A90DEB"/>
    <w:rsid w:val="00A92EB0"/>
    <w:rsid w:val="00A97E01"/>
    <w:rsid w:val="00A97FD5"/>
    <w:rsid w:val="00AA4B22"/>
    <w:rsid w:val="00AA755F"/>
    <w:rsid w:val="00AB0496"/>
    <w:rsid w:val="00AB2C06"/>
    <w:rsid w:val="00AB39C6"/>
    <w:rsid w:val="00AB534B"/>
    <w:rsid w:val="00AC0AAE"/>
    <w:rsid w:val="00AC1360"/>
    <w:rsid w:val="00AC15DA"/>
    <w:rsid w:val="00AC3AA9"/>
    <w:rsid w:val="00AC5285"/>
    <w:rsid w:val="00AD2206"/>
    <w:rsid w:val="00AD71FD"/>
    <w:rsid w:val="00AE0A37"/>
    <w:rsid w:val="00AE1E14"/>
    <w:rsid w:val="00AE28E4"/>
    <w:rsid w:val="00AE5B8D"/>
    <w:rsid w:val="00AE79DE"/>
    <w:rsid w:val="00AF0A42"/>
    <w:rsid w:val="00AF18DF"/>
    <w:rsid w:val="00AF4B87"/>
    <w:rsid w:val="00AF7134"/>
    <w:rsid w:val="00B017DE"/>
    <w:rsid w:val="00B01BEC"/>
    <w:rsid w:val="00B13A1B"/>
    <w:rsid w:val="00B1777A"/>
    <w:rsid w:val="00B34EB2"/>
    <w:rsid w:val="00B57FE9"/>
    <w:rsid w:val="00B64D61"/>
    <w:rsid w:val="00B72692"/>
    <w:rsid w:val="00B754C1"/>
    <w:rsid w:val="00B77CBE"/>
    <w:rsid w:val="00B82792"/>
    <w:rsid w:val="00B82B6E"/>
    <w:rsid w:val="00B8712A"/>
    <w:rsid w:val="00B915EC"/>
    <w:rsid w:val="00B93C8A"/>
    <w:rsid w:val="00B94EDB"/>
    <w:rsid w:val="00B95191"/>
    <w:rsid w:val="00BA09E1"/>
    <w:rsid w:val="00BA10C9"/>
    <w:rsid w:val="00BA2630"/>
    <w:rsid w:val="00BB0FB6"/>
    <w:rsid w:val="00BB22F7"/>
    <w:rsid w:val="00BB4558"/>
    <w:rsid w:val="00BB7785"/>
    <w:rsid w:val="00BC0585"/>
    <w:rsid w:val="00BC09F0"/>
    <w:rsid w:val="00BC1FDA"/>
    <w:rsid w:val="00BC2685"/>
    <w:rsid w:val="00BC52A5"/>
    <w:rsid w:val="00BD01FB"/>
    <w:rsid w:val="00BD12E4"/>
    <w:rsid w:val="00BD3F21"/>
    <w:rsid w:val="00BD4ED9"/>
    <w:rsid w:val="00BD5B28"/>
    <w:rsid w:val="00BE26BD"/>
    <w:rsid w:val="00BE7C65"/>
    <w:rsid w:val="00BF05C5"/>
    <w:rsid w:val="00BF2D4B"/>
    <w:rsid w:val="00BF3F86"/>
    <w:rsid w:val="00BF432B"/>
    <w:rsid w:val="00BF4D67"/>
    <w:rsid w:val="00BF5476"/>
    <w:rsid w:val="00C22344"/>
    <w:rsid w:val="00C2379E"/>
    <w:rsid w:val="00C23889"/>
    <w:rsid w:val="00C24232"/>
    <w:rsid w:val="00C25AAE"/>
    <w:rsid w:val="00C26C58"/>
    <w:rsid w:val="00C275E7"/>
    <w:rsid w:val="00C27C58"/>
    <w:rsid w:val="00C307F7"/>
    <w:rsid w:val="00C31186"/>
    <w:rsid w:val="00C32BE2"/>
    <w:rsid w:val="00C33BAC"/>
    <w:rsid w:val="00C42624"/>
    <w:rsid w:val="00C47A99"/>
    <w:rsid w:val="00C50BE4"/>
    <w:rsid w:val="00C52CB0"/>
    <w:rsid w:val="00C56FAA"/>
    <w:rsid w:val="00C6011B"/>
    <w:rsid w:val="00C674F8"/>
    <w:rsid w:val="00C73D08"/>
    <w:rsid w:val="00C76A1C"/>
    <w:rsid w:val="00C813A2"/>
    <w:rsid w:val="00C8675D"/>
    <w:rsid w:val="00C92568"/>
    <w:rsid w:val="00C97B6B"/>
    <w:rsid w:val="00CA08C8"/>
    <w:rsid w:val="00CA60C3"/>
    <w:rsid w:val="00CB00C6"/>
    <w:rsid w:val="00CB0130"/>
    <w:rsid w:val="00CB13EC"/>
    <w:rsid w:val="00CC5EFE"/>
    <w:rsid w:val="00CD0E1C"/>
    <w:rsid w:val="00CD2924"/>
    <w:rsid w:val="00CD330C"/>
    <w:rsid w:val="00CD3E0C"/>
    <w:rsid w:val="00CE4E6A"/>
    <w:rsid w:val="00CE51B5"/>
    <w:rsid w:val="00CF02C4"/>
    <w:rsid w:val="00CF09D0"/>
    <w:rsid w:val="00CF2065"/>
    <w:rsid w:val="00CF5A62"/>
    <w:rsid w:val="00CF65F3"/>
    <w:rsid w:val="00D05605"/>
    <w:rsid w:val="00D06172"/>
    <w:rsid w:val="00D14B86"/>
    <w:rsid w:val="00D20FC7"/>
    <w:rsid w:val="00D23E2F"/>
    <w:rsid w:val="00D25EFD"/>
    <w:rsid w:val="00D30554"/>
    <w:rsid w:val="00D310DA"/>
    <w:rsid w:val="00D37B5D"/>
    <w:rsid w:val="00D426DE"/>
    <w:rsid w:val="00D43638"/>
    <w:rsid w:val="00D46CD1"/>
    <w:rsid w:val="00D47C7D"/>
    <w:rsid w:val="00D51F74"/>
    <w:rsid w:val="00D5408B"/>
    <w:rsid w:val="00D646DF"/>
    <w:rsid w:val="00D64785"/>
    <w:rsid w:val="00D662C2"/>
    <w:rsid w:val="00D70477"/>
    <w:rsid w:val="00D70FCC"/>
    <w:rsid w:val="00D737B1"/>
    <w:rsid w:val="00D75BB5"/>
    <w:rsid w:val="00D764F6"/>
    <w:rsid w:val="00D8089A"/>
    <w:rsid w:val="00D858A9"/>
    <w:rsid w:val="00D86302"/>
    <w:rsid w:val="00D864BC"/>
    <w:rsid w:val="00D875A2"/>
    <w:rsid w:val="00D92EDD"/>
    <w:rsid w:val="00D93A2D"/>
    <w:rsid w:val="00D95892"/>
    <w:rsid w:val="00DA0347"/>
    <w:rsid w:val="00DA4EF2"/>
    <w:rsid w:val="00DB152C"/>
    <w:rsid w:val="00DB42A3"/>
    <w:rsid w:val="00DB4ABC"/>
    <w:rsid w:val="00DB6E04"/>
    <w:rsid w:val="00DC338F"/>
    <w:rsid w:val="00DD2E4B"/>
    <w:rsid w:val="00DD303F"/>
    <w:rsid w:val="00DD70D7"/>
    <w:rsid w:val="00DE4449"/>
    <w:rsid w:val="00DF1205"/>
    <w:rsid w:val="00DF5138"/>
    <w:rsid w:val="00E000ED"/>
    <w:rsid w:val="00E00581"/>
    <w:rsid w:val="00E025D5"/>
    <w:rsid w:val="00E0798A"/>
    <w:rsid w:val="00E141AE"/>
    <w:rsid w:val="00E20DB1"/>
    <w:rsid w:val="00E24509"/>
    <w:rsid w:val="00E250ED"/>
    <w:rsid w:val="00E33597"/>
    <w:rsid w:val="00E41B11"/>
    <w:rsid w:val="00E470C4"/>
    <w:rsid w:val="00E51F2D"/>
    <w:rsid w:val="00E556F6"/>
    <w:rsid w:val="00E57E52"/>
    <w:rsid w:val="00E60FFA"/>
    <w:rsid w:val="00E61173"/>
    <w:rsid w:val="00E646CA"/>
    <w:rsid w:val="00E71EB7"/>
    <w:rsid w:val="00E747F0"/>
    <w:rsid w:val="00E74A52"/>
    <w:rsid w:val="00E8084C"/>
    <w:rsid w:val="00E833BA"/>
    <w:rsid w:val="00E835E3"/>
    <w:rsid w:val="00E83636"/>
    <w:rsid w:val="00E84BA4"/>
    <w:rsid w:val="00E84ED4"/>
    <w:rsid w:val="00E87A0C"/>
    <w:rsid w:val="00E90CD1"/>
    <w:rsid w:val="00E919AB"/>
    <w:rsid w:val="00E938FF"/>
    <w:rsid w:val="00E93B96"/>
    <w:rsid w:val="00E95088"/>
    <w:rsid w:val="00E9511F"/>
    <w:rsid w:val="00E9582E"/>
    <w:rsid w:val="00E95B73"/>
    <w:rsid w:val="00EA16E6"/>
    <w:rsid w:val="00EA42FF"/>
    <w:rsid w:val="00EA77B4"/>
    <w:rsid w:val="00EB5E73"/>
    <w:rsid w:val="00EB60C9"/>
    <w:rsid w:val="00EC1F5B"/>
    <w:rsid w:val="00EC2A58"/>
    <w:rsid w:val="00EC79D7"/>
    <w:rsid w:val="00ED09EC"/>
    <w:rsid w:val="00ED6148"/>
    <w:rsid w:val="00EE02C3"/>
    <w:rsid w:val="00EE0774"/>
    <w:rsid w:val="00EE0D6E"/>
    <w:rsid w:val="00EE16B3"/>
    <w:rsid w:val="00EE45AF"/>
    <w:rsid w:val="00EE5421"/>
    <w:rsid w:val="00EE7A6F"/>
    <w:rsid w:val="00EF12C6"/>
    <w:rsid w:val="00EF4CDC"/>
    <w:rsid w:val="00F005DE"/>
    <w:rsid w:val="00F040D0"/>
    <w:rsid w:val="00F14FAE"/>
    <w:rsid w:val="00F2134F"/>
    <w:rsid w:val="00F24ED7"/>
    <w:rsid w:val="00F32A49"/>
    <w:rsid w:val="00F347A8"/>
    <w:rsid w:val="00F44EAF"/>
    <w:rsid w:val="00F44EB2"/>
    <w:rsid w:val="00F46E30"/>
    <w:rsid w:val="00F50F96"/>
    <w:rsid w:val="00F51926"/>
    <w:rsid w:val="00F527E1"/>
    <w:rsid w:val="00F5395E"/>
    <w:rsid w:val="00F55E08"/>
    <w:rsid w:val="00F607D3"/>
    <w:rsid w:val="00F708DF"/>
    <w:rsid w:val="00F70F06"/>
    <w:rsid w:val="00F73AA4"/>
    <w:rsid w:val="00F8145A"/>
    <w:rsid w:val="00F85A71"/>
    <w:rsid w:val="00F9371D"/>
    <w:rsid w:val="00F95E88"/>
    <w:rsid w:val="00FA37D3"/>
    <w:rsid w:val="00FA4D27"/>
    <w:rsid w:val="00FA7CAE"/>
    <w:rsid w:val="00FB02EA"/>
    <w:rsid w:val="00FB108F"/>
    <w:rsid w:val="00FB3426"/>
    <w:rsid w:val="00FB47DE"/>
    <w:rsid w:val="00FB5766"/>
    <w:rsid w:val="00FB72DA"/>
    <w:rsid w:val="00FB7696"/>
    <w:rsid w:val="00FC1387"/>
    <w:rsid w:val="00FC242A"/>
    <w:rsid w:val="00FC327F"/>
    <w:rsid w:val="00FC52B5"/>
    <w:rsid w:val="00FD0500"/>
    <w:rsid w:val="00FD09BB"/>
    <w:rsid w:val="00FD0CFB"/>
    <w:rsid w:val="00FD1FC5"/>
    <w:rsid w:val="00FD2CD6"/>
    <w:rsid w:val="00FD72DB"/>
    <w:rsid w:val="00FE19E1"/>
    <w:rsid w:val="00FE7CE3"/>
    <w:rsid w:val="00FF54EC"/>
    <w:rsid w:val="00FF67F8"/>
    <w:rsid w:val="00FF7073"/>
    <w:rsid w:val="00F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72C4D"/>
  <w15:chartTrackingRefBased/>
  <w15:docId w15:val="{EEF1D527-096B-AF47-9DC5-BA7E919B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Yan-Ran Wang</dc:creator>
  <cp:keywords/>
  <dc:description/>
  <cp:lastModifiedBy>Yan-Ran Wang</cp:lastModifiedBy>
  <cp:revision>3</cp:revision>
  <dcterms:created xsi:type="dcterms:W3CDTF">2024-01-27T08:40:00Z</dcterms:created>
  <dcterms:modified xsi:type="dcterms:W3CDTF">2024-01-27T08:43:00Z</dcterms:modified>
</cp:coreProperties>
</file>