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5"/>
        <w:gridCol w:w="2338"/>
        <w:gridCol w:w="2245"/>
        <w:gridCol w:w="2245"/>
        <w:gridCol w:w="2245"/>
        <w:gridCol w:w="2145"/>
        <w:gridCol w:w="2195"/>
        <w:gridCol w:w="1156"/>
      </w:tblGrid>
      <w:tr>
        <w:trPr>
          <w:trHeight w:val="276" w:hRule="atLeast"/>
          <w:jc w:val="center"/>
        </w:trPr>
        <w:tc>
          <w:tcPr>
            <w:tcW w:w="0" w:type="auto"/>
            <w:gridSpan w:val="8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b/>
                <w:bCs/>
                <w:color w:val="B51700"/>
                <w:sz w:val="22"/>
                <w:szCs w:val="22"/>
              </w:rPr>
              <w:t>Table 1. Neuroradiological assessment of presurgical MR imaging features across the entire medulloblastoma dataset stratified by molecular subtypes</w:t>
            </w:r>
          </w:p>
        </w:tc>
      </w:tr>
      <w:tr>
        <w:trPr>
          <w:trHeight w:val="276" w:hRule="atLeast"/>
          <w:jc w:val="center"/>
        </w:trPr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0" w:type="auto"/>
            <w:gridSpan w:val="4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Molecular Subtypes</w:t>
            </w:r>
          </w:p>
        </w:tc>
        <w:tc>
          <w:tcPr>
            <w:tcW w:w="0" w:type="auto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Total</w:t>
            </w:r>
          </w:p>
        </w:tc>
        <w:tc>
          <w:tcPr>
            <w:tcW w:w="0" w:type="auto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i/>
                <w:iCs/>
                <w:color w:val="B51700"/>
                <w:sz w:val="20"/>
                <w:szCs w:val="20"/>
              </w:rPr>
              <w:t>P</w:t>
            </w:r>
            <w:r>
              <w:rPr>
                <w:rFonts w:ascii="Helvetica Neue" w:hAnsi="Helvetica Neue"/>
                <w:color w:val="B51700"/>
                <w:sz w:val="20"/>
                <w:szCs w:val="20"/>
                <w:lang w:val="en-US"/>
              </w:rPr>
              <w:t xml:space="preserve"> value</w:t>
            </w:r>
          </w:p>
        </w:tc>
      </w:tr>
      <w:tr>
        <w:trPr>
          <w:trHeight w:val="276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WNT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SHH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Group3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Group4</w:t>
            </w:r>
          </w:p>
        </w:tc>
        <w:tc>
          <w:tcPr>
            <w:tcW w:w="0" w:type="auto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</w:tcPr>
          <w:p/>
        </w:tc>
        <w:tc>
          <w:tcPr>
            <w:tcW w:w="0" w:type="auto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</w:tcPr>
          <w:p/>
        </w:tc>
      </w:tr>
      <w:tr>
        <w:trPr>
          <w:trHeight w:val="310" w:hRule="atLeast"/>
          <w:jc w:val="center"/>
        </w:trPr>
        <w:tc>
          <w:tcPr>
            <w:tcW w:w="0" w:type="auto"/>
            <w:gridSpan w:val="6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 xml:space="preserve">Location of the primary tumor 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0" w:type="auto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  <w:rPr>
                <w:rFonts w:hint="eastAsia" w:eastAsia="Arial Unicode MS"/>
                <w:lang w:eastAsia="zh-CN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&lt;0.0001**</w:t>
            </w:r>
            <w:r>
              <w:rPr>
                <w:rFonts w:hint="eastAsia" w:ascii="Helvetica Neue" w:hAnsi="Helvetica Neue"/>
                <w:sz w:val="18"/>
                <w:szCs w:val="18"/>
                <w:lang w:val="en-US" w:eastAsia="zh-CN"/>
              </w:rPr>
              <w:t>*</w:t>
            </w:r>
            <w:r>
              <w:rPr>
                <w:rFonts w:ascii="Helvetica Neue" w:hAnsi="Helvetica Neue"/>
                <w:sz w:val="18"/>
                <w:szCs w:val="18"/>
              </w:rPr>
              <w:t>*</w:t>
            </w:r>
            <w:r>
              <w:rPr>
                <w:rFonts w:hint="eastAsia" w:ascii="Helvetica Neue" w:hAnsi="Helvetica Neue"/>
                <w:sz w:val="26"/>
                <w:szCs w:val="26"/>
                <w:vertAlign w:val="superscript"/>
                <w:lang w:val="en-US" w:eastAsia="zh-CN"/>
              </w:rPr>
              <w:t>a</w:t>
            </w:r>
          </w:p>
        </w:tc>
      </w:tr>
      <w:tr>
        <w:trPr>
          <w:trHeight w:val="310" w:hRule="atLeast"/>
          <w:jc w:val="center"/>
        </w:trPr>
        <w:tc>
          <w:tcPr>
            <w:tcW w:w="0" w:type="auto"/>
            <w:gridSpan w:val="2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Midline vermis/fourth ventricle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79 (68.10%)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90 (43.69%)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54 (56.25%)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186 (57.94%)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409 (55.35%)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0.0002***</w:t>
            </w:r>
          </w:p>
        </w:tc>
      </w:tr>
      <w:tr>
        <w:trPr>
          <w:trHeight w:val="310" w:hRule="atLeast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Fourth ventricle-uni-CPA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21 (18.10%)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17 (8.25%)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14 (14.58%)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53 (16.51%)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105 (14.21%)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0.031*</w:t>
            </w:r>
          </w:p>
        </w:tc>
      </w:tr>
      <w:tr>
        <w:trPr>
          <w:trHeight w:val="310" w:hRule="atLeast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Fourth ventricle-bi-CPA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7 (6.03%)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17 (8.25%)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20 (20.83%)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61 (19.00%)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105 (14.21%)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&lt;0.0001****</w:t>
            </w:r>
          </w:p>
        </w:tc>
      </w:tr>
      <w:tr>
        <w:trPr>
          <w:trHeight w:val="310" w:hRule="atLeast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Within CPA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 (1.72%)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 (0.97%)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 (1.04%)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 (0.31%)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6 (0.81%)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0.308</w:t>
            </w:r>
          </w:p>
        </w:tc>
      </w:tr>
      <w:tr>
        <w:trPr>
          <w:trHeight w:val="310" w:hRule="atLeast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Cerebellar hemisphere&amp;midline/fourth ventricle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6 (5.17%)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35 (16.99%)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7 (7.29%)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14 (4.36%)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62 (8.39%)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&lt;0.0001****</w:t>
            </w:r>
          </w:p>
        </w:tc>
      </w:tr>
      <w:tr>
        <w:trPr>
          <w:trHeight w:val="310" w:hRule="atLeast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Cerebellar hemisphere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 (0.86%)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45 (21.84%)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0 (0.00%)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6 (1.87%)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52 (7.04%)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&lt;0.0001****</w:t>
            </w:r>
          </w:p>
        </w:tc>
      </w:tr>
      <w:tr>
        <w:trPr>
          <w:trHeight w:val="310" w:hRule="atLeast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116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206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96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321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739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single" w:color="FEFEFE" w:sz="2" w:space="0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76" w:hRule="atLeast"/>
          <w:jc w:val="center"/>
        </w:trPr>
        <w:tc>
          <w:tcPr>
            <w:tcW w:w="0" w:type="auto"/>
            <w:gridSpan w:val="8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Enhancement of the primary tumor</w:t>
            </w:r>
          </w:p>
        </w:tc>
      </w:tr>
      <w:tr>
        <w:trPr>
          <w:trHeight w:val="276" w:hRule="atLeast"/>
          <w:jc w:val="center"/>
        </w:trPr>
        <w:tc>
          <w:tcPr>
            <w:tcW w:w="0" w:type="auto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rFonts w:hint="eastAsia" w:eastAsia="Arial Unicode MS"/>
                <w:lang w:eastAsia="zh-CN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The proportion of enhancement</w:t>
            </w:r>
            <w:r>
              <w:rPr>
                <w:rFonts w:hint="eastAsia" w:ascii="Helvetica Neue" w:hAnsi="Helvetica Neue"/>
                <w:vertAlign w:val="superscript"/>
                <w:lang w:val="en-US" w:eastAsia="zh-CN"/>
              </w:rPr>
              <w:t>b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median (Q1, Q3)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34.80% (13.60%,53.85%)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21.85% (10.25%,37.85%)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32.60% (19.45%,47.15%)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14.40% (6.75%,28.30%)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21.15% (8.82%, 38.43%)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&lt;0.0001****</w:t>
            </w:r>
          </w:p>
        </w:tc>
      </w:tr>
      <w:tr>
        <w:trPr>
          <w:trHeight w:val="276" w:hRule="atLeast"/>
          <w:jc w:val="center"/>
        </w:trPr>
        <w:tc>
          <w:tcPr>
            <w:tcW w:w="0" w:type="auto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</w:tcPr>
          <w:p/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mean (std)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34.46% (22.09%)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25.49% (18.92%)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34.87% (19.82%)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19.66% (16.96%)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25.58% (19.74%)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rFonts w:hint="eastAsia" w:eastAsia="Arial Unicode MS"/>
                <w:lang w:val="en-US" w:eastAsia="zh-CN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&lt;0.0001***</w:t>
            </w:r>
            <w:r>
              <w:rPr>
                <w:rFonts w:hint="eastAsia" w:ascii="Helvetica Neue" w:hAnsi="Helvetica Neue"/>
                <w:sz w:val="18"/>
                <w:szCs w:val="18"/>
                <w:lang w:val="en-US" w:eastAsia="zh-CN"/>
              </w:rPr>
              <w:t>*</w:t>
            </w:r>
          </w:p>
        </w:tc>
      </w:tr>
      <w:tr>
        <w:trPr>
          <w:trHeight w:val="276" w:hRule="atLeast"/>
          <w:jc w:val="center"/>
        </w:trPr>
        <w:tc>
          <w:tcPr>
            <w:tcW w:w="0" w:type="auto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The proportion of enhancement, stratified by three classes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none/minimal (&lt;=10%)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21 (18.26%)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50 (24.51%)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12 (12.63%)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125 (39.18%)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208 (28.4%)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&lt;0.0001****</w:t>
            </w:r>
          </w:p>
        </w:tc>
      </w:tr>
      <w:tr>
        <w:trPr>
          <w:trHeight w:val="276" w:hRule="atLeast"/>
          <w:jc w:val="center"/>
        </w:trPr>
        <w:tc>
          <w:tcPr>
            <w:tcW w:w="0" w:type="auto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</w:tcPr>
          <w:p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heterogeneous (10%-50%)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60 (52.17%)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126 (61.76%)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63 (66.32%)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168 (52.66%)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417 (56.9%)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rPr>
          <w:trHeight w:val="276" w:hRule="atLeast"/>
          <w:jc w:val="center"/>
        </w:trPr>
        <w:tc>
          <w:tcPr>
            <w:tcW w:w="0" w:type="auto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</w:tcPr>
          <w:p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diffuse (&gt;50%)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34 (29.57%)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28 (13.73%)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20 (21.05%)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26 (8.15%)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108 (14.7%)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rPr>
          <w:trHeight w:val="276" w:hRule="atLeast"/>
          <w:jc w:val="center"/>
        </w:trPr>
        <w:tc>
          <w:tcPr>
            <w:tcW w:w="0" w:type="auto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</w:tcPr>
          <w:p/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115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204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95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319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733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rPr>
          <w:trHeight w:val="276" w:hRule="atLeast"/>
          <w:jc w:val="center"/>
        </w:trPr>
        <w:tc>
          <w:tcPr>
            <w:tcW w:w="0" w:type="auto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rFonts w:hint="eastAsia" w:eastAsia="Arial Unicode MS"/>
                <w:lang w:eastAsia="zh-CN"/>
              </w:rPr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The intensity of enhancement</w:t>
            </w:r>
            <w:r>
              <w:rPr>
                <w:rFonts w:hint="eastAsia" w:ascii="Helvetica Neue" w:hAnsi="Helvetica Neue"/>
                <w:vertAlign w:val="superscript"/>
                <w:lang w:val="en-US" w:eastAsia="zh-CN"/>
              </w:rPr>
              <w:t>c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none enhancement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4 (3.48%)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7 (3.43%)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 (2.11%)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17 (5.33%)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30 (4.1%)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0.00</w:t>
            </w:r>
            <w:r>
              <w:rPr>
                <w:rFonts w:hint="eastAsia" w:ascii="Helvetica Neue" w:hAnsi="Helvetica Neue"/>
                <w:sz w:val="18"/>
                <w:szCs w:val="18"/>
                <w:lang w:val="en-US" w:eastAsia="zh-CN"/>
              </w:rPr>
              <w:t>35</w:t>
            </w:r>
            <w:r>
              <w:rPr>
                <w:rFonts w:ascii="Helvetica Neue" w:hAnsi="Helvetica Neue"/>
                <w:sz w:val="18"/>
                <w:szCs w:val="18"/>
              </w:rPr>
              <w:t>**</w:t>
            </w:r>
          </w:p>
        </w:tc>
      </w:tr>
      <w:tr>
        <w:trPr>
          <w:trHeight w:val="276" w:hRule="atLeast"/>
          <w:jc w:val="center"/>
        </w:trPr>
        <w:tc>
          <w:tcPr>
            <w:tcW w:w="0" w:type="auto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</w:tcPr>
          <w:p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lower enhancement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45 (39.13%)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106 (51.96%)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35 (36.84%)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177 (55.49%)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363 (49.5%)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rPr>
          <w:trHeight w:val="276" w:hRule="atLeast"/>
          <w:jc w:val="center"/>
        </w:trPr>
        <w:tc>
          <w:tcPr>
            <w:tcW w:w="0" w:type="auto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</w:tcPr>
          <w:p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equal enhancement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66 (57.39%)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91 (44.61%)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58 (61.05%)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125 (39.18%)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340 (46.4%)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rPr>
          <w:trHeight w:val="276" w:hRule="atLeast"/>
          <w:jc w:val="center"/>
        </w:trPr>
        <w:tc>
          <w:tcPr>
            <w:tcW w:w="0" w:type="auto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</w:tcPr>
          <w:p/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115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204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95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319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733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rPr>
          <w:trHeight w:val="286" w:hRule="atLeast"/>
          <w:jc w:val="center"/>
        </w:trPr>
        <w:tc>
          <w:tcPr>
            <w:tcW w:w="0" w:type="auto"/>
            <w:gridSpan w:val="8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Tumor margin</w:t>
            </w:r>
          </w:p>
        </w:tc>
      </w:tr>
      <w:tr>
        <w:trPr>
          <w:trHeight w:val="286" w:hRule="atLeast"/>
          <w:jc w:val="center"/>
        </w:trPr>
        <w:tc>
          <w:tcPr>
            <w:tcW w:w="0" w:type="auto"/>
            <w:gridSpan w:val="2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Well-defined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70 (60.34%)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88 (43.14%)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62 (64.58%)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208 (64.80%)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428 (58.07%)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&lt;0.0001****</w:t>
            </w:r>
          </w:p>
        </w:tc>
      </w:tr>
      <w:tr>
        <w:trPr>
          <w:trHeight w:val="286" w:hRule="atLeast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Ill-defined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46 (39.66%)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116 (56.86%)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34 (35.42%)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113 (35.20%)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309 (41.93%)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rPr>
          <w:trHeight w:val="286" w:hRule="atLeast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116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204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96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321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737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rPr>
          <w:trHeight w:val="286" w:hRule="atLeast"/>
          <w:jc w:val="center"/>
        </w:trPr>
        <w:tc>
          <w:tcPr>
            <w:tcW w:w="0" w:type="auto"/>
            <w:gridSpan w:val="8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Peritumoral edema</w:t>
            </w:r>
          </w:p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49 (42.24%)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110 (53.92%)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44 (45.83%)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132 (41.12%)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335 (45.45%)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0.032*</w:t>
            </w:r>
          </w:p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67 (57.76%)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94 (46.08%)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52 (54.17%)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189 (58.88%)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402 (54.55%)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116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204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96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321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737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rPr>
          <w:trHeight w:val="286" w:hRule="atLeast"/>
          <w:jc w:val="center"/>
        </w:trPr>
        <w:tc>
          <w:tcPr>
            <w:tcW w:w="0" w:type="auto"/>
            <w:gridSpan w:val="8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Cystic change/necrosis</w:t>
            </w:r>
          </w:p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85 (73.28%)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147 (72.06%)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71 (73.96%)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262 (81.62%)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565 (76.66%)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0.047*</w:t>
            </w:r>
          </w:p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31 (26.72%)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57 (27.94%)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25 (26.04%)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59 (18.38%)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172 (23.34%)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116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204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96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321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737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rPr>
          <w:trHeight w:val="286" w:hRule="atLeast"/>
          <w:jc w:val="center"/>
        </w:trPr>
        <w:tc>
          <w:tcPr>
            <w:tcW w:w="0" w:type="auto"/>
            <w:gridSpan w:val="8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Hydrocephalus before surgery</w:t>
            </w:r>
          </w:p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90 (68.18%)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194 (76.68%)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84 (73.04%)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304 (78.55%)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672 (75.76%)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0.096</w:t>
            </w:r>
          </w:p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42 (31.82%)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59 (23.32%)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31 (26.96%)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83 (21.45%)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215 (24.24%)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132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253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115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387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887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rPr>
          <w:trHeight w:val="286" w:hRule="atLeast"/>
          <w:jc w:val="center"/>
        </w:trPr>
        <w:tc>
          <w:tcPr>
            <w:tcW w:w="0" w:type="auto"/>
            <w:gridSpan w:val="8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Intracranial solid metastases</w:t>
            </w:r>
            <w:r>
              <w:rPr>
                <w:rFonts w:hint="eastAsia" w:ascii="Helvetica Neue" w:hAnsi="Helvetica Neue"/>
                <w:color w:val="B51700"/>
                <w:vertAlign w:val="superscript"/>
                <w:lang w:val="en-US" w:eastAsia="zh-CN"/>
              </w:rPr>
              <w:t>d</w:t>
            </w:r>
            <w:r>
              <w:rPr>
                <w:rFonts w:ascii="Helvetica Neue" w:hAnsi="Helvetica Neue"/>
                <w:color w:val="B51700"/>
                <w:vertAlign w:val="superscript"/>
              </w:rPr>
              <w:t xml:space="preserve">  </w:t>
            </w:r>
          </w:p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4 (3.48%)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40 (19.61%)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20 (21.05%)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62 (19.44%)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126 (17.19%)</w:t>
            </w:r>
          </w:p>
        </w:tc>
        <w:tc>
          <w:tcPr>
            <w:tcW w:w="0" w:type="auto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0.0004***</w:t>
            </w:r>
          </w:p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EFE"/>
            </w:pPr>
            <w:r>
              <w:rPr>
                <w:rFonts w:ascii="Helvetica Neue" w:hAnsi="Helvetica Neue"/>
                <w:sz w:val="18"/>
                <w:szCs w:val="18"/>
              </w:rPr>
              <w:t>111 (96.52%)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EFE"/>
            </w:pPr>
            <w:r>
              <w:rPr>
                <w:rFonts w:ascii="Helvetica Neue" w:hAnsi="Helvetica Neue"/>
                <w:sz w:val="18"/>
                <w:szCs w:val="18"/>
              </w:rPr>
              <w:t>164 (80.39%)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EFE"/>
            </w:pPr>
            <w:r>
              <w:rPr>
                <w:rFonts w:ascii="Helvetica Neue" w:hAnsi="Helvetica Neue"/>
                <w:sz w:val="18"/>
                <w:szCs w:val="18"/>
              </w:rPr>
              <w:t>75 (78.95%)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EFE"/>
            </w:pPr>
            <w:r>
              <w:rPr>
                <w:rFonts w:ascii="Helvetica Neue" w:hAnsi="Helvetica Neue"/>
                <w:sz w:val="18"/>
                <w:szCs w:val="18"/>
              </w:rPr>
              <w:t>257 (80.56%)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EFE"/>
            </w:pPr>
            <w:r>
              <w:rPr>
                <w:rFonts w:ascii="Helvetica Neue" w:hAnsi="Helvetica Neue"/>
                <w:sz w:val="18"/>
                <w:szCs w:val="18"/>
              </w:rPr>
              <w:t>607 (82.81%)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rPr>
          <w:trHeight w:val="286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115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204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95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319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</w:rPr>
              <w:t>733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rPr>
          <w:trHeight w:val="1243" w:hRule="exact"/>
          <w:jc w:val="center"/>
        </w:trPr>
        <w:tc>
          <w:tcPr>
            <w:tcW w:w="0" w:type="auto"/>
            <w:gridSpan w:val="8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Helvetica Neue" w:hAnsi="Helvetica Neue" w:cs="Arial Unicode MS"/>
                <w:color w:val="000000"/>
                <w:sz w:val="18"/>
                <w:szCs w:val="18"/>
                <w:vertAlign w:val="superscript"/>
                <w:lang w:val="en-US" w:eastAsia="zh-CN"/>
              </w:rPr>
            </w:pPr>
            <w:r>
              <w:rPr>
                <w:rFonts w:hint="eastAsia" w:ascii="Helvetica Neue" w:hAnsi="Helvetica Neue" w:cs="Arial Unicode MS"/>
                <w:color w:val="000000"/>
                <w:sz w:val="18"/>
                <w:szCs w:val="18"/>
                <w:vertAlign w:val="superscript"/>
                <w:lang w:val="en-US" w:eastAsia="zh-CN"/>
              </w:rPr>
              <w:t>a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</w:rPr>
              <w:t>The chi-square test was adopted and combined three CPA classes into one and two cerebellar classes into another when calculating the p-value.</w:t>
            </w:r>
          </w:p>
          <w:p>
            <w:pPr>
              <w:rPr>
                <w:rFonts w:ascii="Helvetica Neue" w:hAnsi="Helvetica Neue" w:eastAsia="Helvetica Neue" w:cs="Helvetica Neue"/>
                <w:color w:val="000000"/>
                <w:sz w:val="18"/>
                <w:szCs w:val="18"/>
              </w:rPr>
            </w:pPr>
            <w:r>
              <w:rPr>
                <w:rFonts w:hint="eastAsia" w:ascii="Helvetica Neue" w:hAnsi="Helvetica Neue" w:cs="Arial Unicode MS"/>
                <w:color w:val="000000"/>
                <w:sz w:val="18"/>
                <w:szCs w:val="18"/>
                <w:vertAlign w:val="superscript"/>
                <w:lang w:val="en-US" w:eastAsia="zh-CN"/>
              </w:rPr>
              <w:t>b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</w:rPr>
              <w:t>The enhancement ratio quantifies the percentage of the primary tumor mass that exhibited enhancement.</w:t>
            </w:r>
          </w:p>
          <w:p>
            <w:pPr>
              <w:rPr>
                <w:rFonts w:ascii="Helvetica Neue" w:hAnsi="Helvetica Neue" w:eastAsia="Helvetica Neue" w:cs="Helvetica Neue"/>
                <w:color w:val="000000"/>
                <w:sz w:val="18"/>
                <w:szCs w:val="18"/>
              </w:rPr>
            </w:pPr>
            <w:r>
              <w:rPr>
                <w:rFonts w:hint="default" w:ascii="Helvetica Neue" w:hAnsi="Helvetica Neue" w:cs="Arial Unicode MS"/>
                <w:color w:val="000000"/>
                <w:sz w:val="18"/>
                <w:szCs w:val="18"/>
                <w:vertAlign w:val="superscript"/>
                <w:lang w:val="en-US"/>
              </w:rPr>
              <w:t>c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</w:rPr>
              <w:t>Using arteriovenous blood vessels as the reference, the primary tumor mass enhancement was categorized into three groups: equal, lower, or non-enhancing.</w:t>
            </w:r>
          </w:p>
          <w:p>
            <w:pPr>
              <w:rPr>
                <w:rFonts w:ascii="Helvetica Neue" w:hAnsi="Helvetica Neue" w:eastAsia="Helvetica Neue" w:cs="Helvetica Neue"/>
                <w:color w:val="000000"/>
                <w:sz w:val="18"/>
                <w:szCs w:val="18"/>
              </w:rPr>
            </w:pPr>
            <w:r>
              <w:rPr>
                <w:rFonts w:hint="default" w:ascii="Helvetica Neue" w:hAnsi="Helvetica Neue" w:cs="Arial Unicode MS"/>
                <w:color w:val="000000"/>
                <w:sz w:val="18"/>
                <w:szCs w:val="18"/>
                <w:vertAlign w:val="superscript"/>
                <w:lang w:val="en-US"/>
              </w:rPr>
              <w:t>d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</w:rPr>
              <w:t xml:space="preserve">The complete assessment of signal patterns of intracranial solid metastases, encompassing ependymal and leptomeningeal metastases, is detailed in </w:t>
            </w:r>
            <w:r>
              <w:rPr>
                <w:rFonts w:ascii="Helvetica Neue" w:hAnsi="Helvetica Neue" w:cs="Arial Unicode MS"/>
                <w:color w:val="004D80"/>
                <w:sz w:val="18"/>
                <w:szCs w:val="18"/>
              </w:rPr>
              <w:t>Table S1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</w:rPr>
              <w:t>.</w:t>
            </w:r>
          </w:p>
          <w:p>
            <w:pPr>
              <w:rPr>
                <w:rFonts w:ascii="Helvetica Neue" w:hAnsi="Helvetica Neue" w:cs="Arial Unicode MS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 Unicode MS"/>
                <w:color w:val="000000"/>
                <w:sz w:val="18"/>
                <w:szCs w:val="18"/>
              </w:rPr>
              <w:t>*</w:t>
            </w:r>
            <w:r>
              <w:rPr>
                <w:rFonts w:ascii="Helvetica Neue" w:hAnsi="Helvetica Neue" w:cs="Arial Unicode MS"/>
                <w:i/>
                <w:iCs/>
                <w:color w:val="000000"/>
                <w:sz w:val="18"/>
                <w:szCs w:val="18"/>
              </w:rPr>
              <w:t>P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  <w:lang w:val="pt-PT"/>
              </w:rPr>
              <w:t xml:space="preserve"> = 0.01-0.05, **</w:t>
            </w:r>
            <w:r>
              <w:rPr>
                <w:rFonts w:ascii="Helvetica Neue" w:hAnsi="Helvetica Neue" w:cs="Arial Unicode MS"/>
                <w:i/>
                <w:iCs/>
                <w:color w:val="000000"/>
                <w:sz w:val="18"/>
                <w:szCs w:val="18"/>
              </w:rPr>
              <w:t>P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</w:rPr>
              <w:t xml:space="preserve"> = 0.001-0.01, ***P = 0.0001-0.001, ****</w:t>
            </w:r>
            <w:r>
              <w:rPr>
                <w:rFonts w:ascii="Helvetica Neue" w:hAnsi="Helvetica Neue" w:cs="Arial Unicode MS"/>
                <w:i/>
                <w:iCs/>
                <w:color w:val="000000"/>
                <w:sz w:val="18"/>
                <w:szCs w:val="18"/>
              </w:rPr>
              <w:t>P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</w:rPr>
              <w:t xml:space="preserve"> &lt; 0.0001.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1526540</wp:posOffset>
                      </wp:positionH>
                      <wp:positionV relativeFrom="paragraph">
                        <wp:posOffset>115570</wp:posOffset>
                      </wp:positionV>
                      <wp:extent cx="8255000" cy="20955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210300" y="1587500"/>
                                <a:ext cx="825500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0.2pt;margin-top:9.1pt;height:16.5pt;width:650pt;z-index:251659264;mso-width-relative:page;mso-height-relative:page;" filled="f" stroked="f" coordsize="21600,21600" o:gfxdata="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LwoHPLa&#10;AAAACgEAAA8AAAAAAAAAAQAgAAAAOAAAAGRycy9kb3ducmV2LnhtbFBLAQIUABQAAAAIAIdO4kAX&#10;kGsNQQIAAJgEAAAOAAAAAAAAAAEAIAAAAD8BAABkcnMvZTJvRG9jLnhtbFBLBQYAAAAABgAGAFkB&#10;AADyBQAAAAA=&#10;">
                      <v:fill on="f" focussize="0,0"/>
                      <v:stroke on="f" weight="1pt" miterlimit="4" joinstyle="miter"/>
                      <v:imagedata o:title=""/>
                      <o:lock v:ext="edit" aspectratio="f"/>
                      <v:textbox inset="4pt,4pt,4pt,4pt" style="mso-fit-shape-to-text:t;"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left"/>
              <w:rPr>
                <w:rFonts w:ascii="Helvetica Neue" w:hAnsi="Helvetica Neue" w:cs="Arial Unicode MS"/>
                <w:color w:val="000000"/>
                <w:sz w:val="18"/>
                <w:szCs w:val="18"/>
              </w:rPr>
            </w:pPr>
          </w:p>
        </w:tc>
      </w:tr>
    </w:tbl>
    <w:tbl>
      <w:tblPr>
        <w:tblStyle w:val="3"/>
        <w:tblpPr w:leftFromText="180" w:rightFromText="180" w:vertAnchor="text" w:horzAnchor="page" w:tblpXSpec="center" w:tblpY="2887"/>
        <w:tblOverlap w:val="never"/>
        <w:tblW w:w="1394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1383"/>
        <w:gridCol w:w="1445"/>
        <w:gridCol w:w="1601"/>
        <w:gridCol w:w="1625"/>
        <w:gridCol w:w="1717"/>
        <w:gridCol w:w="1831"/>
        <w:gridCol w:w="357"/>
        <w:gridCol w:w="1584"/>
      </w:tblGrid>
      <w:tr>
        <w:trPr>
          <w:trHeight w:val="295" w:hRule="atLeast"/>
          <w:jc w:val="center"/>
        </w:trPr>
        <w:tc>
          <w:tcPr>
            <w:tcW w:w="13942" w:type="dxa"/>
            <w:gridSpan w:val="9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jc w:val="both"/>
            </w:pPr>
            <w:r>
              <w:rPr>
                <w:rFonts w:ascii="Helvetica Neue" w:hAnsi="Helvetica Neue"/>
                <w:b/>
                <w:bCs/>
                <w:color w:val="B51700"/>
                <w:sz w:val="22"/>
                <w:szCs w:val="22"/>
                <w:rtl w:val="0"/>
              </w:rPr>
              <w:t>Table 2. Patterns of intracranial solid metastases across the entire medulloblastoma dataset stratified by molecular subgroups</w:t>
            </w:r>
          </w:p>
        </w:tc>
      </w:tr>
      <w:tr>
        <w:trPr>
          <w:trHeight w:val="259" w:hRule="atLeast"/>
          <w:jc w:val="center"/>
        </w:trPr>
        <w:tc>
          <w:tcPr>
            <w:tcW w:w="2399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83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single" w:color="FEFFFE" w:sz="12" w:space="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3046" w:type="dxa"/>
            <w:gridSpan w:val="2"/>
            <w:tcBorders>
              <w:top w:val="single" w:color="B41700" w:sz="12" w:space="0"/>
              <w:left w:val="single" w:color="FEFFFE" w:sz="12" w:space="0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color w:val="B51700"/>
                <w:sz w:val="20"/>
                <w:szCs w:val="20"/>
                <w:rtl w:val="0"/>
              </w:rPr>
              <w:t>Molecular subgroups</w:t>
            </w:r>
          </w:p>
        </w:tc>
        <w:tc>
          <w:tcPr>
            <w:tcW w:w="162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717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831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FFE"/>
              <w:jc w:val="center"/>
            </w:pPr>
            <w:r>
              <w:rPr>
                <w:rFonts w:ascii="Helvetica Neue" w:hAnsi="Helvetica Neue"/>
                <w:color w:val="B51700"/>
                <w:sz w:val="20"/>
                <w:szCs w:val="20"/>
                <w:rtl w:val="0"/>
              </w:rPr>
              <w:t>Total</w:t>
            </w:r>
          </w:p>
        </w:tc>
        <w:tc>
          <w:tcPr>
            <w:tcW w:w="35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FFE"/>
              <w:jc w:val="center"/>
            </w:pPr>
            <w:r>
              <w:rPr>
                <w:rFonts w:ascii="Helvetica Neue" w:hAnsi="Helvetica Neue"/>
                <w:i/>
                <w:iCs/>
                <w:color w:val="B51700"/>
                <w:sz w:val="20"/>
                <w:szCs w:val="20"/>
                <w:rtl w:val="0"/>
              </w:rPr>
              <w:t>P value</w:t>
            </w:r>
          </w:p>
        </w:tc>
      </w:tr>
      <w:tr>
        <w:trPr>
          <w:trHeight w:val="264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single" w:color="FEFFFE" w:sz="12" w:space="0"/>
            </w:tcBorders>
            <w:shd w:val="clear" w:color="auto" w:fill="FEFFFE"/>
          </w:tcPr>
          <w:p/>
        </w:tc>
        <w:tc>
          <w:tcPr>
            <w:tcW w:w="1445" w:type="dxa"/>
            <w:tcBorders>
              <w:top w:val="single" w:color="B41700" w:sz="12" w:space="0"/>
              <w:left w:val="single" w:color="FEFFFE" w:sz="12" w:space="0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color w:val="B51700"/>
                <w:sz w:val="20"/>
                <w:szCs w:val="20"/>
                <w:rtl w:val="0"/>
              </w:rPr>
              <w:t>WNT</w:t>
            </w:r>
          </w:p>
        </w:tc>
        <w:tc>
          <w:tcPr>
            <w:tcW w:w="1601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color w:val="B51700"/>
                <w:sz w:val="20"/>
                <w:szCs w:val="20"/>
                <w:rtl w:val="0"/>
              </w:rPr>
              <w:t>SHH</w:t>
            </w:r>
          </w:p>
        </w:tc>
        <w:tc>
          <w:tcPr>
            <w:tcW w:w="162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FFE"/>
              <w:jc w:val="left"/>
            </w:pPr>
            <w:r>
              <w:rPr>
                <w:rFonts w:ascii="Helvetica Neue" w:hAnsi="Helvetica Neue"/>
                <w:color w:val="B51700"/>
                <w:sz w:val="20"/>
                <w:szCs w:val="20"/>
                <w:rtl w:val="0"/>
              </w:rPr>
              <w:t>Group3</w:t>
            </w:r>
          </w:p>
        </w:tc>
        <w:tc>
          <w:tcPr>
            <w:tcW w:w="1717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FFE"/>
              <w:jc w:val="left"/>
            </w:pPr>
            <w:r>
              <w:rPr>
                <w:rFonts w:ascii="Helvetica Neue" w:hAnsi="Helvetica Neue"/>
                <w:color w:val="B51700"/>
                <w:sz w:val="20"/>
                <w:szCs w:val="20"/>
                <w:rtl w:val="0"/>
              </w:rPr>
              <w:t>Group4</w:t>
            </w:r>
          </w:p>
        </w:tc>
        <w:tc>
          <w:tcPr>
            <w:tcW w:w="1831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35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</w:tr>
      <w:tr>
        <w:trPr>
          <w:trHeight w:val="264" w:hRule="atLeast"/>
          <w:jc w:val="center"/>
        </w:trPr>
        <w:tc>
          <w:tcPr>
            <w:tcW w:w="13942" w:type="dxa"/>
            <w:gridSpan w:val="9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color w:val="B51700"/>
                <w:sz w:val="20"/>
                <w:szCs w:val="20"/>
                <w:rtl w:val="0"/>
              </w:rPr>
              <w:t xml:space="preserve">Intracranial solid metastases </w:t>
            </w:r>
          </w:p>
        </w:tc>
      </w:tr>
      <w:tr>
        <w:trPr>
          <w:trHeight w:val="327" w:hRule="atLeast"/>
          <w:jc w:val="center"/>
        </w:trPr>
        <w:tc>
          <w:tcPr>
            <w:tcW w:w="3782" w:type="dxa"/>
            <w:gridSpan w:val="2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Y</w:t>
            </w:r>
          </w:p>
        </w:tc>
        <w:tc>
          <w:tcPr>
            <w:tcW w:w="144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 (3.48%)</w:t>
            </w:r>
          </w:p>
        </w:tc>
        <w:tc>
          <w:tcPr>
            <w:tcW w:w="160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40 (19.61%)</w:t>
            </w:r>
          </w:p>
        </w:tc>
        <w:tc>
          <w:tcPr>
            <w:tcW w:w="162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20 (21.05%)</w:t>
            </w:r>
          </w:p>
        </w:tc>
        <w:tc>
          <w:tcPr>
            <w:tcW w:w="171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62 (19.44%)</w:t>
            </w:r>
          </w:p>
        </w:tc>
        <w:tc>
          <w:tcPr>
            <w:tcW w:w="183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126 (17.19%)</w:t>
            </w:r>
          </w:p>
        </w:tc>
        <w:tc>
          <w:tcPr>
            <w:tcW w:w="35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0.0004***</w:t>
            </w:r>
          </w:p>
        </w:tc>
      </w:tr>
      <w:tr>
        <w:trPr>
          <w:trHeight w:val="234" w:hRule="atLeast"/>
          <w:jc w:val="center"/>
        </w:trPr>
        <w:tc>
          <w:tcPr>
            <w:tcW w:w="3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FF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FFE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111 (96.52%)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FFE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164 (80.39%)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FFE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75 (78.95%)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shd w:val="clear" w:color="auto" w:fill="FEFFFE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257 (80.56%)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shd w:val="clear" w:color="auto" w:fill="FEFFFE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607 (82.81%)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245" w:hRule="atLeast"/>
          <w:jc w:val="center"/>
        </w:trPr>
        <w:tc>
          <w:tcPr>
            <w:tcW w:w="3782" w:type="dxa"/>
            <w:gridSpan w:val="2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Total</w:t>
            </w:r>
          </w:p>
        </w:tc>
        <w:tc>
          <w:tcPr>
            <w:tcW w:w="144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115 (100.00%)</w:t>
            </w:r>
          </w:p>
        </w:tc>
        <w:tc>
          <w:tcPr>
            <w:tcW w:w="160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204 (100.00%)</w:t>
            </w:r>
          </w:p>
        </w:tc>
        <w:tc>
          <w:tcPr>
            <w:tcW w:w="162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95 (100.00%)</w:t>
            </w:r>
          </w:p>
        </w:tc>
        <w:tc>
          <w:tcPr>
            <w:tcW w:w="171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319 (100.00%)</w:t>
            </w:r>
          </w:p>
        </w:tc>
        <w:tc>
          <w:tcPr>
            <w:tcW w:w="183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733 (100.00%)</w:t>
            </w:r>
          </w:p>
        </w:tc>
        <w:tc>
          <w:tcPr>
            <w:tcW w:w="35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84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rPr>
          <w:trHeight w:val="303" w:hRule="atLeast"/>
          <w:jc w:val="center"/>
        </w:trPr>
        <w:tc>
          <w:tcPr>
            <w:tcW w:w="13942" w:type="dxa"/>
            <w:gridSpan w:val="9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color w:val="B51700"/>
                <w:sz w:val="20"/>
                <w:szCs w:val="20"/>
                <w:rtl w:val="0"/>
                <w:lang w:val="en-US"/>
              </w:rPr>
              <w:t>Site of metastases</w:t>
            </w:r>
            <w:r>
              <w:rPr>
                <w:rFonts w:ascii="Helvetica Neue" w:hAnsi="Helvetica Neue"/>
                <w:color w:val="B51700"/>
                <w:sz w:val="24"/>
                <w:szCs w:val="24"/>
                <w:vertAlign w:val="superscript"/>
                <w:rtl w:val="0"/>
              </w:rPr>
              <w:t>a</w:t>
            </w:r>
          </w:p>
        </w:tc>
      </w:tr>
      <w:tr>
        <w:trPr>
          <w:trHeight w:val="308" w:hRule="atLeast"/>
          <w:jc w:val="center"/>
        </w:trPr>
        <w:tc>
          <w:tcPr>
            <w:tcW w:w="3782" w:type="dxa"/>
            <w:gridSpan w:val="2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Ependymal metastases </w:t>
            </w:r>
          </w:p>
        </w:tc>
        <w:tc>
          <w:tcPr>
            <w:tcW w:w="144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(25.0%; 1/4)</w:t>
            </w:r>
          </w:p>
        </w:tc>
        <w:tc>
          <w:tcPr>
            <w:tcW w:w="160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 (15.0%; 6/40)</w:t>
            </w:r>
          </w:p>
        </w:tc>
        <w:tc>
          <w:tcPr>
            <w:tcW w:w="162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(10.0%; 2/20)</w:t>
            </w:r>
          </w:p>
        </w:tc>
        <w:tc>
          <w:tcPr>
            <w:tcW w:w="171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21 (33.9%; 21/62)</w:t>
            </w:r>
          </w:p>
        </w:tc>
        <w:tc>
          <w:tcPr>
            <w:tcW w:w="183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30 (23.8%; 30/126)</w:t>
            </w:r>
          </w:p>
        </w:tc>
        <w:tc>
          <w:tcPr>
            <w:tcW w:w="35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0.051</w:t>
            </w:r>
          </w:p>
        </w:tc>
      </w:tr>
      <w:tr>
        <w:trPr>
          <w:trHeight w:val="215" w:hRule="atLeast"/>
          <w:jc w:val="center"/>
        </w:trPr>
        <w:tc>
          <w:tcPr>
            <w:tcW w:w="3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3rd V.I.R.  metastases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(50.0%; 2/4)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 (22.5%; 9/40)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(40.0%; 8/20)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22 (35.5%; 22/62)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41 (32.54%; 41/126)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0.327</w:t>
            </w:r>
          </w:p>
        </w:tc>
      </w:tr>
      <w:tr>
        <w:trPr>
          <w:trHeight w:val="215" w:hRule="atLeast"/>
          <w:jc w:val="center"/>
        </w:trPr>
        <w:tc>
          <w:tcPr>
            <w:tcW w:w="3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Ependymal + 3rd. V.I.R. metastases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(50.0%; 2/4)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13 (32.5%; 13/40)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(40.0%; 8/20)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33 (53.2%; 33/62)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56 (44.4%; 56/126)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0.205</w:t>
            </w:r>
          </w:p>
        </w:tc>
      </w:tr>
      <w:tr>
        <w:trPr>
          <w:trHeight w:val="215" w:hRule="atLeast"/>
          <w:jc w:val="center"/>
        </w:trPr>
        <w:tc>
          <w:tcPr>
            <w:tcW w:w="3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Supratentorial leptomeningeal metastases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(25.0%; 1/4)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13 (32.5%; 13/40)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 (15.0%; 3/20)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12 (19.4%; 12/62)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29 (23.0%; 29/126)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0.324</w:t>
            </w:r>
          </w:p>
        </w:tc>
      </w:tr>
      <w:tr>
        <w:trPr>
          <w:trHeight w:val="215" w:hRule="atLeast"/>
          <w:jc w:val="center"/>
        </w:trPr>
        <w:tc>
          <w:tcPr>
            <w:tcW w:w="3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Infratentorial leptomeningeal metastases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(25.0%; 1/4)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21 (52.5%; 21/40)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14 (70.0%; 14/20)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21 (33.9%; 21/62)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57 (45.2%; 57/126)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0.017*</w:t>
            </w:r>
          </w:p>
        </w:tc>
      </w:tr>
      <w:tr>
        <w:trPr>
          <w:trHeight w:val="450" w:hRule="atLeast"/>
          <w:jc w:val="center"/>
        </w:trPr>
        <w:tc>
          <w:tcPr>
            <w:tcW w:w="3782" w:type="dxa"/>
            <w:gridSpan w:val="2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Supratentorial + Infratentorial leptomeningeal metastases</w:t>
            </w:r>
          </w:p>
        </w:tc>
        <w:tc>
          <w:tcPr>
            <w:tcW w:w="144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(50.0%; 2/4)</w:t>
            </w:r>
          </w:p>
        </w:tc>
        <w:tc>
          <w:tcPr>
            <w:tcW w:w="160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31 (77.5%; 31/40)</w:t>
            </w:r>
          </w:p>
        </w:tc>
        <w:tc>
          <w:tcPr>
            <w:tcW w:w="162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14 (70.0%; 14/20)</w:t>
            </w:r>
          </w:p>
        </w:tc>
        <w:tc>
          <w:tcPr>
            <w:tcW w:w="171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32 (51.6%; 32/62)</w:t>
            </w:r>
          </w:p>
        </w:tc>
        <w:tc>
          <w:tcPr>
            <w:tcW w:w="183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79 (62.7%; 79/126)</w:t>
            </w:r>
          </w:p>
        </w:tc>
        <w:tc>
          <w:tcPr>
            <w:tcW w:w="35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0.04*</w:t>
            </w:r>
          </w:p>
        </w:tc>
      </w:tr>
      <w:tr>
        <w:trPr>
          <w:trHeight w:val="264" w:hRule="atLeast"/>
          <w:jc w:val="center"/>
        </w:trPr>
        <w:tc>
          <w:tcPr>
            <w:tcW w:w="13942" w:type="dxa"/>
            <w:gridSpan w:val="9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color w:val="B51700"/>
                <w:sz w:val="20"/>
                <w:szCs w:val="20"/>
                <w:rtl w:val="0"/>
              </w:rPr>
              <w:t>Signal patterns of ependymal metastases</w:t>
            </w:r>
          </w:p>
        </w:tc>
      </w:tr>
      <w:tr>
        <w:trPr>
          <w:trHeight w:val="308" w:hRule="atLeast"/>
          <w:jc w:val="center"/>
        </w:trPr>
        <w:tc>
          <w:tcPr>
            <w:tcW w:w="2399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Ependymal metastases</w:t>
            </w:r>
            <w:r>
              <w:rPr>
                <w:rFonts w:ascii="Helvetica Neue" w:hAnsi="Helvetica Neue"/>
                <w:sz w:val="24"/>
                <w:szCs w:val="24"/>
                <w:vertAlign w:val="superscript"/>
                <w:rtl w:val="0"/>
              </w:rPr>
              <w:t>b</w:t>
            </w:r>
          </w:p>
        </w:tc>
        <w:tc>
          <w:tcPr>
            <w:tcW w:w="138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C-/D+</w:t>
            </w:r>
          </w:p>
        </w:tc>
        <w:tc>
          <w:tcPr>
            <w:tcW w:w="144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60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 (50.0%)</w:t>
            </w:r>
          </w:p>
        </w:tc>
        <w:tc>
          <w:tcPr>
            <w:tcW w:w="162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71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15 (71.4%)</w:t>
            </w:r>
          </w:p>
        </w:tc>
        <w:tc>
          <w:tcPr>
            <w:tcW w:w="183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18 (60%)</w:t>
            </w:r>
          </w:p>
        </w:tc>
        <w:tc>
          <w:tcPr>
            <w:tcW w:w="35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0.082</w:t>
            </w:r>
          </w:p>
        </w:tc>
      </w:tr>
      <w:tr>
        <w:trPr>
          <w:trHeight w:val="293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C+/D+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(100.0%)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 (50.0%)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(100.0%)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 (23.8%)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11 (36.7%)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0.055</w:t>
            </w:r>
          </w:p>
        </w:tc>
      </w:tr>
      <w:tr>
        <w:trPr>
          <w:trHeight w:val="293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C+/NA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(4.8%)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(3.3%)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</w:t>
            </w:r>
          </w:p>
        </w:tc>
      </w:tr>
      <w:tr>
        <w:trPr>
          <w:trHeight w:val="230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Total  </w:t>
            </w:r>
          </w:p>
        </w:tc>
        <w:tc>
          <w:tcPr>
            <w:tcW w:w="144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(100.0%)</w:t>
            </w:r>
          </w:p>
        </w:tc>
        <w:tc>
          <w:tcPr>
            <w:tcW w:w="160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 (100.0%)</w:t>
            </w:r>
          </w:p>
        </w:tc>
        <w:tc>
          <w:tcPr>
            <w:tcW w:w="162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(100.0%)</w:t>
            </w:r>
          </w:p>
        </w:tc>
        <w:tc>
          <w:tcPr>
            <w:tcW w:w="171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21 (100.0%)</w:t>
            </w:r>
          </w:p>
        </w:tc>
        <w:tc>
          <w:tcPr>
            <w:tcW w:w="183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30 (100.0%)</w:t>
            </w:r>
          </w:p>
        </w:tc>
        <w:tc>
          <w:tcPr>
            <w:tcW w:w="35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30" w:hRule="atLeast"/>
          <w:jc w:val="center"/>
        </w:trPr>
        <w:tc>
          <w:tcPr>
            <w:tcW w:w="2399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3rd V.I.R. metastases</w:t>
            </w:r>
          </w:p>
        </w:tc>
        <w:tc>
          <w:tcPr>
            <w:tcW w:w="138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C-/D+</w:t>
            </w:r>
          </w:p>
        </w:tc>
        <w:tc>
          <w:tcPr>
            <w:tcW w:w="144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60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(11.1%)</w:t>
            </w:r>
          </w:p>
        </w:tc>
        <w:tc>
          <w:tcPr>
            <w:tcW w:w="162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71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 (31.8%)</w:t>
            </w:r>
          </w:p>
        </w:tc>
        <w:tc>
          <w:tcPr>
            <w:tcW w:w="183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(19.51%)</w:t>
            </w:r>
          </w:p>
        </w:tc>
        <w:tc>
          <w:tcPr>
            <w:tcW w:w="35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0.255</w:t>
            </w:r>
          </w:p>
        </w:tc>
      </w:tr>
      <w:tr>
        <w:trPr>
          <w:trHeight w:val="215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C+/D+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(50.0%)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 (44.4%)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 (75.0%)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12 (54.5%)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23 (56.10%)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0.75</w:t>
            </w:r>
          </w:p>
        </w:tc>
      </w:tr>
      <w:tr>
        <w:trPr>
          <w:trHeight w:val="215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C+/D-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 (33.3%)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(25.0%)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(4.5%)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 (14.63%)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0.086</w:t>
            </w:r>
          </w:p>
        </w:tc>
      </w:tr>
      <w:tr>
        <w:trPr>
          <w:trHeight w:val="215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C+/NA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(50.0%)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(11.1%)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(9.1%)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 (9.76%)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0.242</w:t>
            </w:r>
          </w:p>
        </w:tc>
      </w:tr>
      <w:tr>
        <w:trPr>
          <w:trHeight w:val="230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Total  </w:t>
            </w:r>
          </w:p>
        </w:tc>
        <w:tc>
          <w:tcPr>
            <w:tcW w:w="144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(100.0%)</w:t>
            </w:r>
          </w:p>
        </w:tc>
        <w:tc>
          <w:tcPr>
            <w:tcW w:w="160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 (100.0%)</w:t>
            </w:r>
          </w:p>
        </w:tc>
        <w:tc>
          <w:tcPr>
            <w:tcW w:w="162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(100.0%)</w:t>
            </w:r>
          </w:p>
        </w:tc>
        <w:tc>
          <w:tcPr>
            <w:tcW w:w="171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22 (100.0%)</w:t>
            </w:r>
          </w:p>
        </w:tc>
        <w:tc>
          <w:tcPr>
            <w:tcW w:w="183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41 (100.00%)</w:t>
            </w:r>
          </w:p>
        </w:tc>
        <w:tc>
          <w:tcPr>
            <w:tcW w:w="35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30" w:hRule="atLeast"/>
          <w:jc w:val="center"/>
        </w:trPr>
        <w:tc>
          <w:tcPr>
            <w:tcW w:w="2399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Ependymal and 3rd. V.I.R. metastases</w:t>
            </w:r>
          </w:p>
        </w:tc>
        <w:tc>
          <w:tcPr>
            <w:tcW w:w="138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C-/D+</w:t>
            </w:r>
          </w:p>
        </w:tc>
        <w:tc>
          <w:tcPr>
            <w:tcW w:w="144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(0.00%)</w:t>
            </w:r>
          </w:p>
        </w:tc>
        <w:tc>
          <w:tcPr>
            <w:tcW w:w="160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 (30.77%)</w:t>
            </w:r>
          </w:p>
        </w:tc>
        <w:tc>
          <w:tcPr>
            <w:tcW w:w="162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(0.00%)</w:t>
            </w:r>
          </w:p>
        </w:tc>
        <w:tc>
          <w:tcPr>
            <w:tcW w:w="171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18 (54.55%)</w:t>
            </w:r>
          </w:p>
        </w:tc>
        <w:tc>
          <w:tcPr>
            <w:tcW w:w="183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22 (39.29%)</w:t>
            </w:r>
          </w:p>
        </w:tc>
        <w:tc>
          <w:tcPr>
            <w:tcW w:w="35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0.010*</w:t>
            </w:r>
          </w:p>
        </w:tc>
      </w:tr>
      <w:tr>
        <w:trPr>
          <w:trHeight w:val="230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C+/D+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(50.00%)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 (46.15%)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 (75.00%)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13 (39.39%)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26 (46.43%)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0.3</w:t>
            </w:r>
          </w:p>
        </w:tc>
      </w:tr>
      <w:tr>
        <w:trPr>
          <w:trHeight w:val="230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C+/D-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 (23.08%)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(25.00%)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(3.03%)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 (10.71%)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0.068</w:t>
            </w:r>
          </w:p>
        </w:tc>
      </w:tr>
      <w:tr>
        <w:trPr>
          <w:trHeight w:val="230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C+/NA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(50.00%)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(7.69%)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(0.00%)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 (9.09%)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 (8.93%)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0.237</w:t>
            </w:r>
          </w:p>
        </w:tc>
      </w:tr>
      <w:tr>
        <w:trPr>
          <w:trHeight w:val="273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Total  </w:t>
            </w:r>
          </w:p>
        </w:tc>
        <w:tc>
          <w:tcPr>
            <w:tcW w:w="144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(100.00%)</w:t>
            </w:r>
          </w:p>
        </w:tc>
        <w:tc>
          <w:tcPr>
            <w:tcW w:w="160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13 (100.00%)</w:t>
            </w:r>
          </w:p>
        </w:tc>
        <w:tc>
          <w:tcPr>
            <w:tcW w:w="162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(100.00%)</w:t>
            </w:r>
          </w:p>
        </w:tc>
        <w:tc>
          <w:tcPr>
            <w:tcW w:w="171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33 (100.00%)</w:t>
            </w:r>
          </w:p>
        </w:tc>
        <w:tc>
          <w:tcPr>
            <w:tcW w:w="183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56 (100.00%)</w:t>
            </w:r>
          </w:p>
        </w:tc>
        <w:tc>
          <w:tcPr>
            <w:tcW w:w="35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543" w:hRule="atLeast"/>
          <w:jc w:val="center"/>
        </w:trPr>
        <w:tc>
          <w:tcPr>
            <w:tcW w:w="3782" w:type="dxa"/>
            <w:gridSpan w:val="2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C-/D+ pattern in ependymal and 3rd. V.I.R. metastases</w:t>
            </w:r>
            <w:r>
              <w:rPr>
                <w:rFonts w:ascii="Helvetica Neue" w:hAnsi="Helvetica Neue"/>
                <w:sz w:val="24"/>
                <w:szCs w:val="24"/>
                <w:vertAlign w:val="superscript"/>
                <w:rtl w:val="0"/>
              </w:rPr>
              <w:t>c</w:t>
            </w:r>
          </w:p>
        </w:tc>
        <w:tc>
          <w:tcPr>
            <w:tcW w:w="144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(0.0%; 0/4)</w:t>
            </w:r>
          </w:p>
        </w:tc>
        <w:tc>
          <w:tcPr>
            <w:tcW w:w="1601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 (10.0%; 4/40)</w:t>
            </w:r>
          </w:p>
        </w:tc>
        <w:tc>
          <w:tcPr>
            <w:tcW w:w="162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(0.0%; 0/20)</w:t>
            </w:r>
          </w:p>
        </w:tc>
        <w:tc>
          <w:tcPr>
            <w:tcW w:w="1717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18 (29.03%; 18/62)</w:t>
            </w:r>
          </w:p>
        </w:tc>
        <w:tc>
          <w:tcPr>
            <w:tcW w:w="1831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22 (17.46%; 22/126)</w:t>
            </w:r>
          </w:p>
        </w:tc>
        <w:tc>
          <w:tcPr>
            <w:tcW w:w="357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0.005**</w:t>
            </w:r>
          </w:p>
        </w:tc>
      </w:tr>
      <w:tr>
        <w:trPr>
          <w:trHeight w:val="295" w:hRule="atLeast"/>
          <w:jc w:val="center"/>
        </w:trPr>
        <w:tc>
          <w:tcPr>
            <w:tcW w:w="13942" w:type="dxa"/>
            <w:gridSpan w:val="9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color w:val="B51700"/>
                <w:sz w:val="20"/>
                <w:szCs w:val="20"/>
                <w:rtl w:val="0"/>
              </w:rPr>
              <w:t>Signal patterns of leptomeningeal metastases</w:t>
            </w:r>
          </w:p>
        </w:tc>
      </w:tr>
      <w:tr>
        <w:trPr>
          <w:trHeight w:val="230" w:hRule="atLeast"/>
          <w:jc w:val="center"/>
        </w:trPr>
        <w:tc>
          <w:tcPr>
            <w:tcW w:w="2399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Supratentorial leptomeningeal metastases</w:t>
            </w:r>
          </w:p>
        </w:tc>
        <w:tc>
          <w:tcPr>
            <w:tcW w:w="138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C-/D+</w:t>
            </w:r>
          </w:p>
        </w:tc>
        <w:tc>
          <w:tcPr>
            <w:tcW w:w="144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60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(7.7%)</w:t>
            </w:r>
          </w:p>
        </w:tc>
        <w:tc>
          <w:tcPr>
            <w:tcW w:w="162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71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83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(3.45%)</w:t>
            </w:r>
          </w:p>
        </w:tc>
        <w:tc>
          <w:tcPr>
            <w:tcW w:w="35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</w:t>
            </w:r>
          </w:p>
        </w:tc>
      </w:tr>
      <w:tr>
        <w:trPr>
          <w:trHeight w:val="215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C+/D+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(100.0%)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 (38.5%)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(33.3%)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 (41.7%)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12 (41.38%)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0.9</w:t>
            </w:r>
          </w:p>
        </w:tc>
      </w:tr>
      <w:tr>
        <w:trPr>
          <w:trHeight w:val="215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C+/D-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 (38.5%)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(33.3%)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 (25.0%)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 (31.03%)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</w:t>
            </w:r>
          </w:p>
        </w:tc>
      </w:tr>
      <w:tr>
        <w:trPr>
          <w:trHeight w:val="215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C+/NA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(15.4%)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(33.3%)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 (33.3%)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 (24.14%)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0.597</w:t>
            </w:r>
          </w:p>
        </w:tc>
      </w:tr>
      <w:tr>
        <w:trPr>
          <w:trHeight w:val="230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Total  </w:t>
            </w:r>
          </w:p>
        </w:tc>
        <w:tc>
          <w:tcPr>
            <w:tcW w:w="144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(100.0%)</w:t>
            </w:r>
          </w:p>
        </w:tc>
        <w:tc>
          <w:tcPr>
            <w:tcW w:w="160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13 (100.0%)</w:t>
            </w:r>
          </w:p>
        </w:tc>
        <w:tc>
          <w:tcPr>
            <w:tcW w:w="162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 (100.0%)</w:t>
            </w:r>
          </w:p>
        </w:tc>
        <w:tc>
          <w:tcPr>
            <w:tcW w:w="171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12 (100.0%)</w:t>
            </w:r>
          </w:p>
        </w:tc>
        <w:tc>
          <w:tcPr>
            <w:tcW w:w="183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29 (100.00%)</w:t>
            </w:r>
          </w:p>
        </w:tc>
        <w:tc>
          <w:tcPr>
            <w:tcW w:w="35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30" w:hRule="atLeast"/>
          <w:jc w:val="center"/>
        </w:trPr>
        <w:tc>
          <w:tcPr>
            <w:tcW w:w="2399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Infratentorial leptomeningeal metastases</w:t>
            </w:r>
          </w:p>
        </w:tc>
        <w:tc>
          <w:tcPr>
            <w:tcW w:w="138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C-/D+</w:t>
            </w:r>
          </w:p>
        </w:tc>
        <w:tc>
          <w:tcPr>
            <w:tcW w:w="144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60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(4.8%)</w:t>
            </w:r>
          </w:p>
        </w:tc>
        <w:tc>
          <w:tcPr>
            <w:tcW w:w="162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71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83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(1.75%)</w:t>
            </w:r>
          </w:p>
        </w:tc>
        <w:tc>
          <w:tcPr>
            <w:tcW w:w="35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</w:t>
            </w:r>
          </w:p>
        </w:tc>
      </w:tr>
      <w:tr>
        <w:trPr>
          <w:trHeight w:val="215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C+/D+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12 (57.1%)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(57.1%)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15 (71.4%)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35 (61.40%)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0.204</w:t>
            </w:r>
          </w:p>
        </w:tc>
      </w:tr>
      <w:tr>
        <w:trPr>
          <w:trHeight w:val="215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C+/D-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 (14.3%)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 (28.6%)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(4.8%)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(14.04%)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0.18</w:t>
            </w:r>
          </w:p>
        </w:tc>
      </w:tr>
      <w:tr>
        <w:trPr>
          <w:trHeight w:val="215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C+/NA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(100.0%)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 (23.8%)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(14.3%)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 (23.8%)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13 (22.81%)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0.377</w:t>
            </w:r>
          </w:p>
        </w:tc>
      </w:tr>
      <w:tr>
        <w:trPr>
          <w:trHeight w:val="230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Total  </w:t>
            </w:r>
          </w:p>
        </w:tc>
        <w:tc>
          <w:tcPr>
            <w:tcW w:w="144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(100.0%)</w:t>
            </w:r>
          </w:p>
        </w:tc>
        <w:tc>
          <w:tcPr>
            <w:tcW w:w="160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21 (100.0%)</w:t>
            </w:r>
          </w:p>
        </w:tc>
        <w:tc>
          <w:tcPr>
            <w:tcW w:w="162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14 (100.0%)</w:t>
            </w:r>
          </w:p>
        </w:tc>
        <w:tc>
          <w:tcPr>
            <w:tcW w:w="171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21 (100.0%)</w:t>
            </w:r>
          </w:p>
        </w:tc>
        <w:tc>
          <w:tcPr>
            <w:tcW w:w="183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57 (100.00%)</w:t>
            </w:r>
          </w:p>
        </w:tc>
        <w:tc>
          <w:tcPr>
            <w:tcW w:w="35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30" w:hRule="atLeast"/>
          <w:jc w:val="center"/>
        </w:trPr>
        <w:tc>
          <w:tcPr>
            <w:tcW w:w="2399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Supratentorial and infratentorial leptomeningeal metastases</w:t>
            </w:r>
          </w:p>
        </w:tc>
        <w:tc>
          <w:tcPr>
            <w:tcW w:w="138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C-/D+</w:t>
            </w:r>
          </w:p>
        </w:tc>
        <w:tc>
          <w:tcPr>
            <w:tcW w:w="144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60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(6.5%)</w:t>
            </w:r>
          </w:p>
        </w:tc>
        <w:tc>
          <w:tcPr>
            <w:tcW w:w="162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71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831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(2.5%)</w:t>
            </w:r>
          </w:p>
        </w:tc>
        <w:tc>
          <w:tcPr>
            <w:tcW w:w="357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0.517</w:t>
            </w:r>
          </w:p>
        </w:tc>
      </w:tr>
      <w:tr>
        <w:trPr>
          <w:trHeight w:val="215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C+/D+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(50.0%)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16 (51.6%)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(57.1%)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20 (62.5%)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45 (57.0%)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0.547</w:t>
            </w:r>
          </w:p>
        </w:tc>
      </w:tr>
      <w:tr>
        <w:trPr>
          <w:trHeight w:val="215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C+/D-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 (0.0%)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 (19.4%)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 (28.6%)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 (12.5%)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14 (17.7%)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6F4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0.637</w:t>
            </w:r>
          </w:p>
        </w:tc>
      </w:tr>
      <w:tr>
        <w:trPr>
          <w:trHeight w:val="215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C+/NA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(50.0%)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 (22.6%)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(14.3%)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(25.0%)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18 (22.8%)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0.654</w:t>
            </w:r>
          </w:p>
        </w:tc>
      </w:tr>
      <w:tr>
        <w:trPr>
          <w:trHeight w:val="230" w:hRule="atLeast"/>
          <w:jc w:val="center"/>
        </w:trPr>
        <w:tc>
          <w:tcPr>
            <w:tcW w:w="2399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38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 xml:space="preserve">Total  </w:t>
            </w:r>
          </w:p>
        </w:tc>
        <w:tc>
          <w:tcPr>
            <w:tcW w:w="144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(100.0%)</w:t>
            </w:r>
          </w:p>
        </w:tc>
        <w:tc>
          <w:tcPr>
            <w:tcW w:w="160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31 (100.0%)</w:t>
            </w:r>
          </w:p>
        </w:tc>
        <w:tc>
          <w:tcPr>
            <w:tcW w:w="162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14 (100.0%)</w:t>
            </w:r>
          </w:p>
        </w:tc>
        <w:tc>
          <w:tcPr>
            <w:tcW w:w="171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32 (100.0%)</w:t>
            </w:r>
          </w:p>
        </w:tc>
        <w:tc>
          <w:tcPr>
            <w:tcW w:w="1831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79 (100%)</w:t>
            </w:r>
          </w:p>
        </w:tc>
        <w:tc>
          <w:tcPr>
            <w:tcW w:w="357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84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6F4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1565" w:hRule="atLeast"/>
          <w:jc w:val="center"/>
        </w:trPr>
        <w:tc>
          <w:tcPr>
            <w:tcW w:w="13942" w:type="dxa"/>
            <w:gridSpan w:val="9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</w:pPr>
            <w:r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auto"/>
                <w:vertAlign w:val="baseline"/>
                <w:rtl w:val="0"/>
                <w:lang w:val="en-US"/>
              </w:rPr>
              <w:t xml:space="preserve">Note: "C-/D+" denotes cases with diffusion restriction but minimal or no postcontrast enhancement, while "C+/NA" indicates postcontrast enhancement with unavailable diffusion information due to the absence of a DWI sequence. </w:t>
            </w:r>
          </w:p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</w:pPr>
            <w:r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auto"/>
                <w:vertAlign w:val="superscript"/>
                <w:rtl w:val="0"/>
              </w:rPr>
              <w:t>a</w:t>
            </w:r>
            <w:r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auto"/>
                <w:vertAlign w:val="baseline"/>
                <w:rtl w:val="0"/>
                <w:lang w:val="en-US"/>
              </w:rPr>
              <w:t xml:space="preserve">The percentage and corresponding p-value for each metastatic site (categorized into 6 classes as listed below) were computed specifically among subjects exhibiting intracranial solid metastases. </w:t>
            </w:r>
            <w:r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auto"/>
                <w:vertAlign w:val="superscript"/>
                <w:rtl w:val="0"/>
              </w:rPr>
              <w:t>b</w:t>
            </w:r>
            <w:r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auto"/>
                <w:vertAlign w:val="baseline"/>
                <w:rtl w:val="0"/>
                <w:lang w:val="en-US"/>
              </w:rPr>
              <w:t xml:space="preserve">The percentage and corresponding p-value for each signal pattern of ependymal metastases were computed among subjects exhibiting ependymal metastases. </w:t>
            </w:r>
            <w:r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auto"/>
                <w:vertAlign w:val="superscript"/>
                <w:rtl w:val="0"/>
              </w:rPr>
              <w:t>c</w:t>
            </w:r>
            <w:r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auto"/>
                <w:vertAlign w:val="baseline"/>
                <w:rtl w:val="0"/>
                <w:lang w:val="en-US"/>
              </w:rPr>
              <w:t xml:space="preserve">The percentage and corresponding p-value were computed within subjects exhibiting intracranial solid metastases. </w:t>
            </w:r>
            <w:r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auto"/>
                <w:vertAlign w:val="superscript"/>
                <w:rtl w:val="0"/>
              </w:rPr>
              <w:t>d</w:t>
            </w:r>
            <w:r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auto"/>
                <w:vertAlign w:val="baseline"/>
                <w:rtl w:val="0"/>
                <w:lang w:val="en-US"/>
              </w:rPr>
              <w:t>Percentages may exceed 100% due to certain subjects exhibiting two metastases with different signal patterns.</w:t>
            </w:r>
          </w:p>
          <w:p>
            <w:pPr>
              <w:keepNext w:val="0"/>
              <w:keepLines w:val="0"/>
              <w:pageBreakBefore w:val="0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*</w:t>
            </w:r>
            <w:r>
              <w:rPr>
                <w:rFonts w:ascii="Helvetica Neue" w:hAnsi="Helvetica Neue" w:eastAsia="Arial Unicode MS" w:cs="Arial Unicode MS"/>
                <w:b w:val="0"/>
                <w:bCs w:val="0"/>
                <w:i/>
                <w:iCs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P</w:t>
            </w:r>
            <w:r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auto"/>
                <w:vertAlign w:val="baseline"/>
                <w:rtl w:val="0"/>
                <w:lang w:val="pt-PT"/>
              </w:rPr>
              <w:t xml:space="preserve"> = 0.01-0.05, **</w:t>
            </w:r>
            <w:r>
              <w:rPr>
                <w:rFonts w:ascii="Helvetica Neue" w:hAnsi="Helvetica Neue" w:eastAsia="Arial Unicode MS" w:cs="Arial Unicode MS"/>
                <w:b w:val="0"/>
                <w:bCs w:val="0"/>
                <w:i/>
                <w:iCs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P</w:t>
            </w:r>
            <w:r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auto"/>
                <w:vertAlign w:val="baseline"/>
                <w:rtl w:val="0"/>
                <w:lang w:val="en-US"/>
              </w:rPr>
              <w:t xml:space="preserve"> = 0.001-0.01, ***P = 0.0001-0.001, ****</w:t>
            </w:r>
            <w:r>
              <w:rPr>
                <w:rFonts w:ascii="Helvetica Neue" w:hAnsi="Helvetica Neue" w:eastAsia="Arial Unicode MS" w:cs="Arial Unicode MS"/>
                <w:b w:val="0"/>
                <w:bCs w:val="0"/>
                <w:i/>
                <w:iCs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auto"/>
                <w:vertAlign w:val="baseline"/>
                <w:rtl w:val="0"/>
              </w:rPr>
              <w:t>P</w:t>
            </w:r>
            <w:r>
              <w:rPr>
                <w:rFonts w:ascii="Helvetica Neue" w:hAnsi="Helvetica Neue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clear" w:color="auto" w:fill="auto"/>
                <w:vertAlign w:val="baseline"/>
                <w:rtl w:val="0"/>
                <w:lang w:val="en-US"/>
              </w:rPr>
              <w:t xml:space="preserve"> &lt; 0.0001. Key abbreviation: 3rd. V.I.R. = the third ventricular infundibular recess.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  <w:rPr>
          <w:rFonts w:ascii="Avenir Book" w:hAnsi="Avenir Book" w:eastAsia="Avenir Book" w:cs="Avenir Book"/>
        </w:rPr>
      </w:pPr>
    </w:p>
    <w:p>
      <w:pPr>
        <w:pStyle w:val="5"/>
        <w:rPr>
          <w:rFonts w:ascii="Avenir Book" w:hAnsi="Avenir Book" w:eastAsia="Avenir Book" w:cs="Avenir Book"/>
        </w:rPr>
      </w:pPr>
    </w:p>
    <w:p>
      <w:pPr>
        <w:pStyle w:val="5"/>
        <w:rPr>
          <w:rFonts w:ascii="Avenir Book" w:hAnsi="Avenir Book" w:eastAsia="Avenir Book" w:cs="Avenir Book"/>
        </w:rPr>
      </w:pPr>
    </w:p>
    <w:p>
      <w:pPr>
        <w:pStyle w:val="5"/>
        <w:rPr>
          <w:rFonts w:ascii="Avenir Book" w:hAnsi="Avenir Book" w:eastAsia="Avenir Book" w:cs="Avenir Book"/>
        </w:rPr>
      </w:pPr>
    </w:p>
    <w:p>
      <w:pPr>
        <w:pStyle w:val="5"/>
        <w:rPr>
          <w:rFonts w:ascii="Avenir Book" w:hAnsi="Avenir Book" w:eastAsia="Avenir Book" w:cs="Avenir Book"/>
        </w:rPr>
      </w:pPr>
    </w:p>
    <w:p>
      <w:pPr>
        <w:pStyle w:val="5"/>
        <w:rPr>
          <w:rFonts w:ascii="Avenir Book" w:hAnsi="Avenir Book" w:eastAsia="Avenir Book" w:cs="Avenir Book"/>
        </w:rPr>
      </w:pPr>
    </w:p>
    <w:p>
      <w:pPr>
        <w:pStyle w:val="5"/>
        <w:rPr>
          <w:rFonts w:ascii="Avenir Book" w:hAnsi="Avenir Book" w:eastAsia="Avenir Book" w:cs="Avenir Book"/>
        </w:rPr>
      </w:pPr>
    </w:p>
    <w:p>
      <w:pPr>
        <w:pStyle w:val="5"/>
        <w:rPr>
          <w:rFonts w:ascii="Avenir Book" w:hAnsi="Avenir Book" w:eastAsia="Avenir Book" w:cs="Avenir Book"/>
        </w:rPr>
      </w:pPr>
    </w:p>
    <w:p>
      <w:pPr>
        <w:pStyle w:val="5"/>
        <w:rPr>
          <w:rFonts w:ascii="Avenir Book" w:hAnsi="Avenir Book" w:eastAsia="Avenir Book" w:cs="Avenir Book"/>
        </w:rPr>
      </w:pPr>
    </w:p>
    <w:p>
      <w:pPr>
        <w:pStyle w:val="5"/>
        <w:rPr>
          <w:rFonts w:ascii="Avenir Book" w:hAnsi="Avenir Book" w:eastAsia="Avenir Book" w:cs="Avenir Book"/>
        </w:rPr>
      </w:pPr>
    </w:p>
    <w:p>
      <w:pPr>
        <w:pStyle w:val="5"/>
        <w:rPr>
          <w:rFonts w:ascii="Avenir Book" w:hAnsi="Avenir Book" w:eastAsia="Avenir Book" w:cs="Avenir Book"/>
        </w:rPr>
      </w:pPr>
    </w:p>
    <w:p>
      <w:pPr>
        <w:pStyle w:val="5"/>
        <w:rPr>
          <w:rFonts w:ascii="Avenir Book" w:hAnsi="Avenir Book" w:eastAsia="Avenir Book" w:cs="Avenir Book"/>
        </w:rPr>
      </w:pPr>
    </w:p>
    <w:p>
      <w:pPr>
        <w:pStyle w:val="5"/>
        <w:rPr>
          <w:rFonts w:ascii="Avenir Book" w:hAnsi="Avenir Book" w:eastAsia="Avenir Book" w:cs="Avenir Book"/>
        </w:rPr>
      </w:pPr>
    </w:p>
    <w:p>
      <w:pPr>
        <w:pStyle w:val="5"/>
        <w:rPr>
          <w:rFonts w:ascii="Avenir Book" w:hAnsi="Avenir Book" w:eastAsia="Avenir Book" w:cs="Avenir Book"/>
        </w:rPr>
      </w:pPr>
    </w:p>
    <w:p>
      <w:pPr>
        <w:pStyle w:val="5"/>
        <w:rPr>
          <w:rFonts w:ascii="Avenir Book" w:hAnsi="Avenir Book" w:eastAsia="Avenir Book" w:cs="Avenir Book"/>
        </w:rPr>
      </w:pPr>
    </w:p>
    <w:p>
      <w:pPr>
        <w:pStyle w:val="5"/>
        <w:rPr>
          <w:rFonts w:ascii="Avenir Book" w:hAnsi="Avenir Book" w:eastAsia="Avenir Book" w:cs="Avenir Book"/>
        </w:rPr>
      </w:pPr>
    </w:p>
    <w:p>
      <w:pPr>
        <w:pStyle w:val="5"/>
        <w:tabs>
          <w:tab w:val="left" w:pos="10176"/>
        </w:tabs>
        <w:jc w:val="left"/>
        <w:rPr>
          <w:rFonts w:ascii="Avenir Book" w:hAnsi="Avenir Book" w:eastAsia="Avenir Book" w:cs="Avenir Book"/>
          <w:lang w:val="en-US"/>
        </w:rPr>
      </w:pPr>
      <w:r>
        <w:rPr>
          <w:rFonts w:ascii="Avenir Book" w:hAnsi="Avenir Book" w:eastAsia="Avenir Book" w:cs="Avenir Book"/>
          <w:lang w:val="en-US"/>
        </w:rPr>
        <w:tab/>
      </w:r>
    </w:p>
    <w:p>
      <w:pPr>
        <w:pStyle w:val="5"/>
        <w:tabs>
          <w:tab w:val="left" w:pos="10176"/>
        </w:tabs>
        <w:jc w:val="left"/>
        <w:rPr>
          <w:rFonts w:hint="default" w:ascii="Avenir Book" w:hAnsi="Avenir Book" w:eastAsia="Avenir Book" w:cs="Avenir Book"/>
          <w:lang w:val="en-US"/>
        </w:rPr>
      </w:pPr>
      <w:bookmarkStart w:id="0" w:name="_GoBack"/>
      <w:bookmarkEnd w:id="0"/>
    </w:p>
    <w:tbl>
      <w:tblPr>
        <w:tblStyle w:val="3"/>
        <w:tblpPr w:leftFromText="180" w:rightFromText="180" w:vertAnchor="text" w:horzAnchor="page" w:tblpX="10286" w:tblpY="4858"/>
        <w:tblOverlap w:val="never"/>
        <w:tblW w:w="0" w:type="auto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403"/>
        <w:gridCol w:w="1755"/>
        <w:gridCol w:w="1755"/>
        <w:gridCol w:w="1756"/>
        <w:gridCol w:w="1755"/>
        <w:gridCol w:w="1755"/>
        <w:gridCol w:w="1406"/>
      </w:tblGrid>
      <w:tr>
        <w:trPr>
          <w:trHeight w:val="284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b/>
                <w:bCs/>
                <w:color w:val="B51700"/>
                <w:sz w:val="22"/>
                <w:szCs w:val="22"/>
                <w:rtl w:val="0"/>
              </w:rPr>
              <w:t>Table 3. Association of clinicopathological features and the collective molecular subgroups with a focus on the Asian population</w:t>
            </w:r>
          </w:p>
        </w:tc>
      </w:tr>
      <w:tr>
        <w:trPr>
          <w:trHeight w:val="264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7021" w:type="dxa"/>
            <w:gridSpan w:val="4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color w:val="B51700"/>
                <w:rtl w:val="0"/>
              </w:rPr>
              <w:t>Molecular Subtypes</w:t>
            </w:r>
          </w:p>
        </w:tc>
        <w:tc>
          <w:tcPr>
            <w:tcW w:w="1755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color w:val="B51700"/>
                <w:rtl w:val="0"/>
              </w:rPr>
              <w:t>Total</w:t>
            </w:r>
          </w:p>
        </w:tc>
        <w:tc>
          <w:tcPr>
            <w:tcW w:w="1406" w:type="dxa"/>
            <w:vMerge w:val="restart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i/>
                <w:iCs/>
                <w:color w:val="B51700"/>
                <w:rtl w:val="0"/>
                <w:lang w:val="zh-CN" w:eastAsia="zh-CN"/>
              </w:rPr>
              <w:t>P</w:t>
            </w:r>
            <w:r>
              <w:rPr>
                <w:color w:val="B51700"/>
                <w:rtl w:val="0"/>
                <w:lang w:val="en-US"/>
              </w:rPr>
              <w:t xml:space="preserve"> </w:t>
            </w:r>
            <w:r>
              <w:rPr>
                <w:color w:val="B51700"/>
                <w:rtl w:val="0"/>
                <w:lang w:val="zh-CN" w:eastAsia="zh-CN"/>
              </w:rPr>
              <w:t>value</w:t>
            </w:r>
          </w:p>
        </w:tc>
      </w:tr>
      <w:tr>
        <w:trPr>
          <w:trHeight w:val="259" w:hRule="atLeast"/>
        </w:trPr>
        <w:tc>
          <w:tcPr>
            <w:tcW w:w="340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75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color w:val="B51700"/>
                <w:rtl w:val="0"/>
              </w:rPr>
              <w:t>WNT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color w:val="B51700"/>
                <w:rtl w:val="0"/>
              </w:rPr>
              <w:t>SHH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color w:val="B51700"/>
                <w:rtl w:val="0"/>
              </w:rPr>
              <w:t>Group3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color w:val="B51700"/>
                <w:rtl w:val="0"/>
              </w:rPr>
              <w:t>Group4</w:t>
            </w:r>
          </w:p>
        </w:tc>
        <w:tc>
          <w:tcPr>
            <w:tcW w:w="1755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  <w:tc>
          <w:tcPr>
            <w:tcW w:w="1406" w:type="dxa"/>
            <w:vMerge w:val="continue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</w:tcPr>
          <w:p/>
        </w:tc>
      </w:tr>
      <w:tr>
        <w:trPr>
          <w:trHeight w:val="264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color w:val="B51700"/>
                <w:rtl w:val="0"/>
              </w:rPr>
              <w:t>Frequency N (%)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132 (14.88%)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253 (28.52%)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115 (12.97%)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387 (43.63%)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887 (100.00%)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64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color w:val="B51700"/>
                <w:rtl w:val="0"/>
              </w:rPr>
              <w:t>Age</w:t>
            </w:r>
          </w:p>
        </w:tc>
      </w:tr>
      <w:tr>
        <w:trPr>
          <w:trHeight w:val="230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mean (SD)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10.077 (4.812)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10.370 (10.911)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7.359 (5.058)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8.713 (4.801)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9.214 (7.190)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0.0004***</w:t>
            </w:r>
          </w:p>
        </w:tc>
      </w:tr>
      <w:tr>
        <w:trPr>
          <w:trHeight w:val="230" w:hRule="atLeast"/>
        </w:trPr>
        <w:tc>
          <w:tcPr>
            <w:tcW w:w="340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median (Q1, Q3)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 (7, 12)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 (4, 12)</w:t>
            </w:r>
          </w:p>
        </w:tc>
        <w:tc>
          <w:tcPr>
            <w:tcW w:w="175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6.2 (4, 9.5)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(6, 11)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(5, 11)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&lt;0.0001****</w:t>
            </w:r>
          </w:p>
        </w:tc>
      </w:tr>
      <w:tr>
        <w:trPr>
          <w:trHeight w:val="264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color w:val="B51700"/>
                <w:rtl w:val="0"/>
              </w:rPr>
              <w:t>Sex</w:t>
            </w:r>
          </w:p>
        </w:tc>
      </w:tr>
      <w:tr>
        <w:trPr>
          <w:trHeight w:val="230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M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58 (43.94%)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165 (65.22%)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78 (67.83%)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277 (71.58%)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578 (65.16%)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&lt;0.0001****</w:t>
            </w:r>
          </w:p>
        </w:tc>
      </w:tr>
      <w:tr>
        <w:trPr>
          <w:trHeight w:val="215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F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74 (56.06%)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88 (34.78%)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37 (32.17%)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110 (28.42%)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309 (34.84%)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30" w:hRule="atLeast"/>
        </w:trPr>
        <w:tc>
          <w:tcPr>
            <w:tcW w:w="340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Total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132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253 (100.00%)</w:t>
            </w:r>
          </w:p>
        </w:tc>
        <w:tc>
          <w:tcPr>
            <w:tcW w:w="175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115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387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887 (100.00%)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64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color w:val="B51700"/>
                <w:rtl w:val="0"/>
              </w:rPr>
              <w:t>Race</w:t>
            </w:r>
          </w:p>
        </w:tc>
      </w:tr>
      <w:tr>
        <w:trPr>
          <w:trHeight w:val="249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Asian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124 (93.94%)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220 (86.96%)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94 (81.74%)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336 (86.82%)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774 (87.26%)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0.0656</w:t>
            </w:r>
          </w:p>
        </w:tc>
      </w:tr>
      <w:tr>
        <w:trPr>
          <w:trHeight w:val="234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Black or African American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 (0.76%)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0 (0.00%)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0 (0.00%)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4 (1.03%)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5 (0.56%)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34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White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5 (3.79%)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21 (8.30%)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16 (13.91%)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37 (9.56%)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79 (8.91%)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34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Other or Not Reported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2 (1.52%)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12 (4.74%)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5 (4.35%)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10 (2.58%)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29 (3.27%)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49" w:hRule="atLeast"/>
        </w:trPr>
        <w:tc>
          <w:tcPr>
            <w:tcW w:w="340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Total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132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253 (100.00%)</w:t>
            </w:r>
          </w:p>
        </w:tc>
        <w:tc>
          <w:tcPr>
            <w:tcW w:w="175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115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387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887 (100.00%)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64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color w:val="B51700"/>
                <w:rtl w:val="0"/>
              </w:rPr>
              <w:t>Tumor texture</w:t>
            </w:r>
          </w:p>
        </w:tc>
      </w:tr>
      <w:tr>
        <w:trPr>
          <w:trHeight w:val="230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Hard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11 (9.02%)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47 (22.07%)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20 (21.28%)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51 (15.18%)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129 (16.86%)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0.0018**</w:t>
            </w:r>
          </w:p>
        </w:tc>
      </w:tr>
      <w:tr>
        <w:trPr>
          <w:trHeight w:val="215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Mixed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17 (13.93%)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52 (24.41%)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17 (18.09%)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73 (21.73%)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159 (20.78%)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15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Soft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94 (77.05%)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114 (53.52%)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57 (60.64%)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212 (63.10%)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477 (62.35%)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30" w:hRule="atLeast"/>
        </w:trPr>
        <w:tc>
          <w:tcPr>
            <w:tcW w:w="340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Total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122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213 (100.00%)</w:t>
            </w:r>
          </w:p>
        </w:tc>
        <w:tc>
          <w:tcPr>
            <w:tcW w:w="175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94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336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765 (100.00%)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64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color w:val="B51700"/>
                <w:rtl w:val="0"/>
              </w:rPr>
              <w:t>Histological Subtypes</w:t>
            </w:r>
          </w:p>
        </w:tc>
      </w:tr>
      <w:tr>
        <w:trPr>
          <w:trHeight w:val="230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Classic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106 (91.38%)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84 (37.50%)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67 (78.82%)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269 (82.52%)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526 (70.04%)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&lt;0.0001****</w:t>
            </w:r>
          </w:p>
        </w:tc>
      </w:tr>
      <w:tr>
        <w:trPr>
          <w:trHeight w:val="215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DN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 (3.45%)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103 (45.98%)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(9.41%)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48 (14.72%)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163 (21.70%)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15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LCA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 (1.72%)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12 (5.36%)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 (10.59%)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(2.45%)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31 (4.13%)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15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MBEN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 (3.45%)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25 (11.16%)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(1.18%)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 (0.31%)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31 (4.13%)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30" w:hRule="atLeast"/>
        </w:trPr>
        <w:tc>
          <w:tcPr>
            <w:tcW w:w="340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Total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116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224 (100.00%)</w:t>
            </w:r>
          </w:p>
        </w:tc>
        <w:tc>
          <w:tcPr>
            <w:tcW w:w="175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85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326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751 (100.00%)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64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color w:val="B51700"/>
                <w:rtl w:val="0"/>
              </w:rPr>
              <w:t>LCA-enrichment (%)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1.72%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5.36%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10.59%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2.45%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4.03%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0.0055**</w:t>
            </w:r>
          </w:p>
        </w:tc>
      </w:tr>
      <w:tr>
        <w:trPr>
          <w:trHeight w:val="264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color w:val="B51700"/>
                <w:rtl w:val="0"/>
              </w:rPr>
              <w:t>Extent of tumor resection</w:t>
            </w:r>
          </w:p>
        </w:tc>
      </w:tr>
      <w:tr>
        <w:trPr>
          <w:trHeight w:val="230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GTR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74 (57.81%)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133 (56.36%)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56 (53.85%)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195 (55.40%)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458 (55.85%)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0.9314</w:t>
            </w:r>
          </w:p>
        </w:tc>
      </w:tr>
      <w:tr>
        <w:trPr>
          <w:trHeight w:val="215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NTR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47 (36.72%)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90 (38.14%)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39 (37.50%)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131 (37.22%)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307 (37.44%)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15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STR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 (5.47%)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13 (5.51%)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 (8.65%)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26 (7.39%)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55 (6.71%)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30" w:hRule="atLeast"/>
        </w:trPr>
        <w:tc>
          <w:tcPr>
            <w:tcW w:w="340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Total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128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236 (100.00%)</w:t>
            </w:r>
          </w:p>
        </w:tc>
        <w:tc>
          <w:tcPr>
            <w:tcW w:w="175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104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352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820 (100.00%)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64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color w:val="B51700"/>
                <w:rtl w:val="0"/>
              </w:rPr>
              <w:t>Radiotherapy</w:t>
            </w:r>
          </w:p>
        </w:tc>
      </w:tr>
      <w:tr>
        <w:trPr>
          <w:trHeight w:val="249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Y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114 (95.00%)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180 (82.19%)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71 (80.68%)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295 (93.35%)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660 (88.83%)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&lt;0.0001****</w:t>
            </w:r>
          </w:p>
        </w:tc>
      </w:tr>
      <w:tr>
        <w:trPr>
          <w:trHeight w:val="234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N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6 (5.00%)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39 (17.81%)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17 (19.32%)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21 (6.65%)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83 (11.17%)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49" w:hRule="atLeast"/>
        </w:trPr>
        <w:tc>
          <w:tcPr>
            <w:tcW w:w="340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Total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120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219 (100.00%)</w:t>
            </w:r>
          </w:p>
        </w:tc>
        <w:tc>
          <w:tcPr>
            <w:tcW w:w="175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88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316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743 (100.00%)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4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64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color w:val="B51700"/>
                <w:rtl w:val="0"/>
              </w:rPr>
              <w:t>Chemotherapy</w:t>
            </w:r>
          </w:p>
        </w:tc>
      </w:tr>
      <w:tr>
        <w:trPr>
          <w:trHeight w:val="249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Y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98 (85.96%)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186 (85.71%)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65 (78.31%)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275 (89.00%)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624 (86.31%)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0.001***</w:t>
            </w:r>
          </w:p>
        </w:tc>
      </w:tr>
      <w:tr>
        <w:trPr>
          <w:trHeight w:val="234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N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16 (14.04%)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31 (14.29%)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18 (21.69%)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34 (11.00%)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99 (13.69%)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49" w:hRule="atLeast"/>
        </w:trPr>
        <w:tc>
          <w:tcPr>
            <w:tcW w:w="340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Total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114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217 (100.00%)</w:t>
            </w:r>
          </w:p>
        </w:tc>
        <w:tc>
          <w:tcPr>
            <w:tcW w:w="175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83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309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rtl w:val="0"/>
              </w:rPr>
              <w:t>723 (100.00%)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64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color w:val="B51700"/>
                <w:rtl w:val="0"/>
              </w:rPr>
              <w:t xml:space="preserve">Survival probability </w:t>
            </w:r>
          </w:p>
        </w:tc>
      </w:tr>
      <w:tr>
        <w:trPr>
          <w:trHeight w:val="230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1-year OS (%)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96.1%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90.3%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76.6%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91.7%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90.9%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0.00014***</w:t>
            </w:r>
          </w:p>
        </w:tc>
      </w:tr>
      <w:tr>
        <w:trPr>
          <w:trHeight w:val="215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2-year OS (%)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91.7%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79.3%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70.6%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86.1%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83.9%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15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3-year OS (%)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91.7%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68.0%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67.9%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74.7%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75.6%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15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4-year OS (%)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88.3%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63.5%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64.2%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68.7%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71.0%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30" w:hRule="atLeast"/>
        </w:trPr>
        <w:tc>
          <w:tcPr>
            <w:tcW w:w="340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5-year OS (%)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88.3%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59.8%</w:t>
            </w:r>
          </w:p>
        </w:tc>
        <w:tc>
          <w:tcPr>
            <w:tcW w:w="175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64.2%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65.2%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68.0%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64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color w:val="B51700"/>
                <w:rtl w:val="0"/>
              </w:rPr>
              <w:t xml:space="preserve">Survival status </w:t>
            </w:r>
          </w:p>
        </w:tc>
      </w:tr>
      <w:tr>
        <w:trPr>
          <w:trHeight w:val="230" w:hRule="atLeast"/>
        </w:trPr>
        <w:tc>
          <w:tcPr>
            <w:tcW w:w="3403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Alive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124 (93.94%)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197 (77.87%)</w:t>
            </w:r>
          </w:p>
        </w:tc>
        <w:tc>
          <w:tcPr>
            <w:tcW w:w="175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84 (73.04%)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315 (81.40%)</w:t>
            </w:r>
          </w:p>
        </w:tc>
        <w:tc>
          <w:tcPr>
            <w:tcW w:w="1755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720 (81.17%)</w:t>
            </w:r>
          </w:p>
        </w:tc>
        <w:tc>
          <w:tcPr>
            <w:tcW w:w="1406" w:type="dxa"/>
            <w:tcBorders>
              <w:top w:val="single" w:color="B41700" w:sz="12" w:space="0"/>
              <w:left w:val="nil"/>
              <w:bottom w:val="nil"/>
              <w:right w:val="nil"/>
            </w:tcBorders>
            <w:shd w:val="clear" w:color="auto" w:fill="F3F5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0.0001****</w:t>
            </w:r>
          </w:p>
        </w:tc>
      </w:tr>
      <w:tr>
        <w:trPr>
          <w:trHeight w:val="236" w:hRule="atLeast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Decease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 (6.06%)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56 (22.13%)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31 (26.96%)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72 (18.60%)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167 (18.83%)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36" w:hRule="atLeast"/>
        </w:trPr>
        <w:tc>
          <w:tcPr>
            <w:tcW w:w="3403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Total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132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253 (100.00%)</w:t>
            </w:r>
          </w:p>
        </w:tc>
        <w:tc>
          <w:tcPr>
            <w:tcW w:w="175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115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387 (100.00%)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887 (100.00%)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B41700" w:sz="12" w:space="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rPr>
          <w:trHeight w:val="245" w:hRule="atLeast"/>
        </w:trPr>
        <w:tc>
          <w:tcPr>
            <w:tcW w:w="13585" w:type="dxa"/>
            <w:gridSpan w:val="7"/>
            <w:tcBorders>
              <w:top w:val="single" w:color="B41700" w:sz="12" w:space="0"/>
              <w:left w:val="nil"/>
              <w:bottom w:val="single" w:color="B41700" w:sz="12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rap="auto" w:vAnchor="margin" w:hAnchor="text" w:yAlign="inline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NOTE: </w:t>
            </w:r>
            <w:r>
              <w:rPr>
                <w:sz w:val="18"/>
                <w:szCs w:val="18"/>
                <w:rtl w:val="0"/>
              </w:rPr>
              <w:t>*</w:t>
            </w:r>
            <w:r>
              <w:rPr>
                <w:i/>
                <w:iCs/>
                <w:sz w:val="18"/>
                <w:szCs w:val="18"/>
                <w:rtl w:val="0"/>
              </w:rPr>
              <w:t>P</w:t>
            </w:r>
            <w:r>
              <w:rPr>
                <w:sz w:val="18"/>
                <w:szCs w:val="18"/>
                <w:rtl w:val="0"/>
                <w:lang w:val="pt-PT"/>
              </w:rPr>
              <w:t xml:space="preserve"> = 0.01-0.05, **</w:t>
            </w:r>
            <w:r>
              <w:rPr>
                <w:i/>
                <w:iCs/>
                <w:sz w:val="18"/>
                <w:szCs w:val="18"/>
                <w:rtl w:val="0"/>
              </w:rPr>
              <w:t>P</w:t>
            </w:r>
            <w:r>
              <w:rPr>
                <w:sz w:val="18"/>
                <w:szCs w:val="18"/>
                <w:rtl w:val="0"/>
                <w:lang w:val="pt-PT"/>
              </w:rPr>
              <w:t xml:space="preserve"> = 0.001-0.01, ***</w:t>
            </w:r>
            <w:r>
              <w:rPr>
                <w:i/>
                <w:iCs/>
                <w:sz w:val="18"/>
                <w:szCs w:val="18"/>
                <w:rtl w:val="0"/>
              </w:rPr>
              <w:t>P</w:t>
            </w:r>
            <w:r>
              <w:rPr>
                <w:sz w:val="18"/>
                <w:szCs w:val="18"/>
                <w:rtl w:val="0"/>
                <w:lang w:val="en-US"/>
              </w:rPr>
              <w:t xml:space="preserve"> = 0.001-0.0001, ****</w:t>
            </w:r>
            <w:r>
              <w:rPr>
                <w:i/>
                <w:iCs/>
                <w:sz w:val="18"/>
                <w:szCs w:val="18"/>
                <w:rtl w:val="0"/>
              </w:rPr>
              <w:t xml:space="preserve">P </w:t>
            </w:r>
            <w:r>
              <w:rPr>
                <w:sz w:val="18"/>
                <w:szCs w:val="18"/>
                <w:rtl w:val="0"/>
              </w:rPr>
              <w:t>= &lt;0.0001.</w:t>
            </w:r>
          </w:p>
        </w:tc>
      </w:tr>
    </w:tbl>
    <w:p>
      <w:pPr>
        <w:pStyle w:val="5"/>
        <w:sectPr>
          <w:headerReference r:id="rId3" w:type="default"/>
          <w:footerReference r:id="rId4" w:type="default"/>
          <w:pgSz w:w="34016" w:h="22677" w:orient="landscape"/>
          <w:pgMar w:top="1134" w:right="1134" w:bottom="1134" w:left="1134" w:header="709" w:footer="850" w:gutter="0"/>
          <w:cols w:space="720" w:num="1"/>
        </w:sectPr>
      </w:pPr>
    </w:p>
    <w:p/>
    <w:p>
      <w:pPr>
        <w:pStyle w:val="5"/>
        <w:tabs>
          <w:tab w:val="left" w:pos="2956"/>
        </w:tabs>
        <w:jc w:val="left"/>
        <w:rPr>
          <w:rFonts w:hint="default" w:eastAsia="Arial Unicode MS"/>
          <w:lang w:val="en-US" w:eastAsia="zh-CN"/>
        </w:rPr>
        <w:sectPr>
          <w:headerReference r:id="rId5" w:type="default"/>
          <w:footerReference r:id="rId6" w:type="default"/>
          <w:pgSz w:w="34016" w:h="22677" w:orient="landscape"/>
          <w:pgMar w:top="1138" w:right="1138" w:bottom="1138" w:left="1138" w:header="709" w:footer="850" w:gutter="0"/>
          <w:cols w:space="720" w:num="1"/>
        </w:sectPr>
      </w:pPr>
    </w:p>
    <w:p/>
    <w:p>
      <w:pPr>
        <w:pStyle w:val="5"/>
        <w:bidi w:val="0"/>
      </w:pPr>
    </w:p>
    <w:p>
      <w:pPr>
        <w:pStyle w:val="5"/>
        <w:bidi w:val="0"/>
      </w:pPr>
    </w:p>
    <w:p>
      <w:pPr>
        <w:pStyle w:val="5"/>
        <w:rPr>
          <w:sz w:val="26"/>
          <w:szCs w:val="26"/>
          <w:vertAlign w:val="superscript"/>
        </w:rPr>
      </w:pPr>
    </w:p>
    <w:p>
      <w:pPr>
        <w:pStyle w:val="5"/>
        <w:rPr>
          <w:sz w:val="26"/>
          <w:szCs w:val="26"/>
          <w:vertAlign w:val="superscript"/>
        </w:rPr>
      </w:pPr>
    </w:p>
    <w:p>
      <w:pPr>
        <w:pStyle w:val="5"/>
        <w:rPr>
          <w:sz w:val="26"/>
          <w:szCs w:val="26"/>
          <w:vertAlign w:val="superscript"/>
        </w:rPr>
      </w:pPr>
    </w:p>
    <w:p>
      <w:pPr>
        <w:pStyle w:val="5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5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5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5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5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5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5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5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5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5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5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5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5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5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5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5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5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5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5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5"/>
        <w:rPr>
          <w:rFonts w:ascii="Avenir Book" w:hAnsi="Avenir Book" w:eastAsia="Avenir Book" w:cs="Avenir Book"/>
          <w:sz w:val="22"/>
          <w:szCs w:val="22"/>
          <w:vertAlign w:val="baseline"/>
        </w:rPr>
      </w:pPr>
    </w:p>
    <w:p>
      <w:pPr>
        <w:pStyle w:val="5"/>
      </w:pPr>
    </w:p>
    <w:sectPr>
      <w:headerReference r:id="rId7" w:type="default"/>
      <w:pgSz w:w="34016" w:h="22677" w:orient="landscape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rPr>
        <w:rFonts w:ascii="Helvetica" w:hAnsi="Helvetica" w:cs="Arial Unicode MS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  <w:rPr>
        <w:rFonts w:ascii="Helvetica" w:hAnsi="Helvetica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shd w:val="clear" w:color="auto" w:fill="auto"/>
        <w:vertAlign w:val="baseline"/>
        <w:rtl w:val="0"/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rPr>
        <w:rFonts w:ascii="Helvetica" w:hAnsi="Helvetica" w:cs="Arial Unicode MS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  <w:rPr>
        <w:rFonts w:ascii="Helvetica" w:hAnsi="Helvetica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shd w:val="clear" w:color="auto" w:fill="auto"/>
        <w:vertAlign w:val="baseline"/>
        <w:rtl w:val="0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E9"/>
    <w:rsid w:val="00250800"/>
    <w:rsid w:val="009705E9"/>
    <w:rsid w:val="00A542BF"/>
    <w:rsid w:val="00FF68CF"/>
    <w:rsid w:val="29BF4673"/>
    <w:rsid w:val="46EFF169"/>
    <w:rsid w:val="77FBAD92"/>
    <w:rsid w:val="79F6C933"/>
    <w:rsid w:val="ABAF733D"/>
    <w:rsid w:val="BFFD4032"/>
    <w:rsid w:val="E67B14D5"/>
    <w:rsid w:val="F7AFA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paragraph" w:customStyle="1" w:styleId="5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zh-CN" w:eastAsia="zh-CN" w:bidi="ar-SA"/>
    </w:rPr>
  </w:style>
  <w:style w:type="paragraph" w:customStyle="1" w:styleId="6">
    <w:name w:val="Free Form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sz w:val="24"/>
      <w:szCs w:val="24"/>
      <w:lang w:val="zh-CN" w:eastAsia="zh-CN" w:bidi="ar-SA"/>
    </w:rPr>
  </w:style>
  <w:style w:type="paragraph" w:customStyle="1" w:styleId="7">
    <w:name w:val="Header &amp; Footer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Helvetica Neue" w:cs="Helvetica Neue"/>
      <w:color w:val="000000"/>
      <w:sz w:val="24"/>
      <w:szCs w:val="24"/>
      <w:lang w:val="zh-CN" w:eastAsia="zh-CN" w:bidi="ar-SA"/>
    </w:rPr>
  </w:style>
  <w:style w:type="table" w:customStyle="1" w:styleId="8">
    <w:name w:val="Table Normal1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9">
    <w:name w:val="Table Style 2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0"/>
      <w:szCs w:val="20"/>
      <w:u w:val="none" w:color="auto"/>
      <w:shd w:val="clear" w:color="auto" w:fill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571</Words>
  <Characters>3255</Characters>
  <Lines>27</Lines>
  <Paragraphs>7</Paragraphs>
  <TotalTime>5</TotalTime>
  <ScaleCrop>false</ScaleCrop>
  <LinksUpToDate>false</LinksUpToDate>
  <CharactersWithSpaces>3819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2024-05-15T12:18:00Z</dcterms:created>
  <dc:creator>Data</dc:creator>
  <cp:lastModifiedBy>胡</cp:lastModifiedBy>
  <dcterms:modified xsi:type="dcterms:W3CDTF">2024-05-14T20:52:04Z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50C57C6BE981FFD6985A43662A78586D_43</vt:lpwstr>
  </property>
</Properties>
</file>