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9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99"/>
        <w:gridCol w:w="1383"/>
        <w:gridCol w:w="1445"/>
        <w:gridCol w:w="1601"/>
        <w:gridCol w:w="1625"/>
        <w:gridCol w:w="1717"/>
        <w:gridCol w:w="1831"/>
        <w:gridCol w:w="357"/>
        <w:gridCol w:w="158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42"/>
            <w:gridSpan w:val="9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both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b41700"/>
                <w:sz w:val="22"/>
                <w:szCs w:val="22"/>
                <w:rtl w:val="0"/>
                <w14:textFill>
                  <w14:solidFill>
                    <w14:srgbClr w14:val="B51700"/>
                  </w14:solidFill>
                </w14:textFill>
              </w:rPr>
              <w:t>Table 2. Patterns of intracranial solid metastases across the entire medulloblastoma dataset stratified by molecular subgroups</w:t>
            </w:r>
          </w:p>
        </w:tc>
      </w:tr>
      <w:tr>
        <w:tblPrEx>
          <w:shd w:val="clear" w:color="auto" w:fill="auto"/>
        </w:tblPrEx>
        <w:trPr>
          <w:trHeight w:val="264" w:hRule="atLeast"/>
        </w:trPr>
        <w:tc>
          <w:tcPr>
            <w:tcW w:type="dxa" w:w="2399"/>
            <w:vMerge w:val="restart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3"/>
            <w:vMerge w:val="restart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single" w:color="fefffe" w:sz="1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5"/>
            <w:gridSpan w:val="2"/>
            <w:tcBorders>
              <w:top w:val="single" w:color="b41700" w:sz="12" w:space="0" w:shadow="0" w:frame="0"/>
              <w:left w:val="single" w:color="fefffe" w:sz="12" w:space="0" w:shadow="0" w:frame="0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outline w:val="0"/>
                <w:color w:val="b41700"/>
                <w:sz w:val="20"/>
                <w:szCs w:val="20"/>
                <w:rtl w:val="0"/>
                <w14:textFill>
                  <w14:solidFill>
                    <w14:srgbClr w14:val="B51700"/>
                  </w14:solidFill>
                </w14:textFill>
              </w:rPr>
              <w:t>Molecular subgroups</w:t>
            </w:r>
          </w:p>
        </w:tc>
        <w:tc>
          <w:tcPr>
            <w:tcW w:type="dxa" w:w="1625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17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30"/>
            <w:vMerge w:val="restart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shd w:val="clear" w:color="auto" w:fill="fefffe"/>
              <w:jc w:val="center"/>
            </w:pPr>
            <w:r>
              <w:rPr>
                <w:rFonts w:ascii="Helvetica Neue" w:hAnsi="Helvetica Neue"/>
                <w:outline w:val="0"/>
                <w:color w:val="b41700"/>
                <w:sz w:val="20"/>
                <w:szCs w:val="20"/>
                <w:rtl w:val="0"/>
                <w14:textFill>
                  <w14:solidFill>
                    <w14:srgbClr w14:val="B51700"/>
                  </w14:solidFill>
                </w14:textFill>
              </w:rPr>
              <w:t>Total</w:t>
            </w:r>
          </w:p>
        </w:tc>
        <w:tc>
          <w:tcPr>
            <w:tcW w:type="dxa" w:w="35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vMerge w:val="restart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shd w:val="clear" w:color="auto" w:fill="fefffe"/>
              <w:jc w:val="center"/>
            </w:pPr>
            <w:r>
              <w:rPr>
                <w:rFonts w:ascii="Helvetica Neue" w:hAnsi="Helvetica Neue"/>
                <w:i w:val="1"/>
                <w:iCs w:val="1"/>
                <w:outline w:val="0"/>
                <w:color w:val="b41700"/>
                <w:sz w:val="20"/>
                <w:szCs w:val="20"/>
                <w:rtl w:val="0"/>
                <w14:textFill>
                  <w14:solidFill>
                    <w14:srgbClr w14:val="B51700"/>
                  </w14:solidFill>
                </w14:textFill>
              </w:rPr>
              <w:t>P value</w:t>
            </w:r>
          </w:p>
        </w:tc>
      </w:tr>
      <w:tr>
        <w:tblPrEx>
          <w:shd w:val="clear" w:color="auto" w:fill="auto"/>
        </w:tblPrEx>
        <w:trPr>
          <w:trHeight w:val="264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single" w:color="fefffe" w:sz="12" w:space="0" w:shadow="0" w:frame="0"/>
            </w:tcBorders>
            <w:shd w:val="clear" w:color="auto" w:fill="fefffe"/>
          </w:tcPr>
          <w:p/>
        </w:tc>
        <w:tc>
          <w:tcPr>
            <w:tcW w:type="dxa" w:w="1445"/>
            <w:tcBorders>
              <w:top w:val="single" w:color="b41700" w:sz="12" w:space="0" w:shadow="0" w:frame="0"/>
              <w:left w:val="single" w:color="fefffe" w:sz="12" w:space="0" w:shadow="0" w:frame="0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outline w:val="0"/>
                <w:color w:val="b41700"/>
                <w:sz w:val="20"/>
                <w:szCs w:val="20"/>
                <w:rtl w:val="0"/>
                <w14:textFill>
                  <w14:solidFill>
                    <w14:srgbClr w14:val="B51700"/>
                  </w14:solidFill>
                </w14:textFill>
              </w:rPr>
              <w:t>WNT</w:t>
            </w:r>
          </w:p>
        </w:tc>
        <w:tc>
          <w:tcPr>
            <w:tcW w:type="dxa" w:w="1600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outline w:val="0"/>
                <w:color w:val="b41700"/>
                <w:sz w:val="20"/>
                <w:szCs w:val="20"/>
                <w:rtl w:val="0"/>
                <w14:textFill>
                  <w14:solidFill>
                    <w14:srgbClr w14:val="B51700"/>
                  </w14:solidFill>
                </w14:textFill>
              </w:rPr>
              <w:t>SHH</w:t>
            </w:r>
          </w:p>
        </w:tc>
        <w:tc>
          <w:tcPr>
            <w:tcW w:type="dxa" w:w="1625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shd w:val="clear" w:color="auto" w:fill="fefffe"/>
              <w:jc w:val="left"/>
            </w:pPr>
            <w:r>
              <w:rPr>
                <w:rFonts w:ascii="Helvetica Neue" w:hAnsi="Helvetica Neue"/>
                <w:outline w:val="0"/>
                <w:color w:val="b41700"/>
                <w:sz w:val="20"/>
                <w:szCs w:val="20"/>
                <w:rtl w:val="0"/>
                <w14:textFill>
                  <w14:solidFill>
                    <w14:srgbClr w14:val="B51700"/>
                  </w14:solidFill>
                </w14:textFill>
              </w:rPr>
              <w:t>Group3</w:t>
            </w:r>
          </w:p>
        </w:tc>
        <w:tc>
          <w:tcPr>
            <w:tcW w:type="dxa" w:w="1717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shd w:val="clear" w:color="auto" w:fill="fefffe"/>
              <w:jc w:val="left"/>
            </w:pPr>
            <w:r>
              <w:rPr>
                <w:rFonts w:ascii="Helvetica Neue" w:hAnsi="Helvetica Neue"/>
                <w:outline w:val="0"/>
                <w:color w:val="b41700"/>
                <w:sz w:val="20"/>
                <w:szCs w:val="20"/>
                <w:rtl w:val="0"/>
                <w14:textFill>
                  <w14:solidFill>
                    <w14:srgbClr w14:val="B51700"/>
                  </w14:solidFill>
                </w14:textFill>
              </w:rPr>
              <w:t>Group4</w:t>
            </w:r>
          </w:p>
        </w:tc>
        <w:tc>
          <w:tcPr>
            <w:tcW w:type="dxa" w:w="1830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35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</w:tr>
      <w:tr>
        <w:tblPrEx>
          <w:shd w:val="clear" w:color="auto" w:fill="auto"/>
        </w:tblPrEx>
        <w:trPr>
          <w:trHeight w:val="264" w:hRule="atLeast"/>
        </w:trPr>
        <w:tc>
          <w:tcPr>
            <w:tcW w:type="dxa" w:w="13942"/>
            <w:gridSpan w:val="9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outline w:val="0"/>
                <w:color w:val="b41700"/>
                <w:sz w:val="20"/>
                <w:szCs w:val="20"/>
                <w:rtl w:val="0"/>
                <w14:textFill>
                  <w14:solidFill>
                    <w14:srgbClr w14:val="B51700"/>
                  </w14:solidFill>
                </w14:textFill>
              </w:rPr>
              <w:t xml:space="preserve">Intracranial solid metastases 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3782"/>
            <w:gridSpan w:val="2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Y</w:t>
            </w:r>
          </w:p>
        </w:tc>
        <w:tc>
          <w:tcPr>
            <w:tcW w:type="dxa" w:w="144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(3.48%)</w:t>
            </w:r>
          </w:p>
        </w:tc>
        <w:tc>
          <w:tcPr>
            <w:tcW w:type="dxa" w:w="160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40 (19.61%)</w:t>
            </w:r>
          </w:p>
        </w:tc>
        <w:tc>
          <w:tcPr>
            <w:tcW w:type="dxa" w:w="162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20 (21.05%)</w:t>
            </w:r>
          </w:p>
        </w:tc>
        <w:tc>
          <w:tcPr>
            <w:tcW w:type="dxa" w:w="171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62 (19.44%)</w:t>
            </w:r>
          </w:p>
        </w:tc>
        <w:tc>
          <w:tcPr>
            <w:tcW w:type="dxa" w:w="183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126 (17.19%)</w:t>
            </w:r>
          </w:p>
        </w:tc>
        <w:tc>
          <w:tcPr>
            <w:tcW w:type="dxa" w:w="35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0.0004***</w:t>
            </w:r>
          </w:p>
        </w:tc>
      </w:tr>
      <w:tr>
        <w:tblPrEx>
          <w:shd w:val="clear" w:color="auto" w:fill="auto"/>
        </w:tblPrEx>
        <w:trPr>
          <w:trHeight w:val="234" w:hRule="atLeast"/>
        </w:trPr>
        <w:tc>
          <w:tcPr>
            <w:tcW w:type="dxa" w:w="37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shd w:val="clear" w:color="auto" w:fill="fefff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N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shd w:val="clear" w:color="auto" w:fill="fefffe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111 (96.52%)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shd w:val="clear" w:color="auto" w:fill="fefffe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164 (80.39%)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shd w:val="clear" w:color="auto" w:fill="fefffe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75 (78.95%)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shd w:val="clear" w:color="auto" w:fill="fefffe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257 (80.56%)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shd w:val="clear" w:color="auto" w:fill="fefffe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607 (82.81%)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9" w:hRule="atLeast"/>
        </w:trPr>
        <w:tc>
          <w:tcPr>
            <w:tcW w:type="dxa" w:w="3782"/>
            <w:gridSpan w:val="2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type="dxa" w:w="144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115 (100.00%)</w:t>
            </w:r>
          </w:p>
        </w:tc>
        <w:tc>
          <w:tcPr>
            <w:tcW w:type="dxa" w:w="160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204 (100.00%)</w:t>
            </w:r>
          </w:p>
        </w:tc>
        <w:tc>
          <w:tcPr>
            <w:tcW w:type="dxa" w:w="162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95 (100.00%)</w:t>
            </w:r>
          </w:p>
        </w:tc>
        <w:tc>
          <w:tcPr>
            <w:tcW w:type="dxa" w:w="171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319 (100.00%)</w:t>
            </w:r>
          </w:p>
        </w:tc>
        <w:tc>
          <w:tcPr>
            <w:tcW w:type="dxa" w:w="183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733 (100.00%)</w:t>
            </w:r>
          </w:p>
        </w:tc>
        <w:tc>
          <w:tcPr>
            <w:tcW w:type="dxa" w:w="35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4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4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13942"/>
            <w:gridSpan w:val="9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outline w:val="0"/>
                <w:color w:val="b41700"/>
                <w:sz w:val="20"/>
                <w:szCs w:val="20"/>
                <w:rtl w:val="0"/>
                <w:lang w:val="en-US"/>
                <w14:textFill>
                  <w14:solidFill>
                    <w14:srgbClr w14:val="B51700"/>
                  </w14:solidFill>
                </w14:textFill>
              </w:rPr>
              <w:t>Site of metastases</w:t>
            </w:r>
            <w:r>
              <w:rPr>
                <w:rFonts w:ascii="Helvetica Neue" w:hAnsi="Helvetica Neue"/>
                <w:outline w:val="0"/>
                <w:color w:val="b41700"/>
                <w:sz w:val="24"/>
                <w:szCs w:val="24"/>
                <w:vertAlign w:val="superscript"/>
                <w:rtl w:val="0"/>
                <w14:textFill>
                  <w14:solidFill>
                    <w14:srgbClr w14:val="B51700"/>
                  </w14:solidFill>
                </w14:textFill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3782"/>
            <w:gridSpan w:val="2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Ependymal metastases </w:t>
            </w:r>
          </w:p>
        </w:tc>
        <w:tc>
          <w:tcPr>
            <w:tcW w:type="dxa" w:w="144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(25.0%; 1/4)</w:t>
            </w:r>
          </w:p>
        </w:tc>
        <w:tc>
          <w:tcPr>
            <w:tcW w:type="dxa" w:w="160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(15.0%; 6/40)</w:t>
            </w:r>
          </w:p>
        </w:tc>
        <w:tc>
          <w:tcPr>
            <w:tcW w:type="dxa" w:w="162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(10.0%; 2/20)</w:t>
            </w:r>
          </w:p>
        </w:tc>
        <w:tc>
          <w:tcPr>
            <w:tcW w:type="dxa" w:w="171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 (33.9%; 21/62)</w:t>
            </w:r>
          </w:p>
        </w:tc>
        <w:tc>
          <w:tcPr>
            <w:tcW w:type="dxa" w:w="183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30 (23.8%; 30/126)</w:t>
            </w:r>
          </w:p>
        </w:tc>
        <w:tc>
          <w:tcPr>
            <w:tcW w:type="dxa" w:w="35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0.051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7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3rd V.I.R.  metastases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(50.0%; 2/4)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 (22.5%; 9/40)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(40.0%; 8/20)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22 (35.5%; 22/62)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41 (32.54%; 41/126)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0.327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7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Ependymal + 3rd. V.I.R. metastases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(50.0%; 2/4)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(32.5%; 13/40)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(40.0%; 8/20)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33 (53.2%; 33/62)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56 (44.4%; 56/126)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0.205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7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Supratentorial leptomeningeal metastases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(25.0%; 1/4)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(32.5%; 13/40)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(15.0%; 3/20)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 (19.4%; 12/62)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29 (23.0%; 29/126)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0.324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378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Infratentorial leptomeningeal metastases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(25.0%; 1/4)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 (52.5%; 21/40)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14 (70.0%; 14/20)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 (33.9%; 21/62)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57 (45.2%; 57/126)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0.017*</w:t>
            </w:r>
          </w:p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3782"/>
            <w:gridSpan w:val="2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Supratentorial + Infratentorial leptomeningeal metastases</w:t>
            </w:r>
          </w:p>
        </w:tc>
        <w:tc>
          <w:tcPr>
            <w:tcW w:type="dxa" w:w="144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(50.0%; 2/4)</w:t>
            </w:r>
          </w:p>
        </w:tc>
        <w:tc>
          <w:tcPr>
            <w:tcW w:type="dxa" w:w="160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 (77.5%; 31/40)</w:t>
            </w:r>
          </w:p>
        </w:tc>
        <w:tc>
          <w:tcPr>
            <w:tcW w:type="dxa" w:w="162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14 (70.0%; 14/20)</w:t>
            </w:r>
          </w:p>
        </w:tc>
        <w:tc>
          <w:tcPr>
            <w:tcW w:type="dxa" w:w="171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32 (51.6%; 32/62)</w:t>
            </w:r>
          </w:p>
        </w:tc>
        <w:tc>
          <w:tcPr>
            <w:tcW w:type="dxa" w:w="183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79 (62.7%; 79/126)</w:t>
            </w:r>
          </w:p>
        </w:tc>
        <w:tc>
          <w:tcPr>
            <w:tcW w:type="dxa" w:w="35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0.04*</w:t>
            </w:r>
          </w:p>
        </w:tc>
      </w:tr>
      <w:tr>
        <w:tblPrEx>
          <w:shd w:val="clear" w:color="auto" w:fill="auto"/>
        </w:tblPrEx>
        <w:trPr>
          <w:trHeight w:val="264" w:hRule="atLeast"/>
        </w:trPr>
        <w:tc>
          <w:tcPr>
            <w:tcW w:type="dxa" w:w="13942"/>
            <w:gridSpan w:val="9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outline w:val="0"/>
                <w:color w:val="b41700"/>
                <w:sz w:val="20"/>
                <w:szCs w:val="20"/>
                <w:rtl w:val="0"/>
                <w14:textFill>
                  <w14:solidFill>
                    <w14:srgbClr w14:val="B51700"/>
                  </w14:solidFill>
                </w14:textFill>
              </w:rPr>
              <w:t>Signal patterns of ependymal metastases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399"/>
            <w:vMerge w:val="restart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Ependymal metastases</w:t>
            </w:r>
            <w:r>
              <w:rPr>
                <w:rFonts w:ascii="Helvetica Neue" w:hAnsi="Helvetica Neue"/>
                <w:sz w:val="24"/>
                <w:szCs w:val="24"/>
                <w:vertAlign w:val="superscript"/>
                <w:rtl w:val="0"/>
              </w:rPr>
              <w:t>b</w:t>
            </w:r>
          </w:p>
        </w:tc>
        <w:tc>
          <w:tcPr>
            <w:tcW w:type="dxa" w:w="1383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C-/D+</w:t>
            </w:r>
          </w:p>
        </w:tc>
        <w:tc>
          <w:tcPr>
            <w:tcW w:type="dxa" w:w="144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0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(50.0%)</w:t>
            </w:r>
          </w:p>
        </w:tc>
        <w:tc>
          <w:tcPr>
            <w:tcW w:type="dxa" w:w="162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71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15 (71.4%)</w:t>
            </w:r>
          </w:p>
        </w:tc>
        <w:tc>
          <w:tcPr>
            <w:tcW w:type="dxa" w:w="183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18 (60%)</w:t>
            </w:r>
          </w:p>
        </w:tc>
        <w:tc>
          <w:tcPr>
            <w:tcW w:type="dxa" w:w="35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0.082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C+/D+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(100.0%)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(50.0%)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(100.0%)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(23.8%)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 (36.7%)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0.055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C+/NA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(4.8%)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(3.3%)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Total  </w:t>
            </w:r>
          </w:p>
        </w:tc>
        <w:tc>
          <w:tcPr>
            <w:tcW w:type="dxa" w:w="144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(100.0%)</w:t>
            </w:r>
          </w:p>
        </w:tc>
        <w:tc>
          <w:tcPr>
            <w:tcW w:type="dxa" w:w="160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(100.0%)</w:t>
            </w:r>
          </w:p>
        </w:tc>
        <w:tc>
          <w:tcPr>
            <w:tcW w:type="dxa" w:w="162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(100.0%)</w:t>
            </w:r>
          </w:p>
        </w:tc>
        <w:tc>
          <w:tcPr>
            <w:tcW w:type="dxa" w:w="171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 (100.0%)</w:t>
            </w:r>
          </w:p>
        </w:tc>
        <w:tc>
          <w:tcPr>
            <w:tcW w:type="dxa" w:w="183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30 (100.0%)</w:t>
            </w:r>
          </w:p>
        </w:tc>
        <w:tc>
          <w:tcPr>
            <w:tcW w:type="dxa" w:w="35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restart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3rd V.I.R. metastases</w:t>
            </w:r>
          </w:p>
        </w:tc>
        <w:tc>
          <w:tcPr>
            <w:tcW w:type="dxa" w:w="1383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C-/D+</w:t>
            </w:r>
          </w:p>
        </w:tc>
        <w:tc>
          <w:tcPr>
            <w:tcW w:type="dxa" w:w="144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0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(11.1%)</w:t>
            </w:r>
          </w:p>
        </w:tc>
        <w:tc>
          <w:tcPr>
            <w:tcW w:type="dxa" w:w="162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71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 (31.8%)</w:t>
            </w:r>
          </w:p>
        </w:tc>
        <w:tc>
          <w:tcPr>
            <w:tcW w:type="dxa" w:w="183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(19.51%)</w:t>
            </w:r>
          </w:p>
        </w:tc>
        <w:tc>
          <w:tcPr>
            <w:tcW w:type="dxa" w:w="35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0.255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C+/D+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(50.0%)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(44.4%)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(75.0%)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 (54.5%)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23 (56.10%)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0.75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C+/D-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(33.3%)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(25.0%)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(4.5%)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(14.63%)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0.086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C+/NA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(50.0%)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(11.1%)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(9.1%)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(9.76%)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0.242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Total  </w:t>
            </w:r>
          </w:p>
        </w:tc>
        <w:tc>
          <w:tcPr>
            <w:tcW w:type="dxa" w:w="144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(100.0%)</w:t>
            </w:r>
          </w:p>
        </w:tc>
        <w:tc>
          <w:tcPr>
            <w:tcW w:type="dxa" w:w="160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 (100.0%)</w:t>
            </w:r>
          </w:p>
        </w:tc>
        <w:tc>
          <w:tcPr>
            <w:tcW w:type="dxa" w:w="162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(100.0%)</w:t>
            </w:r>
          </w:p>
        </w:tc>
        <w:tc>
          <w:tcPr>
            <w:tcW w:type="dxa" w:w="171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22 (100.0%)</w:t>
            </w:r>
          </w:p>
        </w:tc>
        <w:tc>
          <w:tcPr>
            <w:tcW w:type="dxa" w:w="183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41 (100.00%)</w:t>
            </w:r>
          </w:p>
        </w:tc>
        <w:tc>
          <w:tcPr>
            <w:tcW w:type="dxa" w:w="35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restart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Ependymal and 3rd. V.I.R. metastases</w:t>
            </w:r>
          </w:p>
        </w:tc>
        <w:tc>
          <w:tcPr>
            <w:tcW w:type="dxa" w:w="1383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C-/D+</w:t>
            </w:r>
          </w:p>
        </w:tc>
        <w:tc>
          <w:tcPr>
            <w:tcW w:type="dxa" w:w="144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(0.00%)</w:t>
            </w:r>
          </w:p>
        </w:tc>
        <w:tc>
          <w:tcPr>
            <w:tcW w:type="dxa" w:w="160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(30.77%)</w:t>
            </w:r>
          </w:p>
        </w:tc>
        <w:tc>
          <w:tcPr>
            <w:tcW w:type="dxa" w:w="162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(0.00%)</w:t>
            </w:r>
          </w:p>
        </w:tc>
        <w:tc>
          <w:tcPr>
            <w:tcW w:type="dxa" w:w="171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18 (54.55%)</w:t>
            </w:r>
          </w:p>
        </w:tc>
        <w:tc>
          <w:tcPr>
            <w:tcW w:type="dxa" w:w="183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22 (39.29%)</w:t>
            </w:r>
          </w:p>
        </w:tc>
        <w:tc>
          <w:tcPr>
            <w:tcW w:type="dxa" w:w="35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0.010*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C+/D+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(50.00%)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(46.15%)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(75.00%)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(39.39%)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26 (46.43%)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0.3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C+/D-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(23.08%)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(25.00%)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(3.03%)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(10.71%)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0.068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C+/NA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(50.00%)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(7.69%)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(0.00%)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(9.09%)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(8.93%)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0.237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Total  </w:t>
            </w:r>
          </w:p>
        </w:tc>
        <w:tc>
          <w:tcPr>
            <w:tcW w:type="dxa" w:w="144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(100.00%)</w:t>
            </w:r>
          </w:p>
        </w:tc>
        <w:tc>
          <w:tcPr>
            <w:tcW w:type="dxa" w:w="160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(100.00%)</w:t>
            </w:r>
          </w:p>
        </w:tc>
        <w:tc>
          <w:tcPr>
            <w:tcW w:type="dxa" w:w="162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(100.00%)</w:t>
            </w:r>
          </w:p>
        </w:tc>
        <w:tc>
          <w:tcPr>
            <w:tcW w:type="dxa" w:w="171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33 (100.00%)</w:t>
            </w:r>
          </w:p>
        </w:tc>
        <w:tc>
          <w:tcPr>
            <w:tcW w:type="dxa" w:w="183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56 (100.00%)</w:t>
            </w:r>
          </w:p>
        </w:tc>
        <w:tc>
          <w:tcPr>
            <w:tcW w:type="dxa" w:w="35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43" w:hRule="atLeast"/>
        </w:trPr>
        <w:tc>
          <w:tcPr>
            <w:tcW w:type="dxa" w:w="3782"/>
            <w:gridSpan w:val="2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C-/D+ pattern in ependymal and 3rd. V.I.R. metastases</w:t>
            </w:r>
            <w:r>
              <w:rPr>
                <w:rFonts w:ascii="Helvetica Neue" w:hAnsi="Helvetica Neue"/>
                <w:sz w:val="24"/>
                <w:szCs w:val="24"/>
                <w:vertAlign w:val="superscript"/>
                <w:rtl w:val="0"/>
              </w:rPr>
              <w:t>c</w:t>
            </w:r>
          </w:p>
        </w:tc>
        <w:tc>
          <w:tcPr>
            <w:tcW w:type="dxa" w:w="1445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(0.0%; 0/4)</w:t>
            </w:r>
          </w:p>
        </w:tc>
        <w:tc>
          <w:tcPr>
            <w:tcW w:type="dxa" w:w="1600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(10.0%; 4/40)</w:t>
            </w:r>
          </w:p>
        </w:tc>
        <w:tc>
          <w:tcPr>
            <w:tcW w:type="dxa" w:w="1625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(0.0%; 0/20)</w:t>
            </w:r>
          </w:p>
        </w:tc>
        <w:tc>
          <w:tcPr>
            <w:tcW w:type="dxa" w:w="1717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18 (29.03%; 18/62)</w:t>
            </w:r>
          </w:p>
        </w:tc>
        <w:tc>
          <w:tcPr>
            <w:tcW w:type="dxa" w:w="1830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22 (17.46%; 22/126)</w:t>
            </w:r>
          </w:p>
        </w:tc>
        <w:tc>
          <w:tcPr>
            <w:tcW w:type="dxa" w:w="357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0.005**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942"/>
            <w:gridSpan w:val="9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outline w:val="0"/>
                <w:color w:val="b41700"/>
                <w:sz w:val="20"/>
                <w:szCs w:val="20"/>
                <w:rtl w:val="0"/>
                <w14:textFill>
                  <w14:solidFill>
                    <w14:srgbClr w14:val="B51700"/>
                  </w14:solidFill>
                </w14:textFill>
              </w:rPr>
              <w:t>Signal patterns of leptomeningeal metastases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restart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Supratentorial leptomeningeal metastases</w:t>
            </w:r>
          </w:p>
        </w:tc>
        <w:tc>
          <w:tcPr>
            <w:tcW w:type="dxa" w:w="1383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C-/D+</w:t>
            </w:r>
          </w:p>
        </w:tc>
        <w:tc>
          <w:tcPr>
            <w:tcW w:type="dxa" w:w="144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0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(7.7%)</w:t>
            </w:r>
          </w:p>
        </w:tc>
        <w:tc>
          <w:tcPr>
            <w:tcW w:type="dxa" w:w="162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71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83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(3.45%)</w:t>
            </w:r>
          </w:p>
        </w:tc>
        <w:tc>
          <w:tcPr>
            <w:tcW w:type="dxa" w:w="35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C+/D+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(100.0%)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(38.5%)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(33.3%)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(41.7%)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 (41.38%)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0.9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C+/D-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(38.5%)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(33.3%)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(25.0%)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 (31.03%)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C+/NA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(15.4%)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(33.3%)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(33.3%)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 (24.14%)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0.597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Total  </w:t>
            </w:r>
          </w:p>
        </w:tc>
        <w:tc>
          <w:tcPr>
            <w:tcW w:type="dxa" w:w="144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(100.0%)</w:t>
            </w:r>
          </w:p>
        </w:tc>
        <w:tc>
          <w:tcPr>
            <w:tcW w:type="dxa" w:w="160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(100.0%)</w:t>
            </w:r>
          </w:p>
        </w:tc>
        <w:tc>
          <w:tcPr>
            <w:tcW w:type="dxa" w:w="162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(100.0%)</w:t>
            </w:r>
          </w:p>
        </w:tc>
        <w:tc>
          <w:tcPr>
            <w:tcW w:type="dxa" w:w="171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 (100.0%)</w:t>
            </w:r>
          </w:p>
        </w:tc>
        <w:tc>
          <w:tcPr>
            <w:tcW w:type="dxa" w:w="183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29 (100.00%)</w:t>
            </w:r>
          </w:p>
        </w:tc>
        <w:tc>
          <w:tcPr>
            <w:tcW w:type="dxa" w:w="35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restart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Infratentorial leptomeningeal metastases</w:t>
            </w:r>
          </w:p>
        </w:tc>
        <w:tc>
          <w:tcPr>
            <w:tcW w:type="dxa" w:w="1383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C-/D+</w:t>
            </w:r>
          </w:p>
        </w:tc>
        <w:tc>
          <w:tcPr>
            <w:tcW w:type="dxa" w:w="144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0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(4.8%)</w:t>
            </w:r>
          </w:p>
        </w:tc>
        <w:tc>
          <w:tcPr>
            <w:tcW w:type="dxa" w:w="162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71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83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(1.75%)</w:t>
            </w:r>
          </w:p>
        </w:tc>
        <w:tc>
          <w:tcPr>
            <w:tcW w:type="dxa" w:w="35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C+/D+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 (57.1%)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(57.1%)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15 (71.4%)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35 (61.40%)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0.204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C+/D-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(14.3%)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(28.6%)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(4.8%)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(14.04%)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0.18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C+/NA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(100.0%)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(23.8%)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(14.3%)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(23.8%)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(22.81%)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0.377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Total  </w:t>
            </w:r>
          </w:p>
        </w:tc>
        <w:tc>
          <w:tcPr>
            <w:tcW w:type="dxa" w:w="144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(100.0%)</w:t>
            </w:r>
          </w:p>
        </w:tc>
        <w:tc>
          <w:tcPr>
            <w:tcW w:type="dxa" w:w="160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 (100.0%)</w:t>
            </w:r>
          </w:p>
        </w:tc>
        <w:tc>
          <w:tcPr>
            <w:tcW w:type="dxa" w:w="162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14 (100.0%)</w:t>
            </w:r>
          </w:p>
        </w:tc>
        <w:tc>
          <w:tcPr>
            <w:tcW w:type="dxa" w:w="171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 (100.0%)</w:t>
            </w:r>
          </w:p>
        </w:tc>
        <w:tc>
          <w:tcPr>
            <w:tcW w:type="dxa" w:w="183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57 (100.00%)</w:t>
            </w:r>
          </w:p>
        </w:tc>
        <w:tc>
          <w:tcPr>
            <w:tcW w:type="dxa" w:w="35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restart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Supratentorial and infratentorial leptomeningeal metastases</w:t>
            </w:r>
          </w:p>
        </w:tc>
        <w:tc>
          <w:tcPr>
            <w:tcW w:type="dxa" w:w="1383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C-/D+</w:t>
            </w:r>
          </w:p>
        </w:tc>
        <w:tc>
          <w:tcPr>
            <w:tcW w:type="dxa" w:w="144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0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(6.5%)</w:t>
            </w:r>
          </w:p>
        </w:tc>
        <w:tc>
          <w:tcPr>
            <w:tcW w:type="dxa" w:w="1625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71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830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(2.5%)</w:t>
            </w:r>
          </w:p>
        </w:tc>
        <w:tc>
          <w:tcPr>
            <w:tcW w:type="dxa" w:w="357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single" w:color="b41700" w:sz="12" w:space="0" w:shadow="0" w:frame="0"/>
              <w:left w:val="nil"/>
              <w:bottom w:val="nil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0.517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C+/D+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(50.0%)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16 (51.6%)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(57.1%)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20 (62.5%)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45 (57.0%)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0.547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C+/D-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(19.4%)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(28.6%)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(12.5%)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14 (17.7%)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0.637</w:t>
            </w:r>
          </w:p>
        </w:tc>
      </w:tr>
      <w:tr>
        <w:tblPrEx>
          <w:shd w:val="clear" w:color="auto" w:fill="auto"/>
        </w:tblPrEx>
        <w:trPr>
          <w:trHeight w:val="215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C+/NA</w:t>
            </w:r>
          </w:p>
        </w:tc>
        <w:tc>
          <w:tcPr>
            <w:tcW w:type="dxa" w:w="144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(50.0%)</w:t>
            </w:r>
          </w:p>
        </w:tc>
        <w:tc>
          <w:tcPr>
            <w:tcW w:type="dxa" w:w="160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 (22.6%)</w:t>
            </w:r>
          </w:p>
        </w:tc>
        <w:tc>
          <w:tcPr>
            <w:tcW w:type="dxa" w:w="1625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(14.3%)</w:t>
            </w:r>
          </w:p>
        </w:tc>
        <w:tc>
          <w:tcPr>
            <w:tcW w:type="dxa" w:w="171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(25.0%)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18 (22.8%)</w:t>
            </w:r>
          </w:p>
        </w:tc>
        <w:tc>
          <w:tcPr>
            <w:tcW w:type="dxa" w:w="357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0.654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399"/>
            <w:vMerge w:val="continue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</w:tcPr>
          <w:p/>
        </w:tc>
        <w:tc>
          <w:tcPr>
            <w:tcW w:type="dxa" w:w="1383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Total  </w:t>
            </w:r>
          </w:p>
        </w:tc>
        <w:tc>
          <w:tcPr>
            <w:tcW w:type="dxa" w:w="144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(100.0%)</w:t>
            </w:r>
          </w:p>
        </w:tc>
        <w:tc>
          <w:tcPr>
            <w:tcW w:type="dxa" w:w="160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 (100.0%)</w:t>
            </w:r>
          </w:p>
        </w:tc>
        <w:tc>
          <w:tcPr>
            <w:tcW w:type="dxa" w:w="1625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14 (100.0%)</w:t>
            </w:r>
          </w:p>
        </w:tc>
        <w:tc>
          <w:tcPr>
            <w:tcW w:type="dxa" w:w="171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32 (100.0%)</w:t>
            </w:r>
          </w:p>
        </w:tc>
        <w:tc>
          <w:tcPr>
            <w:tcW w:type="dxa" w:w="1830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79 (100%)</w:t>
            </w:r>
          </w:p>
        </w:tc>
        <w:tc>
          <w:tcPr>
            <w:tcW w:type="dxa" w:w="357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4"/>
            <w:tcBorders>
              <w:top w:val="nil"/>
              <w:left w:val="nil"/>
              <w:bottom w:val="single" w:color="b41700" w:sz="12" w:space="0" w:shadow="0" w:frame="0"/>
              <w:right w:val="nil"/>
            </w:tcBorders>
            <w:shd w:val="clear" w:color="auto" w:fill="f6f4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565" w:hRule="atLeast"/>
        </w:trPr>
        <w:tc>
          <w:tcPr>
            <w:tcW w:type="dxa" w:w="13942"/>
            <w:gridSpan w:val="9"/>
            <w:tcBorders>
              <w:top w:val="single" w:color="b41700" w:sz="12" w:space="0" w:shadow="0" w:frame="0"/>
              <w:left w:val="nil"/>
              <w:bottom w:val="single" w:color="b41700" w:sz="12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Note: "C-/D+" denotes cases with diffusion restriction but minimal or no postcontrast enhancement, while "C+/NA" indicates postcontrast enhancement with unavailable diffusion information due to the absence of a DWI sequence.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superscript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percentage and corresponding p-value for each metastatic site (categorized into 6 classes as listed below) were computed specifically among subjects exhibiting intracranial solid metastases.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superscript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percentage and corresponding p-value for each signal pattern of ependymal metastases were computed among subjects exhibiting ependymal metastases.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superscript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percentage and corresponding p-value were computed within subjects exhibiting intracranial solid metastases.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superscript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Percentages may exceed 100% due to certain subjects exhibiting two metastases with different signal patterns.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*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pt-P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= 0.01-0.05, **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= 0.001-0.01, ***P = 0.0001-0.001, ****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&lt; 0.0001. Key abbreviation: 3rd. V.I.R. = the third ventricular infundibular recess.</w:t>
            </w:r>
          </w:p>
        </w:tc>
      </w:tr>
    </w:tbl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sectPr>
          <w:headerReference w:type="default" r:id="rId4"/>
          <w:footerReference w:type="default" r:id="rId5"/>
          <w:pgSz w:w="56693" w:h="45354" w:orient="landscape"/>
          <w:pgMar w:top="1134" w:right="1134" w:bottom="1134" w:left="1134" w:header="709" w:footer="850"/>
          <w:bidi w:val="0"/>
        </w:sectPr>
      </w:pPr>
    </w:p>
    <w:p>
      <w:pPr>
        <w:pStyle w:val="Body"/>
        <w:bidi w:val="0"/>
      </w:pPr>
      <w:r/>
    </w:p>
    <w:sectPr>
      <w:headerReference w:type="default" r:id="rId6"/>
      <w:pgSz w:w="56693" w:h="45354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  <w:rPr>
        <w:rFonts w:ascii="Helvetica" w:cs="Arial Unicode MS" w:hAnsi="Helvetica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shd w:val="nil" w:color="auto" w:fill="auto"/>
        <w:vertAlign w:val="baseline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</w:pPr>
    <w:r>
      <w:rPr>
        <w:rFonts w:ascii="Helvetica" w:cs="Arial Unicode MS" w:hAnsi="Helvetica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shd w:val="nil" w:color="auto" w:fill="auto"/>
        <w:vertAlign w:val="baseline"/>
        <w:lang w:val="en-US"/>
        <w14:textOutline>
          <w14:noFill/>
        </w14:textOutline>
        <w14:textFill>
          <w14:solidFill>
            <w14:srgbClr w14:val="000000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  <w:rPr>
        <w:rFonts w:ascii="Helvetica" w:cs="Arial Unicode MS" w:hAnsi="Helvetica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shd w:val="nil" w:color="auto" w:fill="auto"/>
        <w:vertAlign w:val="baseline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</w:pPr>
    <w:r>
      <w:rPr>
        <w:rFonts w:ascii="Helvetica" w:cs="Arial Unicode MS" w:hAnsi="Helvetica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shd w:val="nil" w:color="auto" w:fill="auto"/>
        <w:vertAlign w:val="baseline"/>
        <w:lang w:val="en-US"/>
        <w14:textOutline>
          <w14:noFill/>
        </w14:textOutline>
        <w14:textFill>
          <w14:solidFill>
            <w14:srgbClr w14:val="000000"/>
          </w14:solidFill>
        </w14:textFill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