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D21" w14:textId="14E0CCB6" w:rsidR="004D4E4B" w:rsidRDefault="004D4E4B">
      <w:r>
        <w:t>Manuale MSD-5 – Criteri ADHD</w:t>
      </w:r>
    </w:p>
    <w:p w14:paraId="2EE44E4C" w14:textId="0B03589B" w:rsidR="004D4E4B" w:rsidRDefault="004D4E4B">
      <w:r w:rsidRPr="004D4E4B">
        <w:t>https://www.msdmanuals.com/it-it/professionale/pediatria/disturbi-dell-apprendimento-e-dello-sviluppo/disturbo-da-deficit-di-attenzione-iperattivit%C3%A0</w:t>
      </w:r>
    </w:p>
    <w:p w14:paraId="1BA3A208" w14:textId="77777777" w:rsidR="004D4E4B" w:rsidRDefault="004D4E4B"/>
    <w:p w14:paraId="06388AE5" w14:textId="079C8B96" w:rsidR="00E64C79" w:rsidRDefault="00D33EB4">
      <w:r>
        <w:t>Test scientificamente validi:</w:t>
      </w:r>
    </w:p>
    <w:p w14:paraId="24AEB6FD" w14:textId="0633C2FB" w:rsidR="00D33EB4" w:rsidRDefault="00D33EB4" w:rsidP="000068E0">
      <w:pPr>
        <w:pStyle w:val="Paragrafoelenco"/>
        <w:numPr>
          <w:ilvl w:val="0"/>
          <w:numId w:val="7"/>
        </w:numPr>
      </w:pPr>
      <w:r>
        <w:t>CPT3</w:t>
      </w:r>
      <w:r w:rsidR="000068E0">
        <w:t xml:space="preserve"> e CATA</w:t>
      </w:r>
    </w:p>
    <w:p w14:paraId="79EA68F1" w14:textId="7B2B9D23" w:rsidR="00D33EB4" w:rsidRDefault="00D367BA" w:rsidP="00D33EB4">
      <w:hyperlink r:id="rId5" w:history="1">
        <w:r w:rsidR="00163AEB" w:rsidRPr="00F2754B">
          <w:rPr>
            <w:rStyle w:val="Collegamentoipertestuale"/>
          </w:rPr>
          <w:t>https://journals.sagepub.com/doi/10.1177/1087054719887433</w:t>
        </w:r>
      </w:hyperlink>
      <w:r w:rsidR="004D4E4B">
        <w:t xml:space="preserve"> -- indagano più sintomi </w:t>
      </w:r>
      <w:proofErr w:type="spellStart"/>
      <w:r w:rsidR="004D4E4B">
        <w:t>dell</w:t>
      </w:r>
      <w:proofErr w:type="spellEnd"/>
      <w:r w:rsidR="004D4E4B">
        <w:t xml:space="preserve"> DSM-5</w:t>
      </w:r>
    </w:p>
    <w:p w14:paraId="748FDBDE" w14:textId="3EB037AA" w:rsidR="00163AEB" w:rsidRDefault="00163AEB" w:rsidP="00D33EB4">
      <w:r>
        <w:t>Tali test possono essere applicati agli</w:t>
      </w:r>
      <w:r w:rsidR="00860B83">
        <w:t xml:space="preserve"> individui di età compresa da 6/8 a 18.</w:t>
      </w:r>
    </w:p>
    <w:p w14:paraId="09545CD6" w14:textId="047A3CB0" w:rsidR="00860B83" w:rsidRDefault="00860B83" w:rsidP="00D33EB4"/>
    <w:p w14:paraId="6076CF3A" w14:textId="66463D71" w:rsidR="00860B83" w:rsidRDefault="00860B83" w:rsidP="00D33EB4">
      <w:r>
        <w:t>Test scientificamente non validi:</w:t>
      </w:r>
    </w:p>
    <w:p w14:paraId="7D1A6769" w14:textId="5E69CA0A" w:rsidR="00860B83" w:rsidRDefault="00860B83" w:rsidP="000068E0">
      <w:pPr>
        <w:pStyle w:val="Paragrafoelenco"/>
        <w:numPr>
          <w:ilvl w:val="0"/>
          <w:numId w:val="7"/>
        </w:numPr>
      </w:pPr>
      <w:r>
        <w:t>QB Test (</w:t>
      </w:r>
      <w:r w:rsidRPr="00860B83">
        <w:t>https://www.youtube.com/</w:t>
      </w:r>
      <w:proofErr w:type="spellStart"/>
      <w:r w:rsidRPr="00860B83">
        <w:t>watch?v</w:t>
      </w:r>
      <w:proofErr w:type="spellEnd"/>
      <w:r w:rsidRPr="00860B83">
        <w:t>=02UqEGIOJO0</w:t>
      </w:r>
      <w:r>
        <w:t>)</w:t>
      </w:r>
    </w:p>
    <w:p w14:paraId="6CD1CFFD" w14:textId="2EC18B15" w:rsidR="00860B83" w:rsidRDefault="00D367BA" w:rsidP="00860B83">
      <w:hyperlink r:id="rId6" w:history="1">
        <w:r w:rsidR="00860B83" w:rsidRPr="00F2754B">
          <w:rPr>
            <w:rStyle w:val="Collegamentoipertestuale"/>
          </w:rPr>
          <w:t>https://journals.sagepub.com/doi/10.1177/1087054718787034</w:t>
        </w:r>
      </w:hyperlink>
    </w:p>
    <w:p w14:paraId="42CBB36E" w14:textId="0D339E33" w:rsidR="00860B83" w:rsidRDefault="00D367BA" w:rsidP="00860B83">
      <w:hyperlink r:id="rId7" w:history="1">
        <w:r w:rsidR="000F0007" w:rsidRPr="00F2754B">
          <w:rPr>
            <w:rStyle w:val="Collegamentoipertestuale"/>
          </w:rPr>
          <w:t>https://pubmed.ncbi.nlm.nih.gov/26224575/</w:t>
        </w:r>
      </w:hyperlink>
    </w:p>
    <w:p w14:paraId="10EC734F" w14:textId="64CE5EF8" w:rsidR="000F0007" w:rsidRDefault="00D367BA" w:rsidP="00860B83">
      <w:hyperlink r:id="rId8" w:history="1">
        <w:r w:rsidR="000F0007" w:rsidRPr="00F2754B">
          <w:rPr>
            <w:rStyle w:val="Collegamentoipertestuale"/>
          </w:rPr>
          <w:t>https://pubmed.ncbi.nlm.nih.gov/35038458/</w:t>
        </w:r>
      </w:hyperlink>
      <w:r w:rsidR="000F0007">
        <w:t xml:space="preserve"> -- non bastano</w:t>
      </w:r>
    </w:p>
    <w:p w14:paraId="5C1E2F1A" w14:textId="0D01DE93" w:rsidR="004D4E4B" w:rsidRDefault="004D4E4B" w:rsidP="00860B83"/>
    <w:p w14:paraId="2B7F3A62" w14:textId="637EC2FE" w:rsidR="004C01A9" w:rsidRDefault="004C01A9" w:rsidP="00860B83">
      <w:r>
        <w:br w:type="page"/>
      </w:r>
    </w:p>
    <w:p w14:paraId="110B63E4" w14:textId="4D522AA9" w:rsidR="004C01A9" w:rsidRDefault="004C01A9" w:rsidP="00860B83">
      <w:r>
        <w:lastRenderedPageBreak/>
        <w:t>Il disturbo dell’attenzione/iperattività vede la comparsa dei primi sintomi dei primi 4 anni d’età (non più di 12 anni). Una generale diagnosi viene essere svolta intorno ai 8-10 anni.</w:t>
      </w:r>
    </w:p>
    <w:p w14:paraId="643B67E4" w14:textId="687837A3" w:rsidR="004C01A9" w:rsidRDefault="004C01A9" w:rsidP="00860B83">
      <w:r>
        <w:t>\\ CPT3 a CATA diagnosticano il disturbo dopo i 6 (da parte dei genitori/insegnanti) e gli 8 (autovalutazione)</w:t>
      </w:r>
    </w:p>
    <w:p w14:paraId="66FB4559" w14:textId="666A7400" w:rsidR="004C01A9" w:rsidRDefault="004C01A9" w:rsidP="00860B83">
      <w:r>
        <w:t>** Creare un test somministrabile sotto gli 8 per un’autovalutazione.</w:t>
      </w:r>
    </w:p>
    <w:p w14:paraId="0E622678" w14:textId="6F7CE5E8" w:rsidR="004C01A9" w:rsidRDefault="004C01A9" w:rsidP="00860B83">
      <w:r>
        <w:t xml:space="preserve">I test svolti in periodo </w:t>
      </w:r>
      <w:proofErr w:type="gramStart"/>
      <w:r>
        <w:t>pre-adolescenziale</w:t>
      </w:r>
      <w:proofErr w:type="gramEnd"/>
      <w:r>
        <w:t xml:space="preserve"> servono per una </w:t>
      </w:r>
      <w:r w:rsidR="00313044">
        <w:t>diagnosi generale, in quando il disturbo dell’attenzione è diagnosticabile solo dopo l’adolescenza.</w:t>
      </w:r>
    </w:p>
    <w:p w14:paraId="258CF57C" w14:textId="36165EC8" w:rsidR="00313044" w:rsidRDefault="00313044" w:rsidP="00860B83">
      <w:r>
        <w:t>** Creazione di un test di screening</w:t>
      </w:r>
    </w:p>
    <w:p w14:paraId="06A620CE" w14:textId="77777777" w:rsidR="00313044" w:rsidRPr="00313044" w:rsidRDefault="00313044" w:rsidP="00313044">
      <w:r w:rsidRPr="00313044">
        <w:t>La sintomatologia principale del disturbo da deficit di attenzione/iperattività è rappresentata da</w:t>
      </w:r>
    </w:p>
    <w:p w14:paraId="2E453CCE" w14:textId="11D19AE9" w:rsidR="00313044" w:rsidRPr="00313044" w:rsidRDefault="00313044" w:rsidP="000068E0">
      <w:pPr>
        <w:pStyle w:val="Paragrafoelenco"/>
        <w:numPr>
          <w:ilvl w:val="0"/>
          <w:numId w:val="7"/>
        </w:numPr>
      </w:pPr>
      <w:r w:rsidRPr="00313044">
        <w:t>Disattenzione</w:t>
      </w:r>
    </w:p>
    <w:p w14:paraId="313A66A1" w14:textId="61F00CA4" w:rsidR="00313044" w:rsidRPr="00313044" w:rsidRDefault="00313044" w:rsidP="000068E0">
      <w:pPr>
        <w:pStyle w:val="Paragrafoelenco"/>
        <w:numPr>
          <w:ilvl w:val="0"/>
          <w:numId w:val="7"/>
        </w:numPr>
      </w:pPr>
      <w:r w:rsidRPr="00313044">
        <w:t>Impulsività</w:t>
      </w:r>
    </w:p>
    <w:p w14:paraId="28800662" w14:textId="37A3EAFA" w:rsidR="00313044" w:rsidRPr="00313044" w:rsidRDefault="00313044" w:rsidP="000068E0">
      <w:pPr>
        <w:pStyle w:val="Paragrafoelenco"/>
        <w:numPr>
          <w:ilvl w:val="0"/>
          <w:numId w:val="7"/>
        </w:numPr>
      </w:pPr>
      <w:r w:rsidRPr="00313044">
        <w:t>Iperattività</w:t>
      </w:r>
    </w:p>
    <w:p w14:paraId="5281938D" w14:textId="2892A4F9" w:rsidR="00313044" w:rsidRPr="00313044" w:rsidRDefault="00313044" w:rsidP="00313044">
      <w:r w:rsidRPr="00313044">
        <w:t>La</w:t>
      </w:r>
      <w:r>
        <w:t xml:space="preserve"> </w:t>
      </w:r>
      <w:r w:rsidRPr="00313044">
        <w:rPr>
          <w:b/>
          <w:bCs/>
        </w:rPr>
        <w:t>disattenzione</w:t>
      </w:r>
      <w:r>
        <w:t xml:space="preserve"> </w:t>
      </w:r>
      <w:r w:rsidRPr="00313044">
        <w:t>si rende manifesta quando il bambino è coinvolto in compiti che richiedono concentrazione, tempi di reazione rapidi, capacità di attenzione selettiva visiva e percettiva, di ascolto complessivo e selettivo per un tempo prolungato.</w:t>
      </w:r>
    </w:p>
    <w:p w14:paraId="500659AB" w14:textId="65CD5D6C" w:rsidR="00313044" w:rsidRPr="00313044" w:rsidRDefault="00313044" w:rsidP="00313044">
      <w:r w:rsidRPr="00313044">
        <w:t>L'impulsività</w:t>
      </w:r>
      <w:r>
        <w:t xml:space="preserve"> </w:t>
      </w:r>
      <w:r w:rsidRPr="00313044">
        <w:t>si riferisce ad azioni affrettate che hanno il potenziale per un esito negativo (p. es., nei bambini, che attraversano una strada senza guardare, negli adolescenti e negli adulti, che improvvisamente interrompono la scuola o lasciano un posto di lavoro senza pensare alle conseguenze).</w:t>
      </w:r>
    </w:p>
    <w:p w14:paraId="1EAADFF9" w14:textId="34D89D8E" w:rsidR="00313044" w:rsidRPr="00313044" w:rsidRDefault="00313044" w:rsidP="00313044">
      <w:r w:rsidRPr="00313044">
        <w:t>L'iperattività</w:t>
      </w:r>
      <w:r>
        <w:t xml:space="preserve"> </w:t>
      </w:r>
      <w:r w:rsidRPr="00313044">
        <w:t>comporta un'eccessiva attività motoria. I bambini, in particolare i più giovani, possono avere difficoltà a sedere tranquillamente quando dovrebbero (p. es., a scuola o in chiesa). I pazienti più anziani possono semplicemente essere irrequieti, agitati o loquaci, a volte al punto che gli altri si sentono esausti al solo guardarli.</w:t>
      </w:r>
    </w:p>
    <w:p w14:paraId="133EE94A" w14:textId="136BD32B" w:rsidR="00313044" w:rsidRDefault="00313044" w:rsidP="00860B83">
      <w:r>
        <w:t>\\ CTP3 e CATA si basano su questionari</w:t>
      </w:r>
    </w:p>
    <w:p w14:paraId="2A90CC8C" w14:textId="7103EC01" w:rsidR="00313044" w:rsidRDefault="00313044" w:rsidP="00860B83">
      <w:r>
        <w:t>** Valutare la disattenzione, implemento con un sensore di movimento per valutare l’iperattività durante lo svolgimento del test.</w:t>
      </w:r>
    </w:p>
    <w:p w14:paraId="3E81E051" w14:textId="17876A4E" w:rsidR="002752DF" w:rsidRDefault="002752DF" w:rsidP="00860B83"/>
    <w:p w14:paraId="4105F4DF" w14:textId="1DF05E37" w:rsidR="002752DF" w:rsidRDefault="002752DF" w:rsidP="00860B83">
      <w:r>
        <w:t>Diagnosi da non confondere con il disturbo dello spettro autistico e della condotta.</w:t>
      </w:r>
    </w:p>
    <w:p w14:paraId="295B2F36" w14:textId="28803539" w:rsidR="002752DF" w:rsidRDefault="002752DF" w:rsidP="00860B83">
      <w:r>
        <w:t xml:space="preserve">** Raffinatezza dello strumento nel corso </w:t>
      </w:r>
      <w:proofErr w:type="gramStart"/>
      <w:r>
        <w:t>dei tempo</w:t>
      </w:r>
      <w:proofErr w:type="gramEnd"/>
      <w:r>
        <w:t xml:space="preserve"> o capacità dello strumento di misurare più sintomi contemporaneamente esclusivi.</w:t>
      </w:r>
    </w:p>
    <w:p w14:paraId="497F9EB6" w14:textId="3FF87B9E" w:rsidR="00E317B8" w:rsidRDefault="00E317B8">
      <w:r>
        <w:br w:type="page"/>
      </w:r>
    </w:p>
    <w:p w14:paraId="2C78AB63" w14:textId="77777777" w:rsidR="00E317B8" w:rsidRPr="00E317B8" w:rsidRDefault="00E317B8" w:rsidP="00E317B8">
      <w:pPr>
        <w:rPr>
          <w:b/>
          <w:bCs/>
        </w:rPr>
      </w:pPr>
      <w:r w:rsidRPr="00E317B8">
        <w:rPr>
          <w:b/>
          <w:bCs/>
        </w:rPr>
        <w:lastRenderedPageBreak/>
        <w:t>Criteri del DSM-5 per la diagnosi di disturbo da deficit di attenzione/iperattività</w:t>
      </w:r>
    </w:p>
    <w:p w14:paraId="2C53D16E" w14:textId="07E25D8A" w:rsidR="00E317B8" w:rsidRPr="00E317B8" w:rsidRDefault="00E317B8" w:rsidP="00E317B8">
      <w:r w:rsidRPr="00E317B8">
        <w:t>I criteri diagnostici di DSM-5 comprendono 9 sintomi e segni di disattenzione e 9 di iperattività e impulsività. La diagnosi con questi criteri richiede ≥ 6 sintomi e segni da uno o ciascun gruppo. Inoltre, i sintomi devono</w:t>
      </w:r>
      <w:r>
        <w:t>:</w:t>
      </w:r>
    </w:p>
    <w:p w14:paraId="269621FC" w14:textId="0992B8FD" w:rsidR="00E317B8" w:rsidRPr="00E317B8" w:rsidRDefault="00E317B8" w:rsidP="000068E0">
      <w:pPr>
        <w:pStyle w:val="Paragrafoelenco"/>
        <w:numPr>
          <w:ilvl w:val="0"/>
          <w:numId w:val="8"/>
        </w:numPr>
      </w:pPr>
      <w:r w:rsidRPr="00E317B8">
        <w:t>Essere presenti spesso per ≥ 6 mesi</w:t>
      </w:r>
    </w:p>
    <w:p w14:paraId="68A27CC9" w14:textId="3A6FC111" w:rsidR="00E317B8" w:rsidRPr="00E317B8" w:rsidRDefault="00E317B8" w:rsidP="000068E0">
      <w:pPr>
        <w:pStyle w:val="Paragrafoelenco"/>
        <w:numPr>
          <w:ilvl w:val="0"/>
          <w:numId w:val="8"/>
        </w:numPr>
      </w:pPr>
      <w:r w:rsidRPr="00E317B8">
        <w:t>Essere molto più evidenti rispetto a quanto atteso per un bambino di pari sviluppo</w:t>
      </w:r>
    </w:p>
    <w:p w14:paraId="3C9A2CB9" w14:textId="0D7E9B07" w:rsidR="00E317B8" w:rsidRPr="00E317B8" w:rsidRDefault="00E317B8" w:rsidP="000068E0">
      <w:pPr>
        <w:pStyle w:val="Paragrafoelenco"/>
        <w:numPr>
          <w:ilvl w:val="0"/>
          <w:numId w:val="8"/>
        </w:numPr>
      </w:pPr>
      <w:r w:rsidRPr="00E317B8">
        <w:t xml:space="preserve">Verificarsi in almeno </w:t>
      </w:r>
      <w:proofErr w:type="gramStart"/>
      <w:r w:rsidRPr="00E317B8">
        <w:t>2</w:t>
      </w:r>
      <w:proofErr w:type="gramEnd"/>
      <w:r w:rsidRPr="00E317B8">
        <w:t xml:space="preserve"> situazioni (p. es., a casa e a scuola)</w:t>
      </w:r>
    </w:p>
    <w:p w14:paraId="01B278CC" w14:textId="553FBC70" w:rsidR="00E317B8" w:rsidRPr="00E317B8" w:rsidRDefault="00E317B8" w:rsidP="000068E0">
      <w:pPr>
        <w:pStyle w:val="Paragrafoelenco"/>
        <w:numPr>
          <w:ilvl w:val="0"/>
          <w:numId w:val="8"/>
        </w:numPr>
      </w:pPr>
      <w:r w:rsidRPr="00E317B8">
        <w:t>Essere presenti prima dei 12 anni (almeno alcuni sintomi)</w:t>
      </w:r>
    </w:p>
    <w:p w14:paraId="36D0D771" w14:textId="2E682168" w:rsidR="00E317B8" w:rsidRPr="00E317B8" w:rsidRDefault="00E317B8" w:rsidP="000068E0">
      <w:pPr>
        <w:pStyle w:val="Paragrafoelenco"/>
        <w:numPr>
          <w:ilvl w:val="0"/>
          <w:numId w:val="8"/>
        </w:numPr>
      </w:pPr>
      <w:r w:rsidRPr="00E317B8">
        <w:t>Interferire con le funzionalità a casa, a scuola o al lavoro</w:t>
      </w:r>
    </w:p>
    <w:p w14:paraId="04E5DFC6" w14:textId="77777777" w:rsidR="00E317B8" w:rsidRPr="00E317B8" w:rsidRDefault="00E317B8" w:rsidP="00E317B8">
      <w:r w:rsidRPr="00E317B8">
        <w:t>Sintomi di disattenzione:</w:t>
      </w:r>
    </w:p>
    <w:p w14:paraId="01C6719F" w14:textId="4650BAB5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Non presta attenzione ai particolari o commette errori di distrazione nei compiti scolastici o con altre attività</w:t>
      </w:r>
    </w:p>
    <w:p w14:paraId="35018733" w14:textId="69CD47A2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Ha difficoltà nello stare attento durante i compiti a scuola o durante il gioco</w:t>
      </w:r>
    </w:p>
    <w:p w14:paraId="16AC9057" w14:textId="7218A65D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Non sembra ascoltare quando gli si parla direttamente</w:t>
      </w:r>
    </w:p>
    <w:p w14:paraId="752A17CB" w14:textId="74886C75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Ha difficoltà a seguire le istruzioni o non completa i compiti richiesti</w:t>
      </w:r>
    </w:p>
    <w:p w14:paraId="6ADFBDCE" w14:textId="5BED533F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Ha difficoltà nell'organizzazione di compiti e attività</w:t>
      </w:r>
    </w:p>
    <w:p w14:paraId="248179CE" w14:textId="26083BFA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Evita, si disinteressa, oppure rifiuta di svolgere compiti che richiedono un'attività mentale sostenuta per un lungo periodo di tempo</w:t>
      </w:r>
    </w:p>
    <w:p w14:paraId="162A91F4" w14:textId="6259C8F4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Spesso perde le cose necessarie per i compiti scolastici o per le attività</w:t>
      </w:r>
    </w:p>
    <w:p w14:paraId="7A2E075E" w14:textId="51E1909E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Si distrae facilmente</w:t>
      </w:r>
    </w:p>
    <w:p w14:paraId="52DD9729" w14:textId="4DD84313" w:rsidR="00E317B8" w:rsidRPr="00E317B8" w:rsidRDefault="00E317B8" w:rsidP="008A5335">
      <w:pPr>
        <w:pStyle w:val="Paragrafoelenco"/>
        <w:numPr>
          <w:ilvl w:val="0"/>
          <w:numId w:val="6"/>
        </w:numPr>
      </w:pPr>
      <w:r w:rsidRPr="00E317B8">
        <w:t>È sbadato nelle attività quotidiane</w:t>
      </w:r>
    </w:p>
    <w:p w14:paraId="19FCDD08" w14:textId="77777777" w:rsidR="00E317B8" w:rsidRPr="00E317B8" w:rsidRDefault="00E317B8" w:rsidP="00E317B8">
      <w:r w:rsidRPr="00E317B8">
        <w:t>Sintomi di iperattività e impulsività:</w:t>
      </w:r>
    </w:p>
    <w:p w14:paraId="14B84D48" w14:textId="68A1B09E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Spesso muove le mani o i piedi o non riesce a stare seduto</w:t>
      </w:r>
    </w:p>
    <w:p w14:paraId="7D7980AB" w14:textId="6D70A2E2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Si alza in classe o in situazioni in cui ci si aspetta rimanga seduto</w:t>
      </w:r>
    </w:p>
    <w:p w14:paraId="394A2532" w14:textId="1EBD826A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Corre in giro o si arrampica eccessivamente quando tali attività sono inappropriate</w:t>
      </w:r>
    </w:p>
    <w:p w14:paraId="6C81B96A" w14:textId="1BF0BBD2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Ha difficoltà a giocare in attività tranquille</w:t>
      </w:r>
    </w:p>
    <w:p w14:paraId="47B317EF" w14:textId="66DF517A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Si muove in continuazione come se fosse caricato da una molla</w:t>
      </w:r>
    </w:p>
    <w:p w14:paraId="3CAA128D" w14:textId="030A0B35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Parla eccessivamente</w:t>
      </w:r>
    </w:p>
    <w:p w14:paraId="6396862F" w14:textId="3619AE59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Spesso risponde ancor prima che le domande siano completate</w:t>
      </w:r>
    </w:p>
    <w:p w14:paraId="20A6A68C" w14:textId="66E97264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Ha difficoltà ad aspettare il proprio turno</w:t>
      </w:r>
    </w:p>
    <w:p w14:paraId="34500ACC" w14:textId="752781D3" w:rsidR="00E317B8" w:rsidRPr="00E317B8" w:rsidRDefault="00E317B8" w:rsidP="00E317B8">
      <w:pPr>
        <w:pStyle w:val="Paragrafoelenco"/>
        <w:numPr>
          <w:ilvl w:val="0"/>
          <w:numId w:val="1"/>
        </w:numPr>
      </w:pPr>
      <w:r w:rsidRPr="00E317B8">
        <w:t>Spesso interrompe o si comporta in maniera invadente</w:t>
      </w:r>
    </w:p>
    <w:p w14:paraId="7DBB07F3" w14:textId="77777777" w:rsidR="00E317B8" w:rsidRPr="00E317B8" w:rsidRDefault="00E317B8" w:rsidP="00E317B8">
      <w:r w:rsidRPr="00E317B8">
        <w:t>La diagnosi del tipo disattento predominante richiede ≥ 6 sintomi di disattenzione. La diagnosi del tipo iperattivo/impulsivo richiede ≥ 6 sintomi e segni d'iperattività e di impulsività. La diagnosi del tipo combinato richiede ≥ 6 sintomi tra quelli di disattenzione e di iperattività/impulsività.</w:t>
      </w:r>
    </w:p>
    <w:p w14:paraId="4EC953B6" w14:textId="39AD5BBA" w:rsidR="00313044" w:rsidRDefault="008A5335" w:rsidP="00860B83">
      <w:r>
        <w:t>**</w:t>
      </w:r>
      <w:r w:rsidR="007E5E9B">
        <w:t xml:space="preserve">test con </w:t>
      </w:r>
      <w:r w:rsidR="00687DDC">
        <w:t>forme colorate:</w:t>
      </w:r>
    </w:p>
    <w:p w14:paraId="1062FFBB" w14:textId="56F9F362" w:rsidR="00687DDC" w:rsidRDefault="00687DDC" w:rsidP="00687DDC">
      <w:pPr>
        <w:pStyle w:val="Paragrafoelenco"/>
        <w:numPr>
          <w:ilvl w:val="0"/>
          <w:numId w:val="7"/>
        </w:numPr>
      </w:pPr>
      <w:r>
        <w:t>Riconoscimento tra un gruppo di forme complicandole man mano e allungandone il tempo (1.1,1.2);</w:t>
      </w:r>
    </w:p>
    <w:p w14:paraId="775E5323" w14:textId="112A421D" w:rsidR="00687DDC" w:rsidRDefault="00687DDC" w:rsidP="00687DDC">
      <w:pPr>
        <w:pStyle w:val="Paragrafoelenco"/>
        <w:numPr>
          <w:ilvl w:val="0"/>
          <w:numId w:val="7"/>
        </w:numPr>
      </w:pPr>
      <w:r>
        <w:t>Possibilità di smettere il test (1.6);</w:t>
      </w:r>
    </w:p>
    <w:p w14:paraId="1D36FE4C" w14:textId="54B38F22" w:rsidR="00E643C8" w:rsidRDefault="00E643C8" w:rsidP="00687DDC">
      <w:pPr>
        <w:pStyle w:val="Paragrafoelenco"/>
        <w:numPr>
          <w:ilvl w:val="0"/>
          <w:numId w:val="7"/>
        </w:numPr>
      </w:pPr>
      <w:r>
        <w:t>Tempo di svolgimento del singolo riconoscimento delle figure (1.8);</w:t>
      </w:r>
    </w:p>
    <w:p w14:paraId="5B1FC237" w14:textId="5D6CC59B" w:rsidR="00E643C8" w:rsidRDefault="00E643C8" w:rsidP="00E643C8">
      <w:pPr>
        <w:pStyle w:val="Paragrafoelenco"/>
        <w:numPr>
          <w:ilvl w:val="0"/>
          <w:numId w:val="7"/>
        </w:numPr>
      </w:pPr>
      <w:r>
        <w:t>Sensore di movimento della mano (2.1);</w:t>
      </w:r>
    </w:p>
    <w:p w14:paraId="30E5AED1" w14:textId="35157A7A" w:rsidR="00E643C8" w:rsidRDefault="00E643C8" w:rsidP="00E643C8">
      <w:pPr>
        <w:pStyle w:val="Paragrafoelenco"/>
        <w:numPr>
          <w:ilvl w:val="0"/>
          <w:numId w:val="7"/>
        </w:numPr>
      </w:pPr>
      <w:r>
        <w:t>Sensore di movimento spaziale (2.1,2.2,2.4);</w:t>
      </w:r>
    </w:p>
    <w:p w14:paraId="514DE9F7" w14:textId="308159D0" w:rsidR="00E643C8" w:rsidRDefault="00D367BA" w:rsidP="00E643C8">
      <w:pPr>
        <w:pStyle w:val="Paragrafoelenco"/>
        <w:numPr>
          <w:ilvl w:val="0"/>
          <w:numId w:val="7"/>
        </w:numPr>
      </w:pPr>
      <w:r>
        <w:t xml:space="preserve"> </w:t>
      </w:r>
      <w:r w:rsidR="00E643C8">
        <w:t>Il gioco riprende tra n minuti (ogni volta più lunghi) con possibilità di smettere (2.8,2.9);</w:t>
      </w:r>
    </w:p>
    <w:sectPr w:rsidR="00E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12CE"/>
    <w:multiLevelType w:val="multilevel"/>
    <w:tmpl w:val="468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3586"/>
    <w:multiLevelType w:val="hybridMultilevel"/>
    <w:tmpl w:val="3E1419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5431"/>
    <w:multiLevelType w:val="hybridMultilevel"/>
    <w:tmpl w:val="8712592A"/>
    <w:lvl w:ilvl="0" w:tplc="778E0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A59BA"/>
    <w:multiLevelType w:val="multilevel"/>
    <w:tmpl w:val="EB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075FD"/>
    <w:multiLevelType w:val="multilevel"/>
    <w:tmpl w:val="89B0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D5CD9"/>
    <w:multiLevelType w:val="hybridMultilevel"/>
    <w:tmpl w:val="6D247580"/>
    <w:lvl w:ilvl="0" w:tplc="ACB672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34DF8"/>
    <w:multiLevelType w:val="multilevel"/>
    <w:tmpl w:val="D88E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B34AC"/>
    <w:multiLevelType w:val="hybridMultilevel"/>
    <w:tmpl w:val="D26628AA"/>
    <w:lvl w:ilvl="0" w:tplc="FC20EAD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4"/>
    <w:rsid w:val="000068E0"/>
    <w:rsid w:val="000F0007"/>
    <w:rsid w:val="00163AEB"/>
    <w:rsid w:val="002752DF"/>
    <w:rsid w:val="00313044"/>
    <w:rsid w:val="004C01A9"/>
    <w:rsid w:val="004D4E4B"/>
    <w:rsid w:val="00687DDC"/>
    <w:rsid w:val="007E5E9B"/>
    <w:rsid w:val="00860B83"/>
    <w:rsid w:val="008A5335"/>
    <w:rsid w:val="00C3364D"/>
    <w:rsid w:val="00D33EB4"/>
    <w:rsid w:val="00D367BA"/>
    <w:rsid w:val="00E317B8"/>
    <w:rsid w:val="00E643C8"/>
    <w:rsid w:val="00E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EBE1"/>
  <w15:chartTrackingRefBased/>
  <w15:docId w15:val="{5E3EB094-E7D5-4EA1-8130-DB529C08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31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3E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3AE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AEB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31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17B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5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50384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62245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10.1177/1087054718787034" TargetMode="External"/><Relationship Id="rId5" Type="http://schemas.openxmlformats.org/officeDocument/2006/relationships/hyperlink" Target="https://journals.sagepub.com/doi/10.1177/10870547198874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Caridi</dc:creator>
  <cp:keywords/>
  <dc:description/>
  <cp:lastModifiedBy>Irene Caridi</cp:lastModifiedBy>
  <cp:revision>4</cp:revision>
  <dcterms:created xsi:type="dcterms:W3CDTF">2022-03-22T18:13:00Z</dcterms:created>
  <dcterms:modified xsi:type="dcterms:W3CDTF">2022-03-22T22:00:00Z</dcterms:modified>
</cp:coreProperties>
</file>