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jpg" ContentType="image/jpeg"/>
  <Override PartName="/word/media/rId27.png" ContentType="image/png"/>
  <Override PartName="/word/media/rId28.png" ContentType="image/png"/>
  <Override PartName="/word/media/rId39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Irene</w:t>
      </w:r>
      <w:r>
        <w:t xml:space="preserve"> </w:t>
      </w:r>
      <w:r>
        <w:t xml:space="preserve">Espinosa-Martos,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comoile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Heading3"/>
      </w:pPr>
      <w:bookmarkStart w:id="30" w:name="with-kable-function"/>
      <w:bookmarkEnd w:id="30"/>
      <w:r>
        <w:t xml:space="preserve">with</w:t>
      </w:r>
      <w:r>
        <w:t xml:space="preserve"> </w:t>
      </w:r>
      <w:r>
        <w:rPr>
          <w:b/>
        </w:rPr>
        <w:t xml:space="preserve">kable 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(mtcars), </w:t>
      </w:r>
      <w:r>
        <w:rPr>
          <w:rStyle w:val="DataTypeTok"/>
        </w:rPr>
        <w:t xml:space="preserve">digits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3.90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3.90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left"/>
            </w:pPr>
            <w:r>
              <w:t xml:space="preserve">21.4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258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left"/>
            </w:pPr>
            <w:r>
              <w:t xml:space="preserve">18.7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3"/>
      </w:pPr>
      <w:bookmarkStart w:id="31" w:name="with-pandoc-formats"/>
      <w:bookmarkEnd w:id="31"/>
      <w:r>
        <w:t xml:space="preserve">with pandoc formats</w:t>
      </w:r>
    </w:p>
    <w:tbl>
      <w:tblPr>
        <w:tblStyle w:val="TableNormal"/>
        <w:tblW w:type="pct" w:w="3611.111111111111"/>
        <w:tblLook w:firstRow="1"/>
      </w:tblPr>
      <w:tblGrid>
        <w:gridCol w:w="1100"/>
        <w:gridCol w:w="990"/>
        <w:gridCol w:w="1100"/>
        <w:gridCol w:w="2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Centered</w:t>
            </w:r>
            <w:r>
              <w:t xml:space="preserve"> </w:t>
            </w: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  <w:r>
              <w:t xml:space="preserve"> </w:t>
            </w:r>
            <w:r>
              <w:t xml:space="preserve">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  <w:r>
              <w:t xml:space="preserve"> </w:t>
            </w:r>
            <w:r>
              <w:t xml:space="preserve">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  <w:r>
              <w:t xml:space="preserve"> </w:t>
            </w:r>
            <w:r>
              <w:t xml:space="preserve">Aligned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left"/>
            </w:pPr>
            <w:r>
              <w:t xml:space="preserve">Example of a row that spans multiple lines.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Here’s another one. Note the blank line between rows.</w:t>
            </w:r>
          </w:p>
        </w:tc>
      </w:tr>
    </w:tbl>
    <w:tbl>
      <w:tblPr>
        <w:tblStyle w:val="TableNormal"/>
        <w:tblW w:type="pct" w:w="3611.1111111111118"/>
        <w:tblLook w:firstRow="1"/>
      </w:tblPr>
      <w:tblGrid>
        <w:gridCol w:w="1100"/>
        <w:gridCol w:w="1100"/>
        <w:gridCol w:w="1100"/>
        <w:gridCol w:w="24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Centered</w:t>
            </w:r>
            <w:r>
              <w:t xml:space="preserve"> </w:t>
            </w: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  <w:r>
              <w:t xml:space="preserve"> </w:t>
            </w:r>
            <w:r>
              <w:t xml:space="preserve">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  <w:r>
              <w:t xml:space="preserve"> </w:t>
            </w:r>
            <w:r>
              <w:t xml:space="preserve">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  <w:r>
              <w:t xml:space="preserve"> </w:t>
            </w:r>
            <w:r>
              <w:t xml:space="preserve">Aligned</w:t>
            </w:r>
          </w:p>
        </w:tc>
      </w:tr>
      <w:tr>
        <w:tc>
          <w:p>
            <w:pPr>
              <w:jc w:val="center"/>
            </w:pPr>
            <w:r>
              <w:t xml:space="preserve">First</w:t>
            </w:r>
          </w:p>
        </w:tc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right"/>
            </w:pPr>
            <w:r>
              <w:t xml:space="preserve">12.0</w:t>
            </w:r>
          </w:p>
        </w:tc>
        <w:tc>
          <w:p>
            <w:pPr>
              <w:jc w:val="left"/>
            </w:pPr>
            <w:r>
              <w:t xml:space="preserve">Example of a row that spans multiple lines.</w:t>
            </w:r>
          </w:p>
        </w:tc>
      </w:tr>
      <w:tr>
        <w:tc>
          <w:p>
            <w:pPr>
              <w:jc w:val="center"/>
            </w:pPr>
            <w:r>
              <w:t xml:space="preserve">Second</w:t>
            </w:r>
          </w:p>
        </w:tc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right"/>
            </w:pPr>
            <w:r>
              <w:t xml:space="preserve">5.0</w:t>
            </w:r>
          </w:p>
        </w:tc>
        <w:tc>
          <w:p>
            <w:pPr>
              <w:jc w:val="left"/>
            </w:pPr>
            <w:r>
              <w:t xml:space="preserve">Here’s another one. Note the blank line between rows.</w:t>
            </w:r>
          </w:p>
        </w:tc>
      </w:tr>
    </w:tbl>
    <w:p>
      <w:pPr>
        <w:pStyle w:val="Heading3"/>
      </w:pPr>
      <w:bookmarkStart w:id="32" w:name="with-stargazer-for-summarizing-regresion-models-and-others-see-stargazer_models-help-page"/>
      <w:bookmarkEnd w:id="32"/>
      <w:r>
        <w:t xml:space="preserve">With</w:t>
      </w:r>
      <w:r>
        <w:t xml:space="preserve"> </w:t>
      </w:r>
      <w:r>
        <w:rPr>
          <w:rStyle w:val="VerbatimChar"/>
        </w:rPr>
        <w:t xml:space="preserve">stargazer()</w:t>
      </w:r>
      <w:r>
        <w:t xml:space="preserve"> </w:t>
      </w:r>
      <w:r>
        <w:t xml:space="preserve">for summarizing regresion models and others (see</w:t>
      </w:r>
      <w:r>
        <w:t xml:space="preserve"> </w:t>
      </w:r>
      <w:r>
        <w:rPr>
          <w:rStyle w:val="VerbatimChar"/>
        </w:rPr>
        <w:t xml:space="preserve">stargazer_models</w:t>
      </w:r>
      <w:r>
        <w:t xml:space="preserve">, help page)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mtcars)</w:t>
      </w:r>
      <w:r>
        <w:br w:type="textWrapping"/>
      </w: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hp, mtcars)</w:t>
      </w:r>
      <w:r>
        <w:br w:type="textWrapping"/>
      </w:r>
      <w:r>
        <w:rPr>
          <w:rStyle w:val="NormalTok"/>
        </w:rPr>
        <w:t xml:space="preserve">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disp, mtcars)</w:t>
      </w:r>
      <w:r>
        <w:br w:type="textWrapping"/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(fit1, fit2, fit3,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 3"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column.separate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mpg</w:t>
      </w:r>
    </w:p>
    <w:p>
      <w:pPr>
        <w:pStyle w:val="Compact"/>
      </w:pPr>
      <w:r>
        <w:t xml:space="preserve">model 1</w:t>
      </w:r>
    </w:p>
    <w:p>
      <w:pPr>
        <w:pStyle w:val="Compact"/>
      </w:pPr>
      <w:r>
        <w:t xml:space="preserve">model 2</w:t>
      </w:r>
    </w:p>
    <w:p>
      <w:pPr>
        <w:pStyle w:val="Compact"/>
      </w:pPr>
      <w:r>
        <w:t xml:space="preserve">model 3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(3)</w:t>
      </w:r>
    </w:p>
    <w:p>
      <w:pPr>
        <w:pStyle w:val="Compact"/>
      </w:pPr>
      <w:r>
        <w:t xml:space="preserve">wt</w:t>
      </w:r>
    </w:p>
    <w:p>
      <w:pPr>
        <w:pStyle w:val="Compact"/>
      </w:pPr>
      <w:r>
        <w:t xml:space="preserve">-5.344</w:t>
      </w:r>
      <w:r>
        <w:t xml:space="preserve">***</w:t>
      </w:r>
    </w:p>
    <w:p>
      <w:pPr>
        <w:pStyle w:val="Compact"/>
      </w:pPr>
      <w:r>
        <w:t xml:space="preserve">-3.878</w:t>
      </w:r>
      <w:r>
        <w:t xml:space="preserve">***</w:t>
      </w:r>
    </w:p>
    <w:p>
      <w:pPr>
        <w:pStyle w:val="Compact"/>
      </w:pPr>
      <w:r>
        <w:t xml:space="preserve">-3.801</w:t>
      </w:r>
      <w:r>
        <w:t xml:space="preserve">***</w:t>
      </w:r>
    </w:p>
    <w:p>
      <w:pPr>
        <w:pStyle w:val="Compact"/>
      </w:pPr>
      <w:r>
        <w:t xml:space="preserve">(0.559)</w:t>
      </w:r>
    </w:p>
    <w:p>
      <w:pPr>
        <w:pStyle w:val="Compact"/>
      </w:pPr>
      <w:r>
        <w:t xml:space="preserve">(0.633)</w:t>
      </w:r>
    </w:p>
    <w:p>
      <w:pPr>
        <w:pStyle w:val="Compact"/>
      </w:pPr>
      <w:r>
        <w:t xml:space="preserve">(1.066)</w:t>
      </w:r>
    </w:p>
    <w:p>
      <w:pPr>
        <w:pStyle w:val="Compact"/>
      </w:pPr>
      <w:r>
        <w:t xml:space="preserve">hp</w:t>
      </w:r>
    </w:p>
    <w:p>
      <w:pPr>
        <w:pStyle w:val="Compact"/>
      </w:pPr>
      <w:r>
        <w:t xml:space="preserve">-0.032</w:t>
      </w:r>
      <w:r>
        <w:t xml:space="preserve">***</w:t>
      </w:r>
    </w:p>
    <w:p>
      <w:pPr>
        <w:pStyle w:val="Compact"/>
      </w:pPr>
      <w:r>
        <w:t xml:space="preserve">-0.031</w:t>
      </w:r>
      <w:r>
        <w:t xml:space="preserve">**</w:t>
      </w:r>
    </w:p>
    <w:p>
      <w:pPr>
        <w:pStyle w:val="Compact"/>
      </w:pPr>
      <w:r>
        <w:t xml:space="preserve">(0.009)</w:t>
      </w:r>
    </w:p>
    <w:p>
      <w:pPr>
        <w:pStyle w:val="Compact"/>
      </w:pPr>
      <w:r>
        <w:t xml:space="preserve">(0.011)</w:t>
      </w:r>
    </w:p>
    <w:p>
      <w:pPr>
        <w:pStyle w:val="Compact"/>
      </w:pPr>
      <w:r>
        <w:t xml:space="preserve">disp</w:t>
      </w:r>
    </w:p>
    <w:p>
      <w:pPr>
        <w:pStyle w:val="Compact"/>
      </w:pPr>
      <w:r>
        <w:t xml:space="preserve">-0.001</w:t>
      </w:r>
    </w:p>
    <w:p>
      <w:pPr>
        <w:pStyle w:val="Compact"/>
      </w:pPr>
      <w:r>
        <w:t xml:space="preserve">(0.010)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37.285</w:t>
      </w:r>
      <w:r>
        <w:t xml:space="preserve">***</w:t>
      </w:r>
    </w:p>
    <w:p>
      <w:pPr>
        <w:pStyle w:val="Compact"/>
      </w:pPr>
      <w:r>
        <w:t xml:space="preserve">37.227</w:t>
      </w:r>
      <w:r>
        <w:t xml:space="preserve">***</w:t>
      </w:r>
    </w:p>
    <w:p>
      <w:pPr>
        <w:pStyle w:val="Compact"/>
      </w:pPr>
      <w:r>
        <w:t xml:space="preserve">37.106</w:t>
      </w:r>
      <w:r>
        <w:t xml:space="preserve">***</w:t>
      </w:r>
    </w:p>
    <w:p>
      <w:pPr>
        <w:pStyle w:val="Compact"/>
      </w:pPr>
      <w:r>
        <w:t xml:space="preserve">(1.878)</w:t>
      </w:r>
    </w:p>
    <w:p>
      <w:pPr>
        <w:pStyle w:val="Compact"/>
      </w:pPr>
      <w:r>
        <w:t xml:space="preserve">(1.599)</w:t>
      </w:r>
    </w:p>
    <w:p>
      <w:pPr>
        <w:pStyle w:val="Compact"/>
      </w:pPr>
      <w:r>
        <w:t xml:space="preserve">(2.111)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0.753</w:t>
      </w:r>
    </w:p>
    <w:p>
      <w:pPr>
        <w:pStyle w:val="Compact"/>
      </w:pPr>
      <w:r>
        <w:t xml:space="preserve">0.827</w:t>
      </w:r>
    </w:p>
    <w:p>
      <w:pPr>
        <w:pStyle w:val="Compact"/>
      </w:pPr>
      <w:r>
        <w:t xml:space="preserve">0.827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0.745</w:t>
      </w:r>
    </w:p>
    <w:p>
      <w:pPr>
        <w:pStyle w:val="Compact"/>
      </w:pPr>
      <w:r>
        <w:t xml:space="preserve">0.815</w:t>
      </w:r>
    </w:p>
    <w:p>
      <w:pPr>
        <w:pStyle w:val="Compact"/>
      </w:pPr>
      <w:r>
        <w:t xml:space="preserve">0.808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3.046 (df = 30)</w:t>
      </w:r>
    </w:p>
    <w:p>
      <w:pPr>
        <w:pStyle w:val="Compact"/>
      </w:pPr>
      <w:r>
        <w:t xml:space="preserve">2.593 (df = 29)</w:t>
      </w:r>
    </w:p>
    <w:p>
      <w:pPr>
        <w:pStyle w:val="Compact"/>
      </w:pPr>
      <w:r>
        <w:t xml:space="preserve">2.639 (df = 28)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91.375</w:t>
      </w:r>
      <w:r>
        <w:t xml:space="preserve">***</w:t>
      </w:r>
      <w:r>
        <w:t xml:space="preserve"> </w:t>
      </w:r>
      <w:r>
        <w:t xml:space="preserve">(df = 1; 30)</w:t>
      </w:r>
    </w:p>
    <w:p>
      <w:pPr>
        <w:pStyle w:val="Compact"/>
      </w:pPr>
      <w:r>
        <w:t xml:space="preserve">69.211</w:t>
      </w:r>
      <w:r>
        <w:t xml:space="preserve">***</w:t>
      </w:r>
      <w:r>
        <w:t xml:space="preserve"> </w:t>
      </w:r>
      <w:r>
        <w:t xml:space="preserve">(df = 2; 29)</w:t>
      </w:r>
    </w:p>
    <w:p>
      <w:pPr>
        <w:pStyle w:val="Compact"/>
      </w:pPr>
      <w:r>
        <w:t xml:space="preserve">44.566</w:t>
      </w:r>
      <w:r>
        <w:t xml:space="preserve">***</w:t>
      </w:r>
      <w:r>
        <w:t xml:space="preserve"> </w:t>
      </w:r>
      <w:r>
        <w:t xml:space="preserve">(df = 3; 28)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Heading4"/>
      </w:pPr>
      <w:bookmarkStart w:id="33" w:name="correlation-matrix-with-stargazer-function"/>
      <w:bookmarkEnd w:id="33"/>
      <w:r>
        <w:t xml:space="preserve">correlation matrix with</w:t>
      </w:r>
      <w:r>
        <w:t xml:space="preserve"> </w:t>
      </w:r>
      <w:r>
        <w:rPr>
          <w:rStyle w:val="VerbatimChar"/>
        </w:rPr>
        <w:t xml:space="preserve">stargazer()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#change type according output : latex, html</w:t>
      </w:r>
      <w:r>
        <w:br w:type="textWrapping"/>
      </w:r>
      <w:r>
        <w:rPr>
          <w:rStyle w:val="NormalTok"/>
        </w:rPr>
        <w:t xml:space="preserve">correlation.matrix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(attitude[,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"complaints"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"privileges"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(correlation.matrix,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"Correlation Matrix"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Correlation Matrix</w:t>
      </w:r>
    </w:p>
    <w:p>
      <w:pPr>
        <w:pStyle w:val="Compact"/>
      </w:pPr>
      <w:r>
        <w:t xml:space="preserve">rating</w:t>
      </w:r>
    </w:p>
    <w:p>
      <w:pPr>
        <w:pStyle w:val="Compact"/>
      </w:pPr>
      <w:r>
        <w:t xml:space="preserve">complaints</w:t>
      </w:r>
    </w:p>
    <w:p>
      <w:pPr>
        <w:pStyle w:val="Compact"/>
      </w:pPr>
      <w:r>
        <w:t xml:space="preserve">privileges</w:t>
      </w:r>
    </w:p>
    <w:p>
      <w:pPr>
        <w:pStyle w:val="Compact"/>
      </w:pPr>
      <w:r>
        <w:t xml:space="preserve">rating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0.825</w:t>
      </w:r>
    </w:p>
    <w:p>
      <w:pPr>
        <w:pStyle w:val="Compact"/>
      </w:pPr>
      <w:r>
        <w:t xml:space="preserve">0.426</w:t>
      </w:r>
    </w:p>
    <w:p>
      <w:pPr>
        <w:pStyle w:val="Compact"/>
      </w:pPr>
      <w:r>
        <w:t xml:space="preserve">complaints</w:t>
      </w:r>
    </w:p>
    <w:p>
      <w:pPr>
        <w:pStyle w:val="Compact"/>
      </w:pPr>
      <w:r>
        <w:t xml:space="preserve">0.825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0.558</w:t>
      </w:r>
    </w:p>
    <w:p>
      <w:pPr>
        <w:pStyle w:val="Compact"/>
      </w:pPr>
      <w:r>
        <w:t xml:space="preserve">privileges</w:t>
      </w:r>
    </w:p>
    <w:p>
      <w:pPr>
        <w:pStyle w:val="Compact"/>
      </w:pPr>
      <w:r>
        <w:t xml:space="preserve">0.426</w:t>
      </w:r>
    </w:p>
    <w:p>
      <w:pPr>
        <w:pStyle w:val="Compact"/>
      </w:pPr>
      <w:r>
        <w:t xml:space="preserve">0.558</w:t>
      </w:r>
    </w:p>
    <w:p>
      <w:pPr>
        <w:pStyle w:val="Compact"/>
      </w:pPr>
      <w:r>
        <w:t xml:space="preserve">1</w:t>
      </w:r>
    </w:p>
    <w:p>
      <w:pPr>
        <w:pStyle w:val="Heading2"/>
      </w:pPr>
      <w:bookmarkStart w:id="34" w:name="insert-an-equation"/>
      <w:bookmarkEnd w:id="34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5" w:name="insert-images"/>
      <w:bookmarkEnd w:id="35"/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Figure"/>
      </w:pPr>
      <w:r>
        <w:drawing>
          <wp:inline>
            <wp:extent cx="4867275" cy="1285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o%20enero20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p>
      <w:pPr>
        <w:pStyle w:val="Heading2"/>
      </w:pPr>
      <w:bookmarkStart w:id="40" w:name="insert-an-animated-gif-and-video-only-works-in-html-formats"/>
      <w:bookmarkEnd w:id="40"/>
      <w:r>
        <w:t xml:space="preserve">Insert an Animated GIF and video (only works in html formats)</w:t>
      </w:r>
    </w:p>
    <w:p>
      <w:pPr>
        <w:pStyle w:val="SourceCode"/>
      </w:pPr>
      <w:r>
        <w:rPr>
          <w:rStyle w:val="CommentTok"/>
        </w:rPr>
        <w:t xml:space="preserve">#![sunstar](sunstar/sunstar.gif)</w:t>
      </w:r>
    </w:p>
    <w:p>
      <w:pPr>
        <w:pStyle w:val="Heading2"/>
      </w:pPr>
      <w:bookmarkStart w:id="41" w:name="insert-text-with-some-footnotes"/>
      <w:bookmarkEnd w:id="41"/>
      <w:r>
        <w:t xml:space="preserve">Insert text with some footnotes</w:t>
      </w:r>
    </w:p>
    <w:p>
      <w:pPr>
        <w:pStyle w:val="FirstParagraph"/>
      </w:pPr>
      <w:r>
        <w:t xml:space="preserve">Here is footnote reference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43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4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a footnote.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don´t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d844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81f2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c5e8a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e275d1c1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c06e1005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jp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9" Target="media/rId39.sv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RMarkdown Document 1</dc:title>
  <dc:creator>Irene Espinosa-Martos, PhD.</dc:creator>
  <dcterms:created xsi:type="dcterms:W3CDTF">2018-11-08T10:58:14Z</dcterms:created>
  <dcterms:modified xsi:type="dcterms:W3CDTF">2018-11-08T10:58:14Z</dcterms:modified>
</cp:coreProperties>
</file>