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measurement</w:t>
            </w:r>
          </w:p>
        </w:tc>
        <w:tc>
          <w:p>
            <w:pPr>
              <w:pStyle w:val="Normal"/>
            </w:pPr>
            <w:r>
              <w:t>ADHD</w:t>
            </w:r>
          </w:p>
        </w:tc>
        <w:tc>
          <w:p>
            <w:pPr>
              <w:pStyle w:val="Normal"/>
            </w:pPr>
            <w:r>
              <w:t>ADHD.ASD</w:t>
            </w:r>
          </w:p>
        </w:tc>
        <w:tc>
          <w:p>
            <w:pPr>
              <w:pStyle w:val="Normal"/>
            </w:pPr>
            <w:r>
              <w:t>ASD</w:t>
            </w:r>
          </w:p>
        </w:tc>
        <w:tc>
          <w:p>
            <w:pPr>
              <w:pStyle w:val="Normal"/>
            </w:pPr>
            <w:r>
              <w:t>COMP</w:t>
            </w:r>
          </w:p>
        </w:tc>
        <w:tc>
          <w:p>
            <w:pPr>
              <w:pStyle w:val="Normal"/>
            </w:pPr>
            <w:r>
              <w:t>bf.log</w:t>
            </w:r>
          </w:p>
        </w:tc>
      </w:tr>
      <w:tr>
        <w:tc>
          <w:p>
            <w:pPr>
              <w:pStyle w:val="Normal"/>
            </w:pPr>
            <w:r>
              <w:t>ASRS-v1.1</w:t>
            </w:r>
          </w:p>
        </w:tc>
        <w:tc>
          <w:p>
            <w:pPr>
              <w:pStyle w:val="Normal"/>
            </w:pPr>
            <w:r>
              <w:t>43.39 ±0.54 (16 to 62)</w:t>
            </w:r>
          </w:p>
        </w:tc>
        <w:tc>
          <w:p>
            <w:pPr>
              <w:pStyle w:val="Normal"/>
            </w:pPr>
            <w:r>
              <w:t>46.43 ±0.41 (32 to 67)</w:t>
            </w:r>
          </w:p>
        </w:tc>
        <w:tc>
          <w:p>
            <w:pPr>
              <w:pStyle w:val="Normal"/>
            </w:pPr>
            <w:r>
              <w:t>32.54 ±0.33 (14 to 52)</w:t>
            </w:r>
          </w:p>
        </w:tc>
        <w:tc>
          <w:p>
            <w:pPr>
              <w:pStyle w:val="Normal"/>
            </w:pPr>
            <w:r>
              <w:t>25.04 ±0.34 (13 to 42)</w:t>
            </w:r>
          </w:p>
        </w:tc>
        <w:tc>
          <w:p>
            <w:pPr>
              <w:pStyle w:val="Normal"/>
            </w:pPr>
            <w:r>
              <w:t>20.618*</w:t>
            </w:r>
          </w:p>
        </w:tc>
      </w:tr>
      <w:tr>
        <w:tc>
          <w:p>
            <w:pPr>
              <w:pStyle w:val="Normal"/>
            </w:pPr>
            <w:r>
              <w:t>Age</w:t>
            </w:r>
          </w:p>
        </w:tc>
        <w:tc>
          <w:p>
            <w:pPr>
              <w:pStyle w:val="Normal"/>
            </w:pPr>
            <w:r>
              <w:t>26.70 ±0.32 (17 to 43)</w:t>
            </w:r>
          </w:p>
        </w:tc>
        <w:tc>
          <w:p>
            <w:pPr>
              <w:pStyle w:val="Normal"/>
            </w:pPr>
            <w:r>
              <w:t>30.22 ±0.36 (17 to 44)</w:t>
            </w:r>
          </w:p>
        </w:tc>
        <w:tc>
          <w:p>
            <w:pPr>
              <w:pStyle w:val="Normal"/>
            </w:pPr>
            <w:r>
              <w:t>28.58 ±0.30 (18 to 45)</w:t>
            </w:r>
          </w:p>
        </w:tc>
        <w:tc>
          <w:p>
            <w:pPr>
              <w:pStyle w:val="Normal"/>
            </w:pPr>
            <w:r>
              <w:t>27.42 ±0.24 (21 to 42)</w:t>
            </w:r>
          </w:p>
        </w:tc>
        <w:tc>
          <w:p>
            <w:pPr>
              <w:pStyle w:val="Normal"/>
            </w:pPr>
            <w:r>
              <w:t>-1.726</w:t>
            </w:r>
          </w:p>
        </w:tc>
      </w:tr>
      <w:tr>
        <w:tc>
          <w:p>
            <w:pPr>
              <w:pStyle w:val="Normal"/>
            </w:pPr>
            <w:r>
              <w:t>Education</w:t>
            </w:r>
          </w:p>
        </w:tc>
        <w:tc>
          <w:p>
            <w:pPr>
              <w:pStyle w:val="Normal"/>
            </w:pPr>
            <w:r>
              <w:t>3.55 ±0.05 (1 to 5)</w:t>
            </w:r>
          </w:p>
        </w:tc>
        <w:tc>
          <w:p>
            <w:pPr>
              <w:pStyle w:val="Normal"/>
            </w:pPr>
            <w:r>
              <w:t>4.00 ±0.06 (1 to 5)</w:t>
            </w:r>
          </w:p>
        </w:tc>
        <w:tc>
          <w:p>
            <w:pPr>
              <w:pStyle w:val="Normal"/>
            </w:pPr>
            <w:r>
              <w:t>3.67 ±0.04 (2 to 5)</w:t>
            </w:r>
          </w:p>
        </w:tc>
        <w:tc>
          <w:p>
            <w:pPr>
              <w:pStyle w:val="Normal"/>
            </w:pPr>
            <w:r>
              <w:t>4.33 ±0.03 (2 to 5)</w:t>
            </w:r>
          </w:p>
        </w:tc>
        <w:tc>
          <w:p>
            <w:pPr>
              <w:pStyle w:val="Normal"/>
            </w:pPr>
            <w:r>
              <w:t>0.226</w:t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>9 - 12 - 2</w:t>
            </w:r>
          </w:p>
        </w:tc>
        <w:tc>
          <w:p>
            <w:pPr>
              <w:pStyle w:val="Normal"/>
            </w:pPr>
            <w:r>
              <w:t>12 - 8 - 3</w:t>
            </w:r>
          </w:p>
        </w:tc>
        <w:tc>
          <w:p>
            <w:pPr>
              <w:pStyle w:val="Normal"/>
            </w:pPr>
            <w:r>
              <w:t>12 - 12 - 0</w:t>
            </w:r>
          </w:p>
        </w:tc>
        <w:tc>
          <w:p>
            <w:pPr>
              <w:pStyle w:val="Normal"/>
            </w:pPr>
            <w:r>
              <w:t>11 - 13 - 0</w:t>
            </w:r>
          </w:p>
        </w:tc>
        <w:tc>
          <w:p>
            <w:pPr>
              <w:pStyle w:val="Normal"/>
            </w:pPr>
            <w:r>
              <w:t>-4.406</w:t>
            </w:r>
          </w:p>
        </w:tc>
      </w:tr>
      <w:tr>
        <w:tc>
          <w:p>
            <w:pPr>
              <w:pStyle w:val="Normal"/>
            </w:pPr>
            <w:r>
              <w:t>IQ estimate</w:t>
            </w:r>
          </w:p>
        </w:tc>
        <w:tc>
          <w:p>
            <w:pPr>
              <w:pStyle w:val="Normal"/>
            </w:pPr>
            <w:r>
              <w:t>108.35 ±0.51 (84 to 130)</w:t>
            </w:r>
          </w:p>
        </w:tc>
        <w:tc>
          <w:p>
            <w:pPr>
              <w:pStyle w:val="Normal"/>
            </w:pPr>
            <w:r>
              <w:t>112.93 ±0.49 (91 to 133)</w:t>
            </w:r>
          </w:p>
        </w:tc>
        <w:tc>
          <w:p>
            <w:pPr>
              <w:pStyle w:val="Normal"/>
            </w:pPr>
            <w:r>
              <w:t>111.31 ±0.60 (78 to 144)</w:t>
            </w:r>
          </w:p>
        </w:tc>
        <w:tc>
          <w:p>
            <w:pPr>
              <w:pStyle w:val="Normal"/>
            </w:pPr>
            <w:r>
              <w:t>109.90 ±0.39 (92 to 131)</w:t>
            </w:r>
          </w:p>
        </w:tc>
        <w:tc>
          <w:p>
            <w:pPr>
              <w:pStyle w:val="Normal"/>
            </w:pPr>
            <w:r>
              <w:t>-2.170</w:t>
            </w:r>
          </w:p>
        </w:tc>
      </w:tr>
      <w:tr>
        <w:tc>
          <w:p>
            <w:pPr>
              <w:pStyle w:val="Normal"/>
            </w:pPr>
            <w:r>
              <w:t>RADS-R</w:t>
            </w:r>
          </w:p>
        </w:tc>
        <w:tc>
          <w:p>
            <w:pPr>
              <w:pStyle w:val="Normal"/>
            </w:pPr>
            <w:r>
              <w:t>92.61 ±1.82 (18 to 148)</w:t>
            </w:r>
          </w:p>
        </w:tc>
        <w:tc>
          <w:p>
            <w:pPr>
              <w:pStyle w:val="Normal"/>
            </w:pPr>
            <w:r>
              <w:t>146.52 ±1.45 (85 to 201)</w:t>
            </w:r>
          </w:p>
        </w:tc>
        <w:tc>
          <w:p>
            <w:pPr>
              <w:pStyle w:val="Normal"/>
            </w:pPr>
            <w:r>
              <w:t>152.92 ±1.70 (55 to 217)</w:t>
            </w:r>
          </w:p>
        </w:tc>
        <w:tc>
          <w:p>
            <w:pPr>
              <w:pStyle w:val="Normal"/>
            </w:pPr>
            <w:r>
              <w:t>44.58 ±1.46 (9 to 142)</w:t>
            </w:r>
          </w:p>
        </w:tc>
        <w:tc>
          <w:p>
            <w:pPr>
              <w:pStyle w:val="Normal"/>
            </w:pPr>
            <w:r>
              <w:t>30.978*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emba</cp:lastModifiedBy>
  <cp:revision>9</cp:revision>
  <dcterms:created xsi:type="dcterms:W3CDTF">2017-02-28T11:18:00Z</dcterms:created>
  <dcterms:modified xsi:type="dcterms:W3CDTF">2025-06-18T12:27:18Z</dcterms:modified>
  <cp:category/>
</cp:coreProperties>
</file>