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measurement</w:t>
            </w:r>
          </w:p>
        </w:tc>
        <w:tc>
          <w:p>
            <w:pPr>
              <w:pStyle w:val="Normal"/>
            </w:pPr>
            <w:r>
              <w:t>BOTH</w:t>
            </w:r>
          </w:p>
        </w:tc>
        <w:tc>
          <w:p>
            <w:pPr>
              <w:pStyle w:val="Normal"/>
            </w:pPr>
            <w:r>
              <w:t>ADHD</w:t>
            </w:r>
          </w:p>
        </w:tc>
        <w:tc>
          <w:p>
            <w:pPr>
              <w:pStyle w:val="Normal"/>
            </w:pPr>
            <w:r>
              <w:t>COMP</w:t>
            </w:r>
          </w:p>
        </w:tc>
        <w:tc>
          <w:p>
            <w:pPr>
              <w:pStyle w:val="Normal"/>
            </w:pPr>
            <w:r>
              <w:t>bf.log</w:t>
            </w:r>
          </w:p>
        </w:tc>
      </w:tr>
      <w:tr>
        <w:tc>
          <w:p>
            <w:pPr>
              <w:pStyle w:val="Normal"/>
            </w:pPr>
            <w:r>
              <w:t>ASRS_total</w:t>
            </w:r>
          </w:p>
        </w:tc>
        <w:tc>
          <w:p>
            <w:pPr>
              <w:pStyle w:val="Normal"/>
            </w:pPr>
            <w:r>
              <w:t>46.64 ±9.48 (32 to 67)</w:t>
            </w:r>
          </w:p>
        </w:tc>
        <w:tc>
          <w:p>
            <w:pPr>
              <w:pStyle w:val="Normal"/>
            </w:pPr>
            <w:r>
              <w:t>43.95 ±12.16 (16 to 62)</w:t>
            </w:r>
          </w:p>
        </w:tc>
        <w:tc>
          <w:p>
            <w:pPr>
              <w:pStyle w:val="Normal"/>
            </w:pPr>
            <w:r>
              <w:t>25.95 ±7.97 (16 to 42)</w:t>
            </w:r>
          </w:p>
        </w:tc>
        <w:tc>
          <w:p>
            <w:pPr>
              <w:pStyle w:val="Normal"/>
            </w:pPr>
            <w:r>
              <w:t>14.681*</w:t>
            </w:r>
          </w:p>
        </w:tc>
      </w:tr>
      <w:tr>
        <w:tc>
          <w:p>
            <w:pPr>
              <w:pStyle w:val="Normal"/>
            </w:pPr>
            <w:r>
              <w:t>BDI_total</w:t>
            </w:r>
          </w:p>
        </w:tc>
        <w:tc>
          <w:p>
            <w:pPr>
              <w:pStyle w:val="Normal"/>
            </w:pPr>
            <w:r>
              <w:t>8.09 ±7.98 (1 to 26)</w:t>
            </w:r>
          </w:p>
        </w:tc>
        <w:tc>
          <w:p>
            <w:pPr>
              <w:pStyle w:val="Normal"/>
            </w:pPr>
            <w:r>
              <w:t>7.82 ±8.03 (0 to 33)</w:t>
            </w:r>
          </w:p>
        </w:tc>
        <w:tc>
          <w:p>
            <w:pPr>
              <w:pStyle w:val="Normal"/>
            </w:pPr>
            <w:r>
              <w:t>2.32 ±3.18 (0 to 13)</w:t>
            </w:r>
          </w:p>
        </w:tc>
        <w:tc>
          <w:p>
            <w:pPr>
              <w:pStyle w:val="Normal"/>
            </w:pPr>
            <w:r>
              <w:t>4.066*</w:t>
            </w:r>
          </w:p>
        </w:tc>
      </w:tr>
      <w:tr>
        <w:tc>
          <w:p>
            <w:pPr>
              <w:pStyle w:val="Normal"/>
            </w:pPr>
            <w:r>
              <w:t>RAADS_total</w:t>
            </w:r>
          </w:p>
        </w:tc>
        <w:tc>
          <w:p>
            <w:pPr>
              <w:pStyle w:val="Normal"/>
            </w:pPr>
            <w:r>
              <w:t>145.86 ±34.05 (85 to 201)</w:t>
            </w:r>
          </w:p>
        </w:tc>
        <w:tc>
          <w:p>
            <w:pPr>
              <w:pStyle w:val="Normal"/>
            </w:pPr>
            <w:r>
              <w:t>93.95 ±40.15 (18 to 148)</w:t>
            </w:r>
          </w:p>
        </w:tc>
        <w:tc>
          <w:p>
            <w:pPr>
              <w:pStyle w:val="Normal"/>
            </w:pPr>
            <w:r>
              <w:t>46.50 ±36.01 (9 to 142)</w:t>
            </w:r>
          </w:p>
        </w:tc>
        <w:tc>
          <w:p>
            <w:pPr>
              <w:pStyle w:val="Normal"/>
            </w:pPr>
            <w:r>
              <w:t>19.679*</w:t>
            </w:r>
          </w:p>
        </w:tc>
      </w:tr>
      <w:tr>
        <w:tc>
          <w:p>
            <w:pPr>
              <w:pStyle w:val="Normal"/>
            </w:pPr>
            <w:r>
              <w:t>TAS_total</w:t>
            </w:r>
          </w:p>
        </w:tc>
        <w:tc>
          <w:p>
            <w:pPr>
              <w:pStyle w:val="Normal"/>
            </w:pPr>
            <w:r>
              <w:t>56.45 ±10.55 (37 to 72)</w:t>
            </w:r>
          </w:p>
        </w:tc>
        <w:tc>
          <w:p>
            <w:pPr>
              <w:pStyle w:val="Normal"/>
            </w:pPr>
            <w:r>
              <w:t>50.82 ±11.68 (25 to 74)</w:t>
            </w:r>
          </w:p>
        </w:tc>
        <w:tc>
          <w:p>
            <w:pPr>
              <w:pStyle w:val="Normal"/>
            </w:pPr>
            <w:r>
              <w:t>39.36 ±9.73 (26 to 63)</w:t>
            </w:r>
          </w:p>
        </w:tc>
        <w:tc>
          <w:p>
            <w:pPr>
              <w:pStyle w:val="Normal"/>
            </w:pPr>
            <w:r>
              <w:t>8.218*</w:t>
            </w:r>
          </w:p>
        </w:tc>
      </w:tr>
      <w:tr>
        <w:tc>
          <w:p>
            <w:pPr>
              <w:pStyle w:val="Normal"/>
            </w:pPr>
            <w:r>
              <w:t>age</w:t>
            </w:r>
          </w:p>
        </w:tc>
        <w:tc>
          <w:p>
            <w:pPr>
              <w:pStyle w:val="Normal"/>
            </w:pPr>
            <w:r>
              <w:t>30.68 ±8.11 (17 to 44)</w:t>
            </w:r>
          </w:p>
        </w:tc>
        <w:tc>
          <w:p>
            <w:pPr>
              <w:pStyle w:val="Normal"/>
            </w:pPr>
            <w:r>
              <w:t>26.23 ±6.61 (17 to 42)</w:t>
            </w:r>
          </w:p>
        </w:tc>
        <w:tc>
          <w:p>
            <w:pPr>
              <w:pStyle w:val="Normal"/>
            </w:pPr>
            <w:r>
              <w:t>27.59 ±5.86 (21 to 42)</w:t>
            </w:r>
          </w:p>
        </w:tc>
        <w:tc>
          <w:p>
            <w:pPr>
              <w:pStyle w:val="Normal"/>
            </w:pPr>
            <w:r>
              <w:t>-0.267</w:t>
            </w:r>
          </w:p>
        </w:tc>
      </w:tr>
      <w:tr>
        <w:tc>
          <w:p>
            <w:pPr>
              <w:pStyle w:val="Normal"/>
            </w:pPr>
            <w:r>
              <w:t>edu</w:t>
            </w:r>
          </w:p>
        </w:tc>
        <w:tc>
          <w:p>
            <w:pPr>
              <w:pStyle w:val="Normal"/>
            </w:pPr>
            <w:r>
              <w:t>4.00 ±1.35 (1 to 5)</w:t>
            </w:r>
          </w:p>
        </w:tc>
        <w:tc>
          <w:p>
            <w:pPr>
              <w:pStyle w:val="Normal"/>
            </w:pPr>
            <w:r>
              <w:t>3.48 ±1.17 (1 to 5)</w:t>
            </w:r>
          </w:p>
        </w:tc>
        <w:tc>
          <w:p>
            <w:pPr>
              <w:pStyle w:val="Normal"/>
            </w:pPr>
            <w:r>
              <w:t>4.36 ±0.85 (2 to 5)</w:t>
            </w:r>
          </w:p>
        </w:tc>
        <w:tc>
          <w:p>
            <w:pPr>
              <w:pStyle w:val="Normal"/>
            </w:pPr>
            <w:r>
              <w:t>1.092</w:t>
            </w:r>
          </w:p>
        </w:tc>
      </w:tr>
      <w:tr>
        <w:tc>
          <w:p>
            <w:pPr>
              <w:pStyle w:val="Normal"/>
            </w:pPr>
            <w:r>
              <w:t>iq</w:t>
            </w:r>
          </w:p>
        </w:tc>
        <w:tc>
          <w:p>
            <w:pPr>
              <w:pStyle w:val="Normal"/>
            </w:pPr>
            <w:r>
              <w:t>113.23 ±11.39 (91 to 133)</w:t>
            </w:r>
          </w:p>
        </w:tc>
        <w:tc>
          <w:p>
            <w:pPr>
              <w:pStyle w:val="Normal"/>
            </w:pPr>
            <w:r>
              <w:t>108.57 ±11.20 (84 to 130)</w:t>
            </w:r>
          </w:p>
        </w:tc>
        <w:tc>
          <w:p>
            <w:pPr>
              <w:pStyle w:val="Normal"/>
            </w:pPr>
            <w:r>
              <w:t>109.14 ±8.62 (92 to 131)</w:t>
            </w:r>
          </w:p>
        </w:tc>
        <w:tc>
          <w:p>
            <w:pPr>
              <w:pStyle w:val="Normal"/>
            </w:pPr>
            <w:r>
              <w:t>-1.105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vilya</cp:lastModifiedBy>
  <cp:revision>9</cp:revision>
  <dcterms:created xsi:type="dcterms:W3CDTF">2017-02-28T11:18:00Z</dcterms:created>
  <dcterms:modified xsi:type="dcterms:W3CDTF">2025-09-25T16:52:01Z</dcterms:modified>
  <cp:category/>
</cp:coreProperties>
</file>