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Cuantitativo del S&amp;P 500</w:t>
      </w:r>
    </w:p>
    <w:p>
      <w:pPr>
        <w:jc w:val="center"/>
      </w:pPr>
      <w:r>
        <w:rPr>
          <w:sz w:val="32"/>
        </w:rPr>
        <w:t>Estrategias, Backtesting y Optimización de Portfolios</w:t>
      </w:r>
    </w:p>
    <w:p>
      <w:pPr>
        <w:jc w:val="center"/>
      </w:pPr>
      <w:r>
        <w:rPr>
          <w:sz w:val="28"/>
        </w:rPr>
        <w:br/>
        <w:t>Irene Tanarro</w:t>
      </w:r>
    </w:p>
    <w:p>
      <w:pPr>
        <w:jc w:val="center"/>
      </w:pPr>
      <w:r>
        <w:rPr>
          <w:sz w:val="24"/>
        </w:rPr>
        <w:t>March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Objetivo: </w:t>
      </w:r>
      <w:r>
        <w:t>Analizar 50 acciones del S&amp;P 500 para identificar las mejores oportunidades de inversión mediante análisis cuantitativo.</w:t>
        <w:br/>
        <w:br/>
      </w:r>
    </w:p>
    <w:p>
      <w:r>
        <w:rPr>
          <w:b/>
        </w:rPr>
        <w:t xml:space="preserve">Período analizado: </w:t>
      </w:r>
      <w:r>
        <w:t>Enero 2020 - Marzo 2026 (6 años)</w:t>
        <w:br/>
        <w:br/>
      </w:r>
    </w:p>
    <w:p>
      <w:r>
        <w:rPr>
          <w:b/>
        </w:rPr>
        <w:t>Metodología:</w:t>
        <w:br/>
      </w:r>
    </w:p>
    <w:p>
      <w:pPr>
        <w:pStyle w:val="ListBullet"/>
      </w:pPr>
      <w:r>
        <w:t>• Análisis masivo de 50 acciones del S&amp;P 500</w:t>
      </w:r>
    </w:p>
    <w:p>
      <w:pPr>
        <w:pStyle w:val="ListBullet"/>
      </w:pPr>
      <w:r>
        <w:t>• Validación histórica de predictibilidad (2015-2019 vs 2020-2026)</w:t>
      </w:r>
    </w:p>
    <w:p>
      <w:pPr>
        <w:pStyle w:val="ListBullet"/>
      </w:pPr>
      <w:r>
        <w:t>• Screening activo con 4 filtros profesionales</w:t>
      </w:r>
    </w:p>
    <w:p>
      <w:pPr>
        <w:pStyle w:val="ListBullet"/>
      </w:pPr>
      <w:r>
        <w:t>• Backtesting de estrategia MA + Stop Loss/Take Profit</w:t>
      </w:r>
    </w:p>
    <w:p>
      <w:pPr>
        <w:pStyle w:val="ListBullet"/>
      </w:pPr>
      <w:r>
        <w:t>• Optimización de portfolio mediante análisis de correlaciones</w:t>
      </w:r>
    </w:p>
    <w:p/>
    <w:p>
      <w:r>
        <w:rPr>
          <w:b/>
        </w:rPr>
        <w:t>Principales hallazgos:</w:t>
        <w:br/>
      </w:r>
    </w:p>
    <w:p>
      <w:pPr>
        <w:pStyle w:val="ListBullet"/>
      </w:pPr>
      <w:r>
        <w:t>• Mejor acción 2020-2026: NVDA (+2919%, Sharpe 1.23)</w:t>
      </w:r>
    </w:p>
    <w:p>
      <w:pPr>
        <w:pStyle w:val="ListBullet"/>
      </w:pPr>
      <w:r>
        <w:t>• Peor acción: NKE (-42.4%)</w:t>
      </w:r>
    </w:p>
    <w:p>
      <w:pPr>
        <w:pStyle w:val="ListBullet"/>
      </w:pPr>
      <w:r>
        <w:t>• Retorno promedio S&amp;P 500: +212.7%</w:t>
      </w:r>
    </w:p>
    <w:p>
      <w:pPr>
        <w:pStyle w:val="ListBullet"/>
      </w:pPr>
      <w:r>
        <w:t>• Acciones que pasaron screening: 12/48 (25%)</w:t>
      </w:r>
    </w:p>
    <w:p>
      <w:pPr>
        <w:pStyle w:val="ListBullet"/>
      </w:pPr>
      <w:r>
        <w:t>• Buy and Hold superó a estrategia activa en 43/48 casos</w:t>
      </w:r>
    </w:p>
    <w:p>
      <w:r>
        <w:br w:type="page"/>
      </w:r>
    </w:p>
    <w:p>
      <w:pPr>
        <w:pStyle w:val="Heading1"/>
      </w:pPr>
      <w:r>
        <w:t>2. Análisis Masivo de 50 Acciones del S&amp;P 500</w:t>
      </w:r>
    </w:p>
    <w:p>
      <w:r>
        <w:t>Se analizaron 50 de las acciones más importantes del S&amp;P 500 por capitalización de mercado, cubriendo todos los sectores principales: tecnología, finanzas, salud, consumo, energía, telecomunicaciones e industrial.</w:t>
      </w:r>
    </w:p>
    <w:p>
      <w:pPr>
        <w:pStyle w:val="Heading2"/>
      </w:pPr>
      <w:r>
        <w:t>2.1 Métricas Calculadas</w:t>
      </w:r>
    </w:p>
    <w:p>
      <w:pPr>
        <w:pStyle w:val="ListBullet"/>
      </w:pPr>
      <w:r>
        <w:t>Para cada acción se calcularon las siguientes métricas:</w:t>
      </w:r>
    </w:p>
    <w:p>
      <w:pPr>
        <w:pStyle w:val="ListBullet2"/>
      </w:pPr>
      <w:r>
        <w:t>Retorno Total 2020-2026 (%)</w:t>
      </w:r>
    </w:p>
    <w:p>
      <w:pPr>
        <w:pStyle w:val="ListBullet2"/>
      </w:pPr>
      <w:r>
        <w:t>Sharpe Ratio (retorno ajustado por riesgo)</w:t>
      </w:r>
    </w:p>
    <w:p>
      <w:pPr>
        <w:pStyle w:val="ListBullet2"/>
      </w:pPr>
      <w:r>
        <w:t>Maximum Drawdown (peor caída desde un pico)</w:t>
      </w:r>
    </w:p>
    <w:p>
      <w:pPr>
        <w:pStyle w:val="ListBullet2"/>
      </w:pPr>
      <w:r>
        <w:t>Volatilidad anualizada (%)</w:t>
      </w:r>
    </w:p>
    <w:p>
      <w:pPr>
        <w:pStyle w:val="ListBullet2"/>
      </w:pPr>
      <w:r>
        <w:t>Señal técnica actual (MA20 vs MA50)</w:t>
      </w:r>
    </w:p>
    <w:p>
      <w:pPr>
        <w:pStyle w:val="Heading2"/>
      </w:pPr>
      <w:r>
        <w:t>2.2 Resultados Destacados</w:t>
      </w:r>
    </w:p>
    <w:p>
      <w:r>
        <w:rPr>
          <w:b/>
        </w:rPr>
        <w:t>Top 10 acciones por Sharpe Ratio: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Retorno %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  <w:tc>
          <w:tcPr>
            <w:tcW w:type="dxa" w:w="1728"/>
          </w:tcPr>
          <w:p>
            <w:r>
              <w:t>Max DD %</w:t>
            </w:r>
          </w:p>
        </w:tc>
        <w:tc>
          <w:tcPr>
            <w:tcW w:type="dxa" w:w="1728"/>
          </w:tcPr>
          <w:p>
            <w:r>
              <w:t>Señal</w:t>
            </w:r>
          </w:p>
        </w:tc>
      </w:tr>
      <w:tr>
        <w:tc>
          <w:tcPr>
            <w:tcW w:type="dxa" w:w="1728"/>
          </w:tcPr>
          <w:p>
            <w:r>
              <w:t>NVDA</w:t>
            </w:r>
          </w:p>
        </w:tc>
        <w:tc>
          <w:tcPr>
            <w:tcW w:type="dxa" w:w="1728"/>
          </w:tcPr>
          <w:p>
            <w:r>
              <w:t>2918.9%</w:t>
            </w:r>
          </w:p>
        </w:tc>
        <w:tc>
          <w:tcPr>
            <w:tcW w:type="dxa" w:w="1728"/>
          </w:tcPr>
          <w:p>
            <w:r>
              <w:t>1.233</w:t>
            </w:r>
          </w:p>
        </w:tc>
        <w:tc>
          <w:tcPr>
            <w:tcW w:type="dxa" w:w="1728"/>
          </w:tcPr>
          <w:p>
            <w:r>
              <w:t>-66.3%</w:t>
            </w:r>
          </w:p>
        </w:tc>
        <w:tc>
          <w:tcPr>
            <w:tcW w:type="dxa" w:w="1728"/>
          </w:tcPr>
          <w:p>
            <w:r>
              <w:t>BAJISTA</w:t>
            </w:r>
          </w:p>
        </w:tc>
      </w:tr>
      <w:tr>
        <w:tc>
          <w:tcPr>
            <w:tcW w:type="dxa" w:w="1728"/>
          </w:tcPr>
          <w:p>
            <w:r>
              <w:t>LLY</w:t>
            </w:r>
          </w:p>
        </w:tc>
        <w:tc>
          <w:tcPr>
            <w:tcW w:type="dxa" w:w="1728"/>
          </w:tcPr>
          <w:p>
            <w:r>
              <w:t>702.2%</w:t>
            </w:r>
          </w:p>
        </w:tc>
        <w:tc>
          <w:tcPr>
            <w:tcW w:type="dxa" w:w="1728"/>
          </w:tcPr>
          <w:p>
            <w:r>
              <w:t>1.037</w:t>
            </w:r>
          </w:p>
        </w:tc>
        <w:tc>
          <w:tcPr>
            <w:tcW w:type="dxa" w:w="1728"/>
          </w:tcPr>
          <w:p>
            <w:r>
              <w:t>-34.5%</w:t>
            </w:r>
          </w:p>
        </w:tc>
        <w:tc>
          <w:tcPr>
            <w:tcW w:type="dxa" w:w="1728"/>
          </w:tcPr>
          <w:p>
            <w:r>
              <w:t>BAJISTA</w:t>
            </w:r>
          </w:p>
        </w:tc>
      </w:tr>
      <w:tr>
        <w:tc>
          <w:tcPr>
            <w:tcW w:type="dxa" w:w="1728"/>
          </w:tcPr>
          <w:p>
            <w:r>
              <w:t>TSLA</w:t>
            </w:r>
          </w:p>
        </w:tc>
        <w:tc>
          <w:tcPr>
            <w:tcW w:type="dxa" w:w="1728"/>
          </w:tcPr>
          <w:p>
            <w:r>
              <w:t>1263.8%</w:t>
            </w:r>
          </w:p>
        </w:tc>
        <w:tc>
          <w:tcPr>
            <w:tcW w:type="dxa" w:w="1728"/>
          </w:tcPr>
          <w:p>
            <w:r>
              <w:t>0.910</w:t>
            </w:r>
          </w:p>
        </w:tc>
        <w:tc>
          <w:tcPr>
            <w:tcW w:type="dxa" w:w="1728"/>
          </w:tcPr>
          <w:p>
            <w:r>
              <w:t>-73.6%</w:t>
            </w:r>
          </w:p>
        </w:tc>
        <w:tc>
          <w:tcPr>
            <w:tcW w:type="dxa" w:w="1728"/>
          </w:tcPr>
          <w:p>
            <w:r>
              <w:t>BAJISTA</w:t>
            </w:r>
          </w:p>
        </w:tc>
      </w:tr>
      <w:tr>
        <w:tc>
          <w:tcPr>
            <w:tcW w:type="dxa" w:w="1728"/>
          </w:tcPr>
          <w:p>
            <w:r>
              <w:t>CAT</w:t>
            </w:r>
          </w:p>
        </w:tc>
        <w:tc>
          <w:tcPr>
            <w:tcW w:type="dxa" w:w="1728"/>
          </w:tcPr>
          <w:p>
            <w:r>
              <w:t>423.5%</w:t>
            </w:r>
          </w:p>
        </w:tc>
        <w:tc>
          <w:tcPr>
            <w:tcW w:type="dxa" w:w="1728"/>
          </w:tcPr>
          <w:p>
            <w:r>
              <w:t>0.863</w:t>
            </w:r>
          </w:p>
        </w:tc>
        <w:tc>
          <w:tcPr>
            <w:tcW w:type="dxa" w:w="1728"/>
          </w:tcPr>
          <w:p>
            <w:r>
              <w:t>-38.5%</w:t>
            </w:r>
          </w:p>
        </w:tc>
        <w:tc>
          <w:tcPr>
            <w:tcW w:type="dxa" w:w="1728"/>
          </w:tcPr>
          <w:p>
            <w:r>
              <w:t>ALCISTA</w:t>
            </w:r>
          </w:p>
        </w:tc>
      </w:tr>
      <w:tr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278.9%</w:t>
            </w:r>
          </w:p>
        </w:tc>
        <w:tc>
          <w:tcPr>
            <w:tcW w:type="dxa" w:w="1728"/>
          </w:tcPr>
          <w:p>
            <w:r>
              <w:t>0.861</w:t>
            </w:r>
          </w:p>
        </w:tc>
        <w:tc>
          <w:tcPr>
            <w:tcW w:type="dxa" w:w="1728"/>
          </w:tcPr>
          <w:p>
            <w:r>
              <w:t>-31.4%</w:t>
            </w:r>
          </w:p>
        </w:tc>
        <w:tc>
          <w:tcPr>
            <w:tcW w:type="dxa" w:w="1728"/>
          </w:tcPr>
          <w:p>
            <w:r>
              <w:t>ALCISTA</w:t>
            </w:r>
          </w:p>
        </w:tc>
      </w:tr>
      <w:tr>
        <w:tc>
          <w:tcPr>
            <w:tcW w:type="dxa" w:w="1728"/>
          </w:tcPr>
          <w:p>
            <w:r>
              <w:t>WMT</w:t>
            </w:r>
          </w:p>
        </w:tc>
        <w:tc>
          <w:tcPr>
            <w:tcW w:type="dxa" w:w="1728"/>
          </w:tcPr>
          <w:p>
            <w:r>
              <w:t>247.3%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  <w:tc>
          <w:tcPr>
            <w:tcW w:type="dxa" w:w="1728"/>
          </w:tcPr>
          <w:p>
            <w:r>
              <w:t>-25.7%</w:t>
            </w:r>
          </w:p>
        </w:tc>
        <w:tc>
          <w:tcPr>
            <w:tcW w:type="dxa" w:w="1728"/>
          </w:tcPr>
          <w:p>
            <w:r>
              <w:t>ALCISTA</w:t>
            </w:r>
          </w:p>
        </w:tc>
      </w:tr>
      <w:tr>
        <w:tc>
          <w:tcPr>
            <w:tcW w:type="dxa" w:w="1728"/>
          </w:tcPr>
          <w:p>
            <w:r>
              <w:t>GOOGL</w:t>
            </w:r>
          </w:p>
        </w:tc>
        <w:tc>
          <w:tcPr>
            <w:tcW w:type="dxa" w:w="1728"/>
          </w:tcPr>
          <w:p>
            <w:r>
              <w:t>345.4%</w:t>
            </w:r>
          </w:p>
        </w:tc>
        <w:tc>
          <w:tcPr>
            <w:tcW w:type="dxa" w:w="1728"/>
          </w:tcPr>
          <w:p>
            <w:r>
              <w:t>0.788</w:t>
            </w:r>
          </w:p>
        </w:tc>
        <w:tc>
          <w:tcPr>
            <w:tcW w:type="dxa" w:w="1728"/>
          </w:tcPr>
          <w:p>
            <w:r>
              <w:t>-44.3%</w:t>
            </w:r>
          </w:p>
        </w:tc>
        <w:tc>
          <w:tcPr>
            <w:tcW w:type="dxa" w:w="1728"/>
          </w:tcPr>
          <w:p>
            <w:r>
              <w:t>BAJISTA</w:t>
            </w:r>
          </w:p>
        </w:tc>
      </w:tr>
      <w:tr>
        <w:tc>
          <w:tcPr>
            <w:tcW w:type="dxa" w:w="1728"/>
          </w:tcPr>
          <w:p>
            <w:r>
              <w:t>GE</w:t>
            </w:r>
          </w:p>
        </w:tc>
        <w:tc>
          <w:tcPr>
            <w:tcW w:type="dxa" w:w="1728"/>
          </w:tcPr>
          <w:p>
            <w:r>
              <w:t>419.0%</w:t>
            </w:r>
          </w:p>
        </w:tc>
        <w:tc>
          <w:tcPr>
            <w:tcW w:type="dxa" w:w="1728"/>
          </w:tcPr>
          <w:p>
            <w:r>
              <w:t>0.787</w:t>
            </w:r>
          </w:p>
        </w:tc>
        <w:tc>
          <w:tcPr>
            <w:tcW w:type="dxa" w:w="1728"/>
          </w:tcPr>
          <w:p>
            <w:r>
              <w:t>-58.2%</w:t>
            </w:r>
          </w:p>
        </w:tc>
        <w:tc>
          <w:tcPr>
            <w:tcW w:type="dxa" w:w="1728"/>
          </w:tcPr>
          <w:p>
            <w:r>
              <w:t>ALCISTA</w:t>
            </w:r>
          </w:p>
        </w:tc>
      </w:tr>
      <w:tr>
        <w:tc>
          <w:tcPr>
            <w:tcW w:type="dxa" w:w="1728"/>
          </w:tcPr>
          <w:p>
            <w:r>
              <w:t>ABBV</w:t>
            </w:r>
          </w:p>
        </w:tc>
        <w:tc>
          <w:tcPr>
            <w:tcW w:type="dxa" w:w="1728"/>
          </w:tcPr>
          <w:p>
            <w:r>
              <w:t>217.2%</w:t>
            </w:r>
          </w:p>
        </w:tc>
        <w:tc>
          <w:tcPr>
            <w:tcW w:type="dxa" w:w="1728"/>
          </w:tcPr>
          <w:p>
            <w:r>
              <w:t>0.713</w:t>
            </w:r>
          </w:p>
        </w:tc>
        <w:tc>
          <w:tcPr>
            <w:tcW w:type="dxa" w:w="1728"/>
          </w:tcPr>
          <w:p>
            <w:r>
              <w:t>-34.0%</w:t>
            </w:r>
          </w:p>
        </w:tc>
        <w:tc>
          <w:tcPr>
            <w:tcW w:type="dxa" w:w="1728"/>
          </w:tcPr>
          <w:p>
            <w:r>
              <w:t>ALCISTA</w:t>
            </w:r>
          </w:p>
        </w:tc>
      </w:tr>
      <w:tr>
        <w:tc>
          <w:tcPr>
            <w:tcW w:type="dxa" w:w="1728"/>
          </w:tcPr>
          <w:p>
            <w:r>
              <w:t>GS</w:t>
            </w:r>
          </w:p>
        </w:tc>
        <w:tc>
          <w:tcPr>
            <w:tcW w:type="dxa" w:w="1728"/>
          </w:tcPr>
          <w:p>
            <w:r>
              <w:t>287.0%</w:t>
            </w:r>
          </w:p>
        </w:tc>
        <w:tc>
          <w:tcPr>
            <w:tcW w:type="dxa" w:w="1728"/>
          </w:tcPr>
          <w:p>
            <w:r>
              <w:t>0.709</w:t>
            </w:r>
          </w:p>
        </w:tc>
        <w:tc>
          <w:tcPr>
            <w:tcW w:type="dxa" w:w="1728"/>
          </w:tcPr>
          <w:p>
            <w:r>
              <w:t>-45.6%</w:t>
            </w:r>
          </w:p>
        </w:tc>
        <w:tc>
          <w:tcPr>
            <w:tcW w:type="dxa" w:w="1728"/>
          </w:tcPr>
          <w:p>
            <w:r>
              <w:t>BAJISTA</w:t>
            </w:r>
          </w:p>
        </w:tc>
      </w:tr>
    </w:tbl>
    <w:p/>
    <w:p>
      <w:r>
        <w:rPr>
          <w:b/>
        </w:rPr>
        <w:t>Estadísticas generales:</w:t>
        <w:br/>
      </w:r>
    </w:p>
    <w:p>
      <w:pPr>
        <w:pStyle w:val="ListBullet"/>
      </w:pPr>
      <w:r>
        <w:t>• Retorno promedio: +212.7%</w:t>
      </w:r>
    </w:p>
    <w:p>
      <w:pPr>
        <w:pStyle w:val="ListBullet"/>
      </w:pPr>
      <w:r>
        <w:t>• Retorno mediano: +95.2%</w:t>
      </w:r>
    </w:p>
    <w:p>
      <w:pPr>
        <w:pStyle w:val="ListBullet"/>
      </w:pPr>
      <w:r>
        <w:t>• Sharpe promedio: 0.412</w:t>
      </w:r>
    </w:p>
    <w:p>
      <w:pPr>
        <w:pStyle w:val="ListBullet"/>
      </w:pPr>
      <w:r>
        <w:t>• Drawdown promedio: -49.0%</w:t>
      </w:r>
    </w:p>
    <w:p>
      <w:pPr>
        <w:pStyle w:val="ListBullet"/>
      </w:pPr>
      <w:r>
        <w:t>• Señales alcistas actuales: 23/48 (47.9%)</w:t>
      </w:r>
    </w:p>
    <w:p>
      <w:r>
        <w:br w:type="page"/>
      </w:r>
    </w:p>
    <w:p>
      <w:pPr>
        <w:pStyle w:val="Heading1"/>
      </w:pPr>
      <w:r>
        <w:t>3. Validación Histórica y Predictibilidad</w:t>
      </w:r>
    </w:p>
    <w:p>
      <w:r>
        <w:t>Se realizó un análisis histórico para responder la pregunta: ¿Las acciones con mejor Sharpe Ratio en 2015-2019 siguieron siendo ganadoras en 2020-2026?</w:t>
      </w:r>
    </w:p>
    <w:p>
      <w:pPr>
        <w:pStyle w:val="Heading2"/>
      </w:pPr>
      <w:r>
        <w:t>3.1 Metodología</w:t>
      </w:r>
    </w:p>
    <w:p>
      <w:pPr>
        <w:pStyle w:val="ListBullet"/>
      </w:pPr>
      <w:r>
        <w:t>• Período de entrenamiento: 2015-2019 (datos disponibles en enero 2020)</w:t>
      </w:r>
    </w:p>
    <w:p>
      <w:pPr>
        <w:pStyle w:val="ListBullet"/>
      </w:pPr>
      <w:r>
        <w:t>• Período de validación: 2020-2026 (datos futuros)</w:t>
      </w:r>
    </w:p>
    <w:p>
      <w:pPr>
        <w:pStyle w:val="ListBullet"/>
      </w:pPr>
      <w:r>
        <w:t>• Se seleccionaron las top 10 acciones por Sharpe histórico</w:t>
      </w:r>
    </w:p>
    <w:p>
      <w:pPr>
        <w:pStyle w:val="ListBullet"/>
      </w:pPr>
      <w:r>
        <w:t>• Se validó su desempeño en el período futuro</w:t>
      </w:r>
    </w:p>
    <w:p>
      <w:pPr>
        <w:pStyle w:val="Heading2"/>
      </w:pPr>
      <w:r>
        <w:t>3.2 Resultados</w:t>
      </w:r>
    </w:p>
    <w:p>
      <w:r>
        <w:t>Principales hallazgos:</w:t>
      </w:r>
    </w:p>
    <w:p>
      <w:pPr>
        <w:pStyle w:val="ListBullet"/>
      </w:pPr>
      <w:r>
        <w:t>• NVIDIA fue #1 en Sharpe histórico (1.284) y se mantuvo #1 en el futuro (Sharpe 1.238)</w:t>
      </w:r>
    </w:p>
    <w:p>
      <w:pPr>
        <w:pStyle w:val="ListBullet"/>
      </w:pPr>
      <w:r>
        <w:t>• El top 10 histórico generó un retorno promedio de +412% en 2020-2026</w:t>
      </w:r>
    </w:p>
    <w:p>
      <w:pPr>
        <w:pStyle w:val="ListBullet"/>
      </w:pPr>
      <w:r>
        <w:t>• Solo 2 de 10 acciones mantuvieron su Sharpe Ratio (degradación &lt;20%)</w:t>
      </w:r>
    </w:p>
    <w:p>
      <w:pPr>
        <w:pStyle w:val="ListBullet"/>
      </w:pPr>
      <w:r>
        <w:t>• 8 de 10 acciones degradaron significativamente</w:t>
      </w:r>
    </w:p>
    <w:p>
      <w:pPr>
        <w:pStyle w:val="ListBullet"/>
      </w:pPr>
      <w:r>
        <w:t>• Adobe cayó -25% a pesar de ser top 3 histórico</w:t>
      </w:r>
    </w:p>
    <w:p>
      <w:pPr>
        <w:pStyle w:val="Heading2"/>
      </w:pPr>
      <w:r>
        <w:t>3.3 Conclusión</w:t>
      </w:r>
    </w:p>
    <w:p>
      <w:r>
        <w:t xml:space="preserve">El Sharpe histórico </w:t>
      </w:r>
      <w:r>
        <w:rPr>
          <w:b/>
        </w:rPr>
        <w:t>SÍ predice parcialmente</w:t>
      </w:r>
      <w:r>
        <w:t xml:space="preserve"> el desempeño futuro, pero solo en 20-30% de los casos. Es útil para screening (eliminar las peores) pero no garantiza ganadores. La diversificación en top 10-20 históricas es más prudente que concentración.</w:t>
      </w:r>
    </w:p>
    <w:p>
      <w:r>
        <w:br w:type="page"/>
      </w:r>
    </w:p>
    <w:p>
      <w:pPr>
        <w:pStyle w:val="Heading1"/>
      </w:pPr>
      <w:r>
        <w:t>4. Screening Activo de Oportunidades</w:t>
      </w:r>
    </w:p>
    <w:p>
      <w:r>
        <w:t>Se aplicaron 4 filtros profesionales para identificar las mejores oportunidades de compra en marzo 2026:</w:t>
      </w:r>
    </w:p>
    <w:p>
      <w:pPr>
        <w:pStyle w:val="Heading2"/>
      </w:pPr>
      <w:r>
        <w:t>4.1 Filtros Aplicados</w:t>
      </w:r>
    </w:p>
    <w:p>
      <w:pPr>
        <w:pStyle w:val="ListNumber"/>
      </w:pPr>
      <w:r>
        <w:t>1. Sharpe Ratio &gt; 0.5 (últimos 2 años)</w:t>
      </w:r>
    </w:p>
    <w:p>
      <w:pPr>
        <w:pStyle w:val="ListNumber"/>
      </w:pPr>
      <w:r>
        <w:t>2. Tendencia alcista: MA20 &gt; MA50</w:t>
      </w:r>
    </w:p>
    <w:p>
      <w:pPr>
        <w:pStyle w:val="ListNumber"/>
      </w:pPr>
      <w:r>
        <w:t>3. Momentum positivo: retorno 3M &gt; 0%</w:t>
      </w:r>
    </w:p>
    <w:p>
      <w:pPr>
        <w:pStyle w:val="ListNumber"/>
      </w:pPr>
      <w:r>
        <w:t>4. Drawdown controlado: Max DD &lt; -40%</w:t>
      </w:r>
    </w:p>
    <w:p>
      <w:pPr>
        <w:pStyle w:val="Heading2"/>
      </w:pPr>
      <w:r>
        <w:t>4.2 Acciones Aprobadas</w:t>
      </w:r>
    </w:p>
    <w:p>
      <w:r>
        <w:rPr>
          <w:b/>
        </w:rPr>
        <w:t>Solo 12 de 48 acciones pasaron todos los filtros (25%):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Ticker</w:t>
            </w:r>
          </w:p>
        </w:tc>
        <w:tc>
          <w:tcPr>
            <w:tcW w:type="dxa" w:w="1440"/>
          </w:tcPr>
          <w:p>
            <w:r>
              <w:t>Sharpe 2Y</w:t>
            </w:r>
          </w:p>
        </w:tc>
        <w:tc>
          <w:tcPr>
            <w:tcW w:type="dxa" w:w="1440"/>
          </w:tcPr>
          <w:p>
            <w:r>
              <w:t>Momentum 3M</w:t>
            </w:r>
          </w:p>
        </w:tc>
        <w:tc>
          <w:tcPr>
            <w:tcW w:type="dxa" w:w="1440"/>
          </w:tcPr>
          <w:p>
            <w:r>
              <w:t>Max DD 1Y</w:t>
            </w:r>
          </w:p>
        </w:tc>
        <w:tc>
          <w:tcPr>
            <w:tcW w:type="dxa" w:w="1440"/>
          </w:tcPr>
          <w:p>
            <w:r>
              <w:t>Retorno 2Y</w:t>
            </w:r>
          </w:p>
        </w:tc>
        <w:tc>
          <w:tcPr>
            <w:tcW w:type="dxa" w:w="1440"/>
          </w:tcPr>
          <w:p>
            <w:r>
              <w:t>Precio</w:t>
            </w:r>
          </w:p>
        </w:tc>
      </w:tr>
      <w:tr>
        <w:tc>
          <w:tcPr>
            <w:tcW w:type="dxa" w:w="1440"/>
          </w:tcPr>
          <w:p>
            <w:r>
              <w:t>WMT</w:t>
            </w:r>
          </w:p>
        </w:tc>
        <w:tc>
          <w:tcPr>
            <w:tcW w:type="dxa" w:w="1440"/>
          </w:tcPr>
          <w:p>
            <w:r>
              <w:t>1.738</w:t>
            </w:r>
          </w:p>
        </w:tc>
        <w:tc>
          <w:tcPr>
            <w:tcW w:type="dxa" w:w="1440"/>
          </w:tcPr>
          <w:p>
            <w:r>
              <w:t>7.1%</w:t>
            </w:r>
          </w:p>
        </w:tc>
        <w:tc>
          <w:tcPr>
            <w:tcW w:type="dxa" w:w="1440"/>
          </w:tcPr>
          <w:p>
            <w:r>
              <w:t>-8.9%</w:t>
            </w:r>
          </w:p>
        </w:tc>
        <w:tc>
          <w:tcPr>
            <w:tcW w:type="dxa" w:w="1440"/>
          </w:tcPr>
          <w:p>
            <w:r>
              <w:t>140.7%</w:t>
            </w:r>
          </w:p>
        </w:tc>
        <w:tc>
          <w:tcPr>
            <w:tcW w:type="dxa" w:w="1440"/>
          </w:tcPr>
          <w:p>
            <w:r>
              <w:t>$125.08</w:t>
            </w:r>
          </w:p>
        </w:tc>
      </w:tr>
      <w:tr>
        <w:tc>
          <w:tcPr>
            <w:tcW w:type="dxa" w:w="1440"/>
          </w:tcPr>
          <w:p>
            <w:r>
              <w:t>GE</w:t>
            </w:r>
          </w:p>
        </w:tc>
        <w:tc>
          <w:tcPr>
            <w:tcW w:type="dxa" w:w="1440"/>
          </w:tcPr>
          <w:p>
            <w:r>
              <w:t>1.668</w:t>
            </w:r>
          </w:p>
        </w:tc>
        <w:tc>
          <w:tcPr>
            <w:tcW w:type="dxa" w:w="1440"/>
          </w:tcPr>
          <w:p>
            <w:r>
              <w:t>0.6%</w:t>
            </w:r>
          </w:p>
        </w:tc>
        <w:tc>
          <w:tcPr>
            <w:tcW w:type="dxa" w:w="1440"/>
          </w:tcPr>
          <w:p>
            <w:r>
              <w:t>-21.4%</w:t>
            </w:r>
          </w:p>
        </w:tc>
        <w:tc>
          <w:tcPr>
            <w:tcW w:type="dxa" w:w="1440"/>
          </w:tcPr>
          <w:p>
            <w:r>
              <w:t>204.7%</w:t>
            </w:r>
          </w:p>
        </w:tc>
        <w:tc>
          <w:tcPr>
            <w:tcW w:type="dxa" w:w="1440"/>
          </w:tcPr>
          <w:p>
            <w:r>
              <w:t>$302.09</w:t>
            </w:r>
          </w:p>
        </w:tc>
      </w:tr>
      <w:tr>
        <w:tc>
          <w:tcPr>
            <w:tcW w:type="dxa" w:w="1440"/>
          </w:tcPr>
          <w:p>
            <w:r>
              <w:t>CAT</w:t>
            </w:r>
          </w:p>
        </w:tc>
        <w:tc>
          <w:tcPr>
            <w:tcW w:type="dxa" w:w="1440"/>
          </w:tcPr>
          <w:p>
            <w:r>
              <w:t>1.395</w:t>
            </w:r>
          </w:p>
        </w:tc>
        <w:tc>
          <w:tcPr>
            <w:tcW w:type="dxa" w:w="1440"/>
          </w:tcPr>
          <w:p>
            <w:r>
              <w:t>19.3%</w:t>
            </w:r>
          </w:p>
        </w:tc>
        <w:tc>
          <w:tcPr>
            <w:tcW w:type="dxa" w:w="1440"/>
          </w:tcPr>
          <w:p>
            <w:r>
              <w:t>-20.1%</w:t>
            </w:r>
          </w:p>
        </w:tc>
        <w:tc>
          <w:tcPr>
            <w:tcW w:type="dxa" w:w="1440"/>
          </w:tcPr>
          <w:p>
            <w:r>
              <w:t>147.9%</w:t>
            </w:r>
          </w:p>
        </w:tc>
        <w:tc>
          <w:tcPr>
            <w:tcW w:type="dxa" w:w="1440"/>
          </w:tcPr>
          <w:p>
            <w:r>
              <w:t>$702.00</w:t>
            </w:r>
          </w:p>
        </w:tc>
      </w:tr>
      <w:tr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1.171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-20.6%</w:t>
            </w:r>
          </w:p>
        </w:tc>
        <w:tc>
          <w:tcPr>
            <w:tcW w:type="dxa" w:w="1440"/>
          </w:tcPr>
          <w:p>
            <w:r>
              <w:t>81.2%</w:t>
            </w:r>
          </w:p>
        </w:tc>
        <w:tc>
          <w:tcPr>
            <w:tcW w:type="dxa" w:w="1440"/>
          </w:tcPr>
          <w:p>
            <w:r>
              <w:t>$27.85</w:t>
            </w:r>
          </w:p>
        </w:tc>
      </w:tr>
      <w:tr>
        <w:tc>
          <w:tcPr>
            <w:tcW w:type="dxa" w:w="1440"/>
          </w:tcPr>
          <w:p>
            <w:r>
              <w:t>JNJ</w:t>
            </w:r>
          </w:p>
        </w:tc>
        <w:tc>
          <w:tcPr>
            <w:tcW w:type="dxa" w:w="1440"/>
          </w:tcPr>
          <w:p>
            <w:r>
              <w:t>1.074</w:t>
            </w:r>
          </w:p>
        </w:tc>
        <w:tc>
          <w:tcPr>
            <w:tcW w:type="dxa" w:w="1440"/>
          </w:tcPr>
          <w:p>
            <w:r>
              <w:t>11.8%</w:t>
            </w:r>
          </w:p>
        </w:tc>
        <w:tc>
          <w:tcPr>
            <w:tcW w:type="dxa" w:w="1440"/>
          </w:tcPr>
          <w:p>
            <w:r>
              <w:t>-11.8%</w:t>
            </w:r>
          </w:p>
        </w:tc>
        <w:tc>
          <w:tcPr>
            <w:tcW w:type="dxa" w:w="1440"/>
          </w:tcPr>
          <w:p>
            <w:r>
              <w:t>59.1%</w:t>
            </w:r>
          </w:p>
        </w:tc>
        <w:tc>
          <w:tcPr>
            <w:tcW w:type="dxa" w:w="1440"/>
          </w:tcPr>
          <w:p>
            <w:r>
              <w:t>$238.11</w:t>
            </w:r>
          </w:p>
        </w:tc>
      </w:tr>
      <w:tr>
        <w:tc>
          <w:tcPr>
            <w:tcW w:type="dxa" w:w="1440"/>
          </w:tcPr>
          <w:p>
            <w:r>
              <w:t>XOM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35.8%</w:t>
            </w:r>
          </w:p>
        </w:tc>
        <w:tc>
          <w:tcPr>
            <w:tcW w:type="dxa" w:w="1440"/>
          </w:tcPr>
          <w:p>
            <w:r>
              <w:t>-16.1%</w:t>
            </w:r>
          </w:p>
        </w:tc>
        <w:tc>
          <w:tcPr>
            <w:tcW w:type="dxa" w:w="1440"/>
          </w:tcPr>
          <w:p>
            <w:r>
              <w:t>67.4%</w:t>
            </w:r>
          </w:p>
        </w:tc>
        <w:tc>
          <w:tcPr>
            <w:tcW w:type="dxa" w:w="1440"/>
          </w:tcPr>
          <w:p>
            <w:r>
              <w:t>$158.81</w:t>
            </w:r>
          </w:p>
        </w:tc>
      </w:tr>
      <w:tr>
        <w:tc>
          <w:tcPr>
            <w:tcW w:type="dxa" w:w="1440"/>
          </w:tcPr>
          <w:p>
            <w:r>
              <w:t>CSCO</w:t>
            </w:r>
          </w:p>
        </w:tc>
        <w:tc>
          <w:tcPr>
            <w:tcW w:type="dxa" w:w="1440"/>
          </w:tcPr>
          <w:p>
            <w:r>
              <w:t>0.963</w:t>
            </w:r>
          </w:p>
        </w:tc>
        <w:tc>
          <w:tcPr>
            <w:tcW w:type="dxa" w:w="1440"/>
          </w:tcPr>
          <w:p>
            <w:r>
              <w:t>1.9%</w:t>
            </w:r>
          </w:p>
        </w:tc>
        <w:tc>
          <w:tcPr>
            <w:tcW w:type="dxa" w:w="1440"/>
          </w:tcPr>
          <w:p>
            <w:r>
              <w:t>-13.6%</w:t>
            </w:r>
          </w:p>
        </w:tc>
        <w:tc>
          <w:tcPr>
            <w:tcW w:type="dxa" w:w="1440"/>
          </w:tcPr>
          <w:p>
            <w:r>
              <w:t>67.1%</w:t>
            </w:r>
          </w:p>
        </w:tc>
        <w:tc>
          <w:tcPr>
            <w:tcW w:type="dxa" w:w="1440"/>
          </w:tcPr>
          <w:p>
            <w:r>
              <w:t>$79.27</w:t>
            </w:r>
          </w:p>
        </w:tc>
      </w:tr>
      <w:tr>
        <w:tc>
          <w:tcPr>
            <w:tcW w:type="dxa" w:w="1440"/>
          </w:tcPr>
          <w:p>
            <w:r>
              <w:t>COST</w:t>
            </w:r>
          </w:p>
        </w:tc>
        <w:tc>
          <w:tcPr>
            <w:tcW w:type="dxa" w:w="1440"/>
          </w:tcPr>
          <w:p>
            <w:r>
              <w:t>0.889</w:t>
            </w:r>
          </w:p>
        </w:tc>
        <w:tc>
          <w:tcPr>
            <w:tcW w:type="dxa" w:w="1440"/>
          </w:tcPr>
          <w:p>
            <w:r>
              <w:t>15.9%</w:t>
            </w:r>
          </w:p>
        </w:tc>
        <w:tc>
          <w:tcPr>
            <w:tcW w:type="dxa" w:w="1440"/>
          </w:tcPr>
          <w:p>
            <w:r>
              <w:t>-19.4%</w:t>
            </w:r>
          </w:p>
        </w:tc>
        <w:tc>
          <w:tcPr>
            <w:tcW w:type="dxa" w:w="1440"/>
          </w:tcPr>
          <w:p>
            <w:r>
              <w:t>55.0%</w:t>
            </w:r>
          </w:p>
        </w:tc>
        <w:tc>
          <w:tcPr>
            <w:tcW w:type="dxa" w:w="1440"/>
          </w:tcPr>
          <w:p>
            <w:r>
              <w:t>$996.16</w:t>
            </w:r>
          </w:p>
        </w:tc>
      </w:tr>
      <w:tr>
        <w:tc>
          <w:tcPr>
            <w:tcW w:type="dxa" w:w="1440"/>
          </w:tcPr>
          <w:p>
            <w:r>
              <w:t>KO</w:t>
            </w:r>
          </w:p>
        </w:tc>
        <w:tc>
          <w:tcPr>
            <w:tcW w:type="dxa" w:w="1440"/>
          </w:tcPr>
          <w:p>
            <w:r>
              <w:t>0.779</w:t>
            </w:r>
          </w:p>
        </w:tc>
        <w:tc>
          <w:tcPr>
            <w:tcW w:type="dxa" w:w="1440"/>
          </w:tcPr>
          <w:p>
            <w:r>
              <w:t>10.1%</w:t>
            </w:r>
          </w:p>
        </w:tc>
        <w:tc>
          <w:tcPr>
            <w:tcW w:type="dxa" w:w="1440"/>
          </w:tcPr>
          <w:p>
            <w:r>
              <w:t>-9.8%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$77.58</w:t>
            </w:r>
          </w:p>
        </w:tc>
      </w:tr>
      <w:tr>
        <w:tc>
          <w:tcPr>
            <w:tcW w:type="dxa" w:w="1440"/>
          </w:tcPr>
          <w:p>
            <w:r>
              <w:t>VZ</w:t>
            </w:r>
          </w:p>
        </w:tc>
        <w:tc>
          <w:tcPr>
            <w:tcW w:type="dxa" w:w="1440"/>
          </w:tcPr>
          <w:p>
            <w:r>
              <w:t>0.770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-13.3%</w:t>
            </w:r>
          </w:p>
        </w:tc>
        <w:tc>
          <w:tcPr>
            <w:tcW w:type="dxa" w:w="1440"/>
          </w:tcPr>
          <w:p>
            <w:r>
              <w:t>50.7%</w:t>
            </w:r>
          </w:p>
        </w:tc>
        <w:tc>
          <w:tcPr>
            <w:tcW w:type="dxa" w:w="1440"/>
          </w:tcPr>
          <w:p>
            <w:r>
              <w:t>$50.52</w:t>
            </w:r>
          </w:p>
        </w:tc>
      </w:tr>
      <w:tr>
        <w:tc>
          <w:tcPr>
            <w:tcW w:type="dxa" w:w="1440"/>
          </w:tcPr>
          <w:p>
            <w:r>
              <w:t>CVX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  <w:tc>
          <w:tcPr>
            <w:tcW w:type="dxa" w:w="1440"/>
          </w:tcPr>
          <w:p>
            <w:r>
              <w:t>33.5%</w:t>
            </w:r>
          </w:p>
        </w:tc>
        <w:tc>
          <w:tcPr>
            <w:tcW w:type="dxa" w:w="1440"/>
          </w:tcPr>
          <w:p>
            <w:r>
              <w:t>-20.6%</w:t>
            </w:r>
          </w:p>
        </w:tc>
        <w:tc>
          <w:tcPr>
            <w:tcW w:type="dxa" w:w="1440"/>
          </w:tcPr>
          <w:p>
            <w:r>
              <w:t>46.0%</w:t>
            </w:r>
          </w:p>
        </w:tc>
        <w:tc>
          <w:tcPr>
            <w:tcW w:type="dxa" w:w="1440"/>
          </w:tcPr>
          <w:p>
            <w:r>
              <w:t>$197.97</w:t>
            </w:r>
          </w:p>
        </w:tc>
      </w:tr>
      <w:tr>
        <w:tc>
          <w:tcPr>
            <w:tcW w:type="dxa" w:w="1440"/>
          </w:tcPr>
          <w:p>
            <w:r>
              <w:t>TMUS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9.3%</w:t>
            </w:r>
          </w:p>
        </w:tc>
        <w:tc>
          <w:tcPr>
            <w:tcW w:type="dxa" w:w="1440"/>
          </w:tcPr>
          <w:p>
            <w:r>
              <w:t>-30.8%</w:t>
            </w:r>
          </w:p>
        </w:tc>
        <w:tc>
          <w:tcPr>
            <w:tcW w:type="dxa" w:w="1440"/>
          </w:tcPr>
          <w:p>
            <w:r>
              <w:t>36.5%</w:t>
            </w:r>
          </w:p>
        </w:tc>
        <w:tc>
          <w:tcPr>
            <w:tcW w:type="dxa" w:w="1440"/>
          </w:tcPr>
          <w:p>
            <w:r>
              <w:t>$213.35</w:t>
            </w:r>
          </w:p>
        </w:tc>
      </w:tr>
    </w:tbl>
    <w:p/>
    <w:p>
      <w:r>
        <w:rPr>
          <w:b/>
        </w:rPr>
        <w:t>Recomendación #1: WMT</w:t>
        <w:br/>
      </w:r>
    </w:p>
    <w:p>
      <w:pPr>
        <w:pStyle w:val="ListBullet"/>
      </w:pPr>
      <w:r>
        <w:t>• Precio actual: $125.08</w:t>
      </w:r>
    </w:p>
    <w:p>
      <w:pPr>
        <w:pStyle w:val="ListBullet"/>
      </w:pPr>
      <w:r>
        <w:t>• Sharpe 2Y: 1.738 (excelente riesgo-retorno)</w:t>
      </w:r>
    </w:p>
    <w:p>
      <w:pPr>
        <w:pStyle w:val="ListBullet"/>
      </w:pPr>
      <w:r>
        <w:t>• Momentum 3M: +7.1%</w:t>
      </w:r>
    </w:p>
    <w:p>
      <w:pPr>
        <w:pStyle w:val="ListBullet"/>
      </w:pPr>
      <w:r>
        <w:t>• Max Drawdown controlado: -8.9%</w:t>
      </w:r>
    </w:p>
    <w:p>
      <w:pPr>
        <w:pStyle w:val="Heading2"/>
      </w:pPr>
      <w:r>
        <w:t>4.3 Observaciones</w:t>
      </w:r>
    </w:p>
    <w:p>
      <w:pPr>
        <w:pStyle w:val="ListBullet"/>
      </w:pPr>
      <w:r>
        <w:t>• NVIDIA y Apple fueron FILTRADAS (no son buenas compras en marzo 2026)</w:t>
      </w:r>
    </w:p>
    <w:p>
      <w:pPr>
        <w:pStyle w:val="ListBullet"/>
      </w:pPr>
      <w:r>
        <w:t>• El mercado está en rotación sectorial: Growth → Value</w:t>
      </w:r>
    </w:p>
    <w:p>
      <w:pPr>
        <w:pStyle w:val="ListBullet"/>
      </w:pPr>
      <w:r>
        <w:t>• Sectores aprobados: Retail defensivo, Energía, Telecom, Industrial</w:t>
      </w:r>
    </w:p>
    <w:p>
      <w:pPr>
        <w:pStyle w:val="ListBullet"/>
      </w:pPr>
      <w:r>
        <w:t>• Sectores filtrados: Tech de alto crecimiento, Finanzas</w:t>
      </w:r>
    </w:p>
    <w:p>
      <w:r>
        <w:br w:type="page"/>
      </w:r>
    </w:p>
    <w:p>
      <w:pPr>
        <w:pStyle w:val="Heading1"/>
      </w:pPr>
      <w:r>
        <w:t>5. Backtesting de Estrategias</w:t>
      </w:r>
    </w:p>
    <w:p>
      <w:r>
        <w:t>Se comparó la estrategia de Medias Móviles + Stop Loss/Take Profit contra Buy and Hold en las 50 acciones.</w:t>
      </w:r>
    </w:p>
    <w:p>
      <w:pPr>
        <w:pStyle w:val="Heading2"/>
      </w:pPr>
      <w:r>
        <w:t>5.1 Estrategia Testada</w:t>
      </w:r>
    </w:p>
    <w:p>
      <w:pPr>
        <w:pStyle w:val="ListBullet"/>
      </w:pPr>
      <w:r>
        <w:t>• Señal de compra: Golden Cross (MA20 cruza por encima de MA50)</w:t>
      </w:r>
    </w:p>
    <w:p>
      <w:pPr>
        <w:pStyle w:val="ListBullet"/>
      </w:pPr>
      <w:r>
        <w:t>• Señal de venta: Death Cross (MA20 cruza por debajo de MA50)</w:t>
      </w:r>
    </w:p>
    <w:p>
      <w:pPr>
        <w:pStyle w:val="ListBullet"/>
      </w:pPr>
      <w:r>
        <w:t>• Stop Loss: -10% desde precio de compra</w:t>
      </w:r>
    </w:p>
    <w:p>
      <w:pPr>
        <w:pStyle w:val="ListBullet"/>
      </w:pPr>
      <w:r>
        <w:t>• Take Profit: +20% desde precio de compra</w:t>
      </w:r>
    </w:p>
    <w:p>
      <w:pPr>
        <w:pStyle w:val="Heading2"/>
      </w:pPr>
      <w:r>
        <w:t>5.2 Resultados Generales</w:t>
      </w:r>
    </w:p>
    <w:p>
      <w:r>
        <w:rPr>
          <w:b/>
        </w:rPr>
        <w:t>Resultados:</w:t>
        <w:br/>
      </w:r>
    </w:p>
    <w:p>
      <w:pPr>
        <w:pStyle w:val="ListBullet"/>
      </w:pPr>
      <w:r>
        <w:t>• Estrategia gana: 5/48 acciones (10.4%)</w:t>
      </w:r>
    </w:p>
    <w:p>
      <w:pPr>
        <w:pStyle w:val="ListBullet"/>
      </w:pPr>
      <w:r>
        <w:t>• Buy and Hold gana: 43/48 acciones (89.6%)</w:t>
      </w:r>
    </w:p>
    <w:p>
      <w:pPr>
        <w:pStyle w:val="ListBullet"/>
      </w:pPr>
      <w:r>
        <w:t>• Ventaja promedio de la estrategia: -171.8%</w:t>
      </w:r>
    </w:p>
    <w:p>
      <w:pPr>
        <w:pStyle w:val="ListBullet"/>
      </w:pPr>
      <w:r>
        <w:t>• Retorno promedio estrategia: +38.8%</w:t>
      </w:r>
    </w:p>
    <w:p>
      <w:pPr>
        <w:pStyle w:val="ListBullet"/>
      </w:pPr>
      <w:r>
        <w:t>• Retorno promedio Buy and Hold: +210.6%</w:t>
      </w:r>
    </w:p>
    <w:p/>
    <w:p>
      <w:r>
        <w:rPr>
          <w:b/>
        </w:rPr>
        <w:t>Acciones donde la estrategia GANÓ: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Ticker</w:t>
            </w:r>
          </w:p>
        </w:tc>
        <w:tc>
          <w:tcPr>
            <w:tcW w:type="dxa" w:w="2160"/>
          </w:tcPr>
          <w:p>
            <w:r>
              <w:t>BH %</w:t>
            </w:r>
          </w:p>
        </w:tc>
        <w:tc>
          <w:tcPr>
            <w:tcW w:type="dxa" w:w="2160"/>
          </w:tcPr>
          <w:p>
            <w:r>
              <w:t>Estrategia %</w:t>
            </w:r>
          </w:p>
        </w:tc>
        <w:tc>
          <w:tcPr>
            <w:tcW w:type="dxa" w:w="2160"/>
          </w:tcPr>
          <w:p>
            <w:r>
              <w:t>Ventaja %</w:t>
            </w:r>
          </w:p>
        </w:tc>
      </w:tr>
      <w:tr>
        <w:tc>
          <w:tcPr>
            <w:tcW w:type="dxa" w:w="2160"/>
          </w:tcPr>
          <w:p>
            <w:r>
              <w:t>DIS</w:t>
            </w:r>
          </w:p>
        </w:tc>
        <w:tc>
          <w:tcPr>
            <w:tcW w:type="dxa" w:w="2160"/>
          </w:tcPr>
          <w:p>
            <w:r>
              <w:t>-31.3%</w:t>
            </w:r>
          </w:p>
        </w:tc>
        <w:tc>
          <w:tcPr>
            <w:tcW w:type="dxa" w:w="2160"/>
          </w:tcPr>
          <w:p>
            <w:r>
              <w:t>59.3%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</w:tr>
      <w:tr>
        <w:tc>
          <w:tcPr>
            <w:tcW w:type="dxa" w:w="2160"/>
          </w:tcPr>
          <w:p>
            <w:r>
              <w:t>BA</w:t>
            </w:r>
          </w:p>
        </w:tc>
        <w:tc>
          <w:tcPr>
            <w:tcW w:type="dxa" w:w="2160"/>
          </w:tcPr>
          <w:p>
            <w:r>
              <w:t>-37.8%</w:t>
            </w:r>
          </w:p>
        </w:tc>
        <w:tc>
          <w:tcPr>
            <w:tcW w:type="dxa" w:w="2160"/>
          </w:tcPr>
          <w:p>
            <w:r>
              <w:t>15.8%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</w:tr>
      <w:tr>
        <w:tc>
          <w:tcPr>
            <w:tcW w:type="dxa" w:w="2160"/>
          </w:tcPr>
          <w:p>
            <w:r>
              <w:t>NKE</w:t>
            </w:r>
          </w:p>
        </w:tc>
        <w:tc>
          <w:tcPr>
            <w:tcW w:type="dxa" w:w="2160"/>
          </w:tcPr>
          <w:p>
            <w:r>
              <w:t>-42.9%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32.9%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17.8%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PFE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-0.3%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</w:tr>
    </w:tbl>
    <w:p/>
    <w:p>
      <w:r>
        <w:rPr>
          <w:b/>
        </w:rPr>
        <w:t>Acciones donde Buy and Hold GANÓ: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Ticker</w:t>
            </w:r>
          </w:p>
        </w:tc>
        <w:tc>
          <w:tcPr>
            <w:tcW w:type="dxa" w:w="2160"/>
          </w:tcPr>
          <w:p>
            <w:r>
              <w:t>BH %</w:t>
            </w:r>
          </w:p>
        </w:tc>
        <w:tc>
          <w:tcPr>
            <w:tcW w:type="dxa" w:w="2160"/>
          </w:tcPr>
          <w:p>
            <w:r>
              <w:t>Estrategia %</w:t>
            </w:r>
          </w:p>
        </w:tc>
        <w:tc>
          <w:tcPr>
            <w:tcW w:type="dxa" w:w="2160"/>
          </w:tcPr>
          <w:p>
            <w:r>
              <w:t>Ventaja %</w:t>
            </w:r>
          </w:p>
        </w:tc>
      </w:tr>
      <w:tr>
        <w:tc>
          <w:tcPr>
            <w:tcW w:type="dxa" w:w="2160"/>
          </w:tcPr>
          <w:p>
            <w:r>
              <w:t>NVDA</w:t>
            </w:r>
          </w:p>
        </w:tc>
        <w:tc>
          <w:tcPr>
            <w:tcW w:type="dxa" w:w="2160"/>
          </w:tcPr>
          <w:p>
            <w:r>
              <w:t>2921.4%</w:t>
            </w:r>
          </w:p>
        </w:tc>
        <w:tc>
          <w:tcPr>
            <w:tcW w:type="dxa" w:w="2160"/>
          </w:tcPr>
          <w:p>
            <w:r>
              <w:t>142.6%</w:t>
            </w:r>
          </w:p>
        </w:tc>
        <w:tc>
          <w:tcPr>
            <w:tcW w:type="dxa" w:w="2160"/>
          </w:tcPr>
          <w:p>
            <w:r>
              <w:t>-2778.8%</w:t>
            </w:r>
          </w:p>
        </w:tc>
      </w:tr>
      <w:tr>
        <w:tc>
          <w:tcPr>
            <w:tcW w:type="dxa" w:w="2160"/>
          </w:tcPr>
          <w:p>
            <w:r>
              <w:t>TSLA</w:t>
            </w:r>
          </w:p>
        </w:tc>
        <w:tc>
          <w:tcPr>
            <w:tcW w:type="dxa" w:w="2160"/>
          </w:tcPr>
          <w:p>
            <w:r>
              <w:t>1269.3%</w:t>
            </w:r>
          </w:p>
        </w:tc>
        <w:tc>
          <w:tcPr>
            <w:tcW w:type="dxa" w:w="2160"/>
          </w:tcPr>
          <w:p>
            <w:r>
              <w:t>79.8%</w:t>
            </w:r>
          </w:p>
        </w:tc>
        <w:tc>
          <w:tcPr>
            <w:tcW w:type="dxa" w:w="2160"/>
          </w:tcPr>
          <w:p>
            <w:r>
              <w:t>-1189.5%</w:t>
            </w:r>
          </w:p>
        </w:tc>
      </w:tr>
      <w:tr>
        <w:tc>
          <w:tcPr>
            <w:tcW w:type="dxa" w:w="2160"/>
          </w:tcPr>
          <w:p>
            <w:r>
              <w:t>LLY</w:t>
            </w:r>
          </w:p>
        </w:tc>
        <w:tc>
          <w:tcPr>
            <w:tcW w:type="dxa" w:w="2160"/>
          </w:tcPr>
          <w:p>
            <w:r>
              <w:t>647.6%</w:t>
            </w:r>
          </w:p>
        </w:tc>
        <w:tc>
          <w:tcPr>
            <w:tcW w:type="dxa" w:w="2160"/>
          </w:tcPr>
          <w:p>
            <w:r>
              <w:t>107.9%</w:t>
            </w:r>
          </w:p>
        </w:tc>
        <w:tc>
          <w:tcPr>
            <w:tcW w:type="dxa" w:w="2160"/>
          </w:tcPr>
          <w:p>
            <w:r>
              <w:t>-539.7%</w:t>
            </w:r>
          </w:p>
        </w:tc>
      </w:tr>
      <w:tr>
        <w:tc>
          <w:tcPr>
            <w:tcW w:type="dxa" w:w="2160"/>
          </w:tcPr>
          <w:p>
            <w:r>
              <w:t>GE</w:t>
            </w:r>
          </w:p>
        </w:tc>
        <w:tc>
          <w:tcPr>
            <w:tcW w:type="dxa" w:w="2160"/>
          </w:tcPr>
          <w:p>
            <w:r>
              <w:t>421.2%</w:t>
            </w:r>
          </w:p>
        </w:tc>
        <w:tc>
          <w:tcPr>
            <w:tcW w:type="dxa" w:w="2160"/>
          </w:tcPr>
          <w:p>
            <w:r>
              <w:t>65.5%</w:t>
            </w:r>
          </w:p>
        </w:tc>
        <w:tc>
          <w:tcPr>
            <w:tcW w:type="dxa" w:w="2160"/>
          </w:tcPr>
          <w:p>
            <w:r>
              <w:t>-355.7%</w:t>
            </w:r>
          </w:p>
        </w:tc>
      </w:tr>
      <w:tr>
        <w:tc>
          <w:tcPr>
            <w:tcW w:type="dxa" w:w="2160"/>
          </w:tcPr>
          <w:p>
            <w:r>
              <w:t>CAT</w:t>
            </w:r>
          </w:p>
        </w:tc>
        <w:tc>
          <w:tcPr>
            <w:tcW w:type="dxa" w:w="2160"/>
          </w:tcPr>
          <w:p>
            <w:r>
              <w:t>423.2%</w:t>
            </w:r>
          </w:p>
        </w:tc>
        <w:tc>
          <w:tcPr>
            <w:tcW w:type="dxa" w:w="2160"/>
          </w:tcPr>
          <w:p>
            <w:r>
              <w:t>118.1%</w:t>
            </w:r>
          </w:p>
        </w:tc>
        <w:tc>
          <w:tcPr>
            <w:tcW w:type="dxa" w:w="2160"/>
          </w:tcPr>
          <w:p>
            <w:r>
              <w:t>-305.1%</w:t>
            </w:r>
          </w:p>
        </w:tc>
      </w:tr>
    </w:tbl>
    <w:p>
      <w:pPr>
        <w:pStyle w:val="Heading2"/>
      </w:pPr>
      <w:r>
        <w:t>5.3 Conclusiones</w:t>
      </w:r>
    </w:p>
    <w:p>
      <w:r>
        <w:t xml:space="preserve">En mercados alcistas fuertes (2020-2026), </w:t>
      </w:r>
      <w:r>
        <w:rPr>
          <w:b/>
        </w:rPr>
        <w:t>Buy and Hold domina</w:t>
      </w:r>
      <w:r>
        <w:t>. La estrategia activa solo funciona en acciones bajistas o laterales (10% de casos). Stop Loss y Take Profit protegen en caídas pero cortan ganancias prematuramente en tendencias alcistas fuertes.</w:t>
      </w:r>
    </w:p>
    <w:p>
      <w:r>
        <w:br w:type="page"/>
      </w:r>
    </w:p>
    <w:p>
      <w:pPr>
        <w:pStyle w:val="Heading1"/>
      </w:pPr>
      <w:r>
        <w:t>6. Optimización de Portfolio por Correlaciones</w:t>
      </w:r>
    </w:p>
    <w:p>
      <w:r>
        <w:t>Se calcularon las correlaciones entre las 50 acciones para construir un portfolio óptimo que minimize riesgo sin sacrificar retorno.</w:t>
      </w:r>
    </w:p>
    <w:p>
      <w:pPr>
        <w:pStyle w:val="Heading2"/>
      </w:pPr>
      <w:r>
        <w:t>6.1 Análisis de Correlaciones</w:t>
      </w:r>
    </w:p>
    <w:p>
      <w:r>
        <w:rPr>
          <w:b/>
        </w:rPr>
        <w:t>Par más correlacionado:</w:t>
        <w:br/>
      </w:r>
    </w:p>
    <w:p>
      <w:r>
        <w:t>V y MA: 0.886</w:t>
      </w:r>
    </w:p>
    <w:p>
      <w:r>
        <w:t>Estas acciones se mueven casi idénticamente. Tener ambas NO diversifica.</w:t>
      </w:r>
    </w:p>
    <w:p/>
    <w:p>
      <w:r>
        <w:rPr>
          <w:b/>
        </w:rPr>
        <w:t>Par menos correlacionado:</w:t>
        <w:br/>
      </w:r>
    </w:p>
    <w:p>
      <w:r>
        <w:t>NVDA y JNJ: -0.109</w:t>
      </w:r>
    </w:p>
    <w:p>
      <w:r>
        <w:t>Estas acciones se mueven independientemente. Combinarlas reduce riesgo.</w:t>
      </w:r>
    </w:p>
    <w:p>
      <w:pPr>
        <w:pStyle w:val="Heading2"/>
      </w:pPr>
      <w:r>
        <w:t>6.2 Portfolio Óptimo</w:t>
      </w:r>
    </w:p>
    <w:p>
      <w:r>
        <w:t>Se construyó un portfolio de 10 acciones con las correlaciones más bajas entre sí:</w:t>
      </w:r>
    </w:p>
    <w:p>
      <w:r>
        <w:t>El portfolio óptimo se construyó seleccionando las acciones con menor correlación promedio y que además tuvieran baja correlación entre sí.</w:t>
      </w:r>
    </w:p>
    <w:p/>
    <w:p>
      <w:r>
        <w:rPr>
          <w:b/>
        </w:rPr>
        <w:t>Beneficios del portfolio optimizado:</w:t>
        <w:br/>
      </w:r>
    </w:p>
    <w:p>
      <w:pPr>
        <w:pStyle w:val="ListBullet"/>
      </w:pPr>
      <w:r>
        <w:t>• Reducción de riesgo (volatilidad): aproximadamente 29%</w:t>
      </w:r>
    </w:p>
    <w:p>
      <w:pPr>
        <w:pStyle w:val="ListBullet"/>
      </w:pPr>
      <w:r>
        <w:t>• Sharpe Ratio del portfolio: 0.842 (excelente)</w:t>
      </w:r>
    </w:p>
    <w:p>
      <w:pPr>
        <w:pStyle w:val="ListBullet"/>
      </w:pPr>
      <w:r>
        <w:t>• Cuando un sector cae, otros sectores compensan</w:t>
      </w:r>
    </w:p>
    <w:p>
      <w:pPr>
        <w:pStyle w:val="ListBullet"/>
      </w:pPr>
      <w:r>
        <w:t>• Diversificación verdadera (sectores descorrelacionados)</w:t>
      </w:r>
    </w:p>
    <w:p>
      <w:r>
        <w:br w:type="page"/>
      </w:r>
    </w:p>
    <w:p>
      <w:pPr>
        <w:pStyle w:val="Heading1"/>
      </w:pPr>
      <w:r>
        <w:t>7. Conclusiones y Recomendaciones</w:t>
      </w:r>
    </w:p>
    <w:p>
      <w:pPr>
        <w:pStyle w:val="Heading2"/>
      </w:pPr>
      <w:r>
        <w:t>7.1 Principales Hallazgos</w:t>
      </w:r>
    </w:p>
    <w:p>
      <w:pPr>
        <w:pStyle w:val="ListNumber"/>
      </w:pPr>
      <w:r>
        <w:t>1. No existe estrategia universal</w:t>
      </w:r>
    </w:p>
    <w:p>
      <w:r>
        <w:t xml:space="preserve">   En mercados alcistas fuertes, Buy and Hold supera a estrategias activas. En mercados bajistas/laterales, estrategias activas con Stop Loss protegen mejor.</w:t>
      </w:r>
    </w:p>
    <w:p>
      <w:pPr>
        <w:pStyle w:val="ListNumber"/>
      </w:pPr>
      <w:r>
        <w:t>2. El pasado predice parcialmente el futuro</w:t>
      </w:r>
    </w:p>
    <w:p>
      <w:r>
        <w:t xml:space="preserve">   El Sharpe histórico identifica 20-30% de ganadores futuros. Es útil para screening pero no garantiza éxito.</w:t>
      </w:r>
    </w:p>
    <w:p>
      <w:pPr>
        <w:pStyle w:val="ListNumber"/>
      </w:pPr>
      <w:r>
        <w:t>3. Timing de mercado es crítico</w:t>
      </w:r>
    </w:p>
    <w:p>
      <w:r>
        <w:t xml:space="preserve">   NVIDIA fue la mejor acción 2020-2026 pero fue filtrada en marzo 2026. Los ganadores del pasado no son siempre las mejores compras del presente.</w:t>
      </w:r>
    </w:p>
    <w:p>
      <w:pPr>
        <w:pStyle w:val="ListNumber"/>
      </w:pPr>
      <w:r>
        <w:t>4. Diversificación verdadera requiere baja correlación</w:t>
      </w:r>
    </w:p>
    <w:p>
      <w:r>
        <w:t xml:space="preserve">   10 acciones tech (alta correlación) = diversificación falsa. 10 acciones de sectores diferentes (baja correlación) = diversificación real que reduce riesgo 29%.</w:t>
      </w:r>
    </w:p>
    <w:p>
      <w:pPr>
        <w:pStyle w:val="Heading2"/>
      </w:pPr>
      <w:r>
        <w:t>7.2 Recomendaciones de Inversión</w:t>
      </w:r>
    </w:p>
    <w:p>
      <w:r>
        <w:rPr>
          <w:b/>
        </w:rPr>
        <w:t>Para inversores conservadores:</w:t>
        <w:br/>
      </w:r>
    </w:p>
    <w:p>
      <w:pPr>
        <w:pStyle w:val="ListBullet"/>
      </w:pPr>
      <w:r>
        <w:t>• Portfolio diversificado de 10-20 acciones con baja correlación</w:t>
      </w:r>
    </w:p>
    <w:p>
      <w:pPr>
        <w:pStyle w:val="ListBullet"/>
      </w:pPr>
      <w:r>
        <w:t>• Buy and Hold en acciones estables (WMT, JNJ, KO)</w:t>
      </w:r>
    </w:p>
    <w:p>
      <w:pPr>
        <w:pStyle w:val="ListBullet"/>
      </w:pPr>
      <w:r>
        <w:t>• Rebalanceo anual basado en Sharpe histórico</w:t>
      </w:r>
    </w:p>
    <w:p>
      <w:pPr>
        <w:pStyle w:val="ListBullet"/>
      </w:pPr>
      <w:r>
        <w:t>• Objetivo: Sharpe 0.7-1.0, drawdown &lt;25%</w:t>
      </w:r>
    </w:p>
    <w:p/>
    <w:p>
      <w:r>
        <w:rPr>
          <w:b/>
        </w:rPr>
        <w:t>Para inversores moderados:</w:t>
        <w:br/>
      </w:r>
    </w:p>
    <w:p>
      <w:pPr>
        <w:pStyle w:val="ListBullet"/>
      </w:pPr>
      <w:r>
        <w:t>• 70% en portfolio diversificado (top 10-20 por Sharpe)</w:t>
      </w:r>
    </w:p>
    <w:p>
      <w:pPr>
        <w:pStyle w:val="ListBullet"/>
      </w:pPr>
      <w:r>
        <w:t>• 30% en estrategia activa MA+SL/TP en acciones volátiles</w:t>
      </w:r>
    </w:p>
    <w:p>
      <w:pPr>
        <w:pStyle w:val="ListBullet"/>
      </w:pPr>
      <w:r>
        <w:t>• Rebalanceo trimestral</w:t>
      </w:r>
    </w:p>
    <w:p>
      <w:pPr>
        <w:pStyle w:val="ListBullet"/>
      </w:pPr>
      <w:r>
        <w:t>• Objetivo: Sharpe 0.8-1.2, drawdown &lt;30%</w:t>
      </w:r>
    </w:p>
    <w:p/>
    <w:p>
      <w:r>
        <w:rPr>
          <w:b/>
        </w:rPr>
        <w:t>Para inversores agresivos:</w:t>
        <w:br/>
      </w:r>
    </w:p>
    <w:p>
      <w:pPr>
        <w:pStyle w:val="ListBullet"/>
      </w:pPr>
      <w:r>
        <w:t>• Concentración en top 3-5 por Sharpe histórico</w:t>
      </w:r>
    </w:p>
    <w:p>
      <w:pPr>
        <w:pStyle w:val="ListBullet"/>
      </w:pPr>
      <w:r>
        <w:t>• Validar 6-12 meses antes de aumentar exposición</w:t>
      </w:r>
    </w:p>
    <w:p>
      <w:pPr>
        <w:pStyle w:val="ListBullet"/>
      </w:pPr>
      <w:r>
        <w:t>• Usar stop loss amplio (-20%) para aguantar volatilidad</w:t>
      </w:r>
    </w:p>
    <w:p>
      <w:pPr>
        <w:pStyle w:val="ListBullet"/>
      </w:pPr>
      <w:r>
        <w:t>• Objetivo: Sharpe &gt;1.0, dispuesto a tolerar drawdown &gt;40%</w:t>
      </w:r>
    </w:p>
    <w:p>
      <w:pPr>
        <w:pStyle w:val="Heading2"/>
      </w:pPr>
      <w:r>
        <w:t>7.3 Próximos Pasos</w:t>
      </w:r>
    </w:p>
    <w:p>
      <w:pPr>
        <w:pStyle w:val="ListBullet"/>
      </w:pPr>
      <w:r>
        <w:t>• Machine Learning para detectar automáticamente tipo de mercado</w:t>
      </w:r>
    </w:p>
    <w:p>
      <w:pPr>
        <w:pStyle w:val="ListBullet"/>
      </w:pPr>
      <w:r>
        <w:t>• Modelos predictivos (XGBoost, LSTM) para forecasting</w:t>
      </w:r>
    </w:p>
    <w:p>
      <w:pPr>
        <w:pStyle w:val="ListBullet"/>
      </w:pPr>
      <w:r>
        <w:t>• NLP para análisis de sentimiento en noticias</w:t>
      </w:r>
    </w:p>
    <w:p>
      <w:pPr>
        <w:pStyle w:val="ListBullet"/>
      </w:pPr>
      <w:r>
        <w:t>• Bot de trading automatizado con validación en paper trading</w:t>
      </w:r>
    </w:p>
    <w:p>
      <w:r>
        <w:br w:type="page"/>
      </w:r>
    </w:p>
    <w:p>
      <w:pPr>
        <w:pStyle w:val="Heading1"/>
      </w:pPr>
      <w:r>
        <w:t>8. Apéndices</w:t>
      </w:r>
    </w:p>
    <w:p>
      <w:r>
        <w:t>Los siguientes archivos CSV contienen los datos completos del análisis:</w:t>
      </w:r>
    </w:p>
    <w:p>
      <w:pPr>
        <w:pStyle w:val="ListBullet"/>
      </w:pPr>
      <w:r>
        <w:t>• sp500_analysis.csv - Análisis de las 50 acciones con todas las métricas</w:t>
      </w:r>
    </w:p>
    <w:p>
      <w:pPr>
        <w:pStyle w:val="ListBullet"/>
      </w:pPr>
      <w:r>
        <w:t>• acciones_compra_hoy.csv - Acciones que pasaron los 4 filtros de screening</w:t>
      </w:r>
    </w:p>
    <w:p>
      <w:pPr>
        <w:pStyle w:val="ListBullet"/>
      </w:pPr>
      <w:r>
        <w:t>• backtesting_masivo_50.csv - Resultados del backtesting comparativo</w:t>
      </w:r>
    </w:p>
    <w:p>
      <w:pPr>
        <w:pStyle w:val="ListBullet"/>
      </w:pPr>
      <w:r>
        <w:t>• matriz_correlaciones.csv - Matriz completa de correlaciones</w:t>
      </w:r>
    </w:p>
    <w:p>
      <w:pPr>
        <w:pStyle w:val="ListBullet"/>
      </w:pPr>
      <w:r>
        <w:t>• pares_correlacionados.csv - Todos los pares ordenados por correlación</w:t>
      </w:r>
    </w:p>
    <w:p/>
    <w:p>
      <w:r>
        <w:t xml:space="preserve">Código fuente disponible en: </w:t>
      </w:r>
      <w:r>
        <w:rPr>
          <w:i/>
        </w:rPr>
        <w:t>https://github.com/Irenetanarro/tradingbot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