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vb0fuw9bnj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Recruit-AI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yy4waj02v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Metrics, Roadmap &amp; Vision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qzjq7virl8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document defines how Recruit-AI measures success, the near-term execution roadmap, and the long-term product vision. The focus is on measurable impact, realistic delivery, and business viability for small and mid-sized companies.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2uwnrjlm66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Success Metrics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tf14z7m0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Time-to-Screen Reduction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Average time required to evaluate a resume against a job description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Impact:</w:t>
      </w:r>
      <w:r w:rsidDel="00000000" w:rsidR="00000000" w:rsidRPr="00000000">
        <w:rPr>
          <w:rtl w:val="0"/>
        </w:rPr>
        <w:t xml:space="preserve"> 40–60% reduction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Resume screening is the highest-friction task for SMB recruiters. Reducing this directly improves hiring velocity and reduces decision fatigue.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62gknjalmm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Interview Scheduling Speed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Time from “Interview Recommended” to “Interview Scheduled”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Impact:</w:t>
      </w:r>
      <w:r w:rsidDel="00000000" w:rsidR="00000000" w:rsidRPr="00000000">
        <w:rPr>
          <w:rtl w:val="0"/>
        </w:rPr>
        <w:t xml:space="preserve"> Same-day or next-day scheduling for more than 70% of candidates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Slow scheduling leads to candidate drop-off. Automation preserves momentum and improves candidate experience.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dz5pi6ovmp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Recruiter Confidence Score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Percentage of AI recommendations accepted without manual override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Impact:</w:t>
      </w:r>
      <w:r w:rsidDel="00000000" w:rsidR="00000000" w:rsidRPr="00000000">
        <w:rPr>
          <w:rtl w:val="0"/>
        </w:rPr>
        <w:t xml:space="preserve"> Greater than 75% acceptance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Trust is essential for AI adoption. High acceptance signals explainability and decision quality.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0urnxgpmsl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Candidate Drop-Off Rate (Secondary Metric)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Percentage of shortlisted candidates who disengage before interview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Impact:</w:t>
      </w:r>
      <w:r w:rsidDel="00000000" w:rsidR="00000000" w:rsidRPr="00000000">
        <w:rPr>
          <w:rtl w:val="0"/>
        </w:rPr>
        <w:t xml:space="preserve"> Reduction compared to baseline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Faster responses and clearer communication improve employer brand and hiring outcomes.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xdrtdbaqv0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6-Month Product Roadmap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ahfqrgqjiu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Core Screening Expansion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Batch resume uploads and candidate ranking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Improved scoring consistency and calibration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kmq3uyuu16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Action Automation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Calendar integration (Google and Outlook)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Recruiter feedback loop to refine AI evaluations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zi9gb5n09j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Ecosystem Integration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ATS export (CSV or ATS-compatible format)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Lightweight reporting on hiring outcomes</w:t>
        <w:br w:type="textWrapping"/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3t7wxd9b6c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Product Vision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Recruit-AI aims to become the hiring intelligence layer for small and mid-sized businesses. Starting with screening and scheduling, the platform will expand into end-to-end hiring support while maintaining a focus on explainable, action-oriented decision assistance.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rdd9rgxuiq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By solving a narrow but painful problem first, Recruit-AI builds trust, adoption, and data—creating a strong foundation for long-term platform expansion.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