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2b7ppugj0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Recruit-AI: Process &amp; Decision 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xqloco3c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key learnings, prompt iterations, and design decisions made while building Recruit-AI. It focuses on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decisions were made, demonstrating structured product thinking, intentional scoping, and iterative learning.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ghetjbbr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Discovery &amp; Scope 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research showed that small and mid-sized companies experience hiring challenges differently from enterprises. Hiring is infrequent, recruiters are often founders or generalists, and existing ATS tools are complex and underused.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Focus exclusively on resume screening and interview scheduling.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Screening creates the highest cognitive load, while scheduling is the most common execution bottleneck. Narrow scope increased clarity, speed, and trust.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Solving one painful problem well creates more value than attempting a full ATS replacement.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k0m2gsh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Persona &amp; User Journey Choices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persona “Sarah” (Founder or Talent Manager at a ~50-person company) was selected intentionally.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She is both buyer and user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She experiences hiring pain directly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Her success metric is confidence and speed, not process rigor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The product needed to support </w:t>
      </w:r>
      <w:r w:rsidDel="00000000" w:rsidR="00000000" w:rsidRPr="00000000">
        <w:rPr>
          <w:i w:val="1"/>
          <w:iCs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, not just automation.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zfzcej96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Design Trade-Offs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Explainability vs Automation:</w:t>
        <w:br w:type="textWrapping"/>
      </w:r>
      <w:r w:rsidDel="00000000" w:rsidR="00000000" w:rsidRPr="00000000">
        <w:rPr>
          <w:rtl w:val="0"/>
        </w:rPr>
        <w:t xml:space="preserve">Recruit-AI prioritizes explainable recommendations over fully autonomous decisions to build trust and adoption.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Non-Goals:</w:t>
        <w:br w:type="textWrapping"/>
      </w:r>
      <w:r w:rsidDel="00000000" w:rsidR="00000000" w:rsidRPr="00000000">
        <w:rPr>
          <w:rtl w:val="0"/>
        </w:rPr>
        <w:t xml:space="preserve">Offer management, compliance workflows, and interview feedback aggregation were excluded to avoid overbuilding.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1ygem8yk4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 Design &amp; Iteration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prompts produced verbose, inconsistent outputs and occasional hallucinations.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 Made: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Enforced structured JSON outputs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Defined scoring bands tied to recommendations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Added strict constraints against protected-attribute inference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LLMs perform best as bounded agents with clear roles and output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k7h64pz6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Agentic Architecture Decisions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Use multiple specialized agents rather than a single LLM call.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screening agent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and sanity-check agent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agents for email drafting and scheduling simulation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Separating reasoning, validation, and action improved reliability and explainability.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r3wf8bc38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Metrics &amp; Feedback Loop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were chosen based on direct user pain and ease of measurement, including time-to-screen reduction and recruiter confidence (AI acceptance rate).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recruiter feedback loop (“Agree / Disagree”) was added to measure trust and continuously improve evaluations.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cjsps7aiq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Reflection &amp; Key Takeaways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core hiring problem is decision fatigue, not resume parsing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adoption depends on trust as much as efficiency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constraints outperform “black-box” automation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Reflection:</w:t>
      </w:r>
      <w:r w:rsidDel="00000000" w:rsidR="00000000" w:rsidRPr="00000000">
        <w:rPr>
          <w:rtl w:val="0"/>
        </w:rPr>
        <w:t xml:space="preserve"> Recruit-AI was intentionally designed as a focused, explainable, agentic system that delivers immediate value while laying a strong foundation for future expansion.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