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jc w:val="center"/>
      </w:pPr>
      <w:r>
        <w:rPr>
          <w:rFonts w:ascii="Arial" w:cs="Arial" w:eastAsia="Arial" w:hAnsi="Arial"/>
          <w:b/>
          <w:bCs/>
          <w:color w:val="1D9E75"/>
          <w:sz w:val="60"/>
          <w:szCs w:val="60"/>
        </w:rPr>
        <w:t xml:space="preserve">Adaptive-HTFL</w:t>
      </w:r>
    </w:p>
    <w:p>
      <w:pPr>
        <w:spacing w:after="120"/>
        <w:jc w:val="center"/>
      </w:pPr>
      <w:r>
        <w:rPr>
          <w:rFonts w:ascii="Arial" w:cs="Arial" w:eastAsia="Arial" w:hAnsi="Arial"/>
          <w:b/>
          <w:bCs/>
          <w:color w:val="1a1a1a"/>
          <w:sz w:val="36"/>
          <w:szCs w:val="36"/>
        </w:rPr>
        <w:t xml:space="preserve">Hybrid Trust-Aware Federated Learning Framework</w:t>
      </w:r>
    </w:p>
    <w:p>
      <w:pPr>
        <w:spacing w:after="600"/>
        <w:jc w:val="center"/>
      </w:pPr>
      <w:r>
        <w:rPr>
          <w:rFonts w:ascii="Arial" w:cs="Arial" w:eastAsia="Arial" w:hAnsi="Arial"/>
          <w:color w:val="5F5E5A"/>
          <w:sz w:val="30"/>
          <w:szCs w:val="30"/>
        </w:rPr>
        <w:t xml:space="preserve">for Secure Smart Campus IoT Networks</w:t>
      </w:r>
    </w:p>
    <w:p>
      <w:pPr>
        <w:pBdr>
          <w:bottom w:val="single" w:color="1D9E75" w:sz="4" w:space="1"/>
        </w:pBdr>
        <w:spacing w:after="200"/>
      </w:pPr>
    </w:p>
    <w:p>
      <w:pPr>
        <w:spacing w:after="120"/>
        <w:jc w:val="center"/>
      </w:pPr>
      <w:r>
        <w:rPr>
          <w:rFonts w:ascii="Arial" w:cs="Arial" w:eastAsia="Arial" w:hAnsi="Arial"/>
          <w:color w:val="5F5E5A"/>
          <w:sz w:val="24"/>
          <w:szCs w:val="24"/>
        </w:rPr>
        <w:t xml:space="preserve">Capstone Project — Final Technical Report</w:t>
      </w:r>
    </w:p>
    <w:p>
      <w:pPr>
        <w:spacing w:after="2000"/>
        <w:jc w:val="center"/>
      </w:pPr>
      <w:r>
        <w:rPr>
          <w:rFonts w:ascii="Arial" w:cs="Arial" w:eastAsia="Arial" w:hAnsi="Arial"/>
          <w:color w:val="5F5E5A"/>
          <w:sz w:val="22"/>
          <w:szCs w:val="22"/>
        </w:rPr>
        <w:t xml:space="preserve">Academic Year 2025</w:t>
      </w:r>
    </w:p>
    <w:p>
      <w:r>
        <w:br w:type="page"/>
      </w:r>
    </w:p>
    <w:p>
      <w:pPr>
        <w:pStyle w:val="Heading1"/>
        <w:spacing w:before="360" w:after="180"/>
      </w:pPr>
      <w:r>
        <w:rPr>
          <w:rFonts w:ascii="Arial" w:cs="Arial" w:eastAsia="Arial" w:hAnsi="Arial"/>
          <w:b/>
          <w:bCs/>
          <w:color w:val="1a1a1a"/>
          <w:sz w:val="34"/>
          <w:szCs w:val="34"/>
        </w:rPr>
        <w:t xml:space="preserve">Abstract</w:t>
      </w:r>
    </w:p>
    <w:p>
      <w:pPr>
        <w:spacing w:after="160"/>
        <w:jc w:val="both"/>
      </w:pPr>
      <w:r>
        <w:rPr>
          <w:rFonts w:ascii="Arial" w:cs="Arial" w:eastAsia="Arial" w:hAnsi="Arial"/>
          <w:color w:val="1a1a1a"/>
          <w:sz w:val="22"/>
          <w:szCs w:val="22"/>
        </w:rPr>
        <w:t xml:space="preserve">Modern smart campuses deploy thousands of heterogeneous IoT devices — cameras, environmental sensors, access control systems — generating sensitive data that must be processed securely. Federated Learning (FL) enables collaborative model training without raw data sharing, but existing FL frameworks assume honest participants, fail to handle resource-constrained IoT hardware, and cannot distinguish malicious model poisoning from natural non-IID data heterogeneity.</w:t>
      </w:r>
    </w:p>
    <w:p>
      <w:pPr>
        <w:spacing w:after="160"/>
        <w:jc w:val="both"/>
      </w:pPr>
      <w:r>
        <w:rPr>
          <w:rFonts w:ascii="Arial" w:cs="Arial" w:eastAsia="Arial" w:hAnsi="Arial"/>
          <w:color w:val="1a1a1a"/>
          <w:sz w:val="22"/>
          <w:szCs w:val="22"/>
        </w:rPr>
        <w:t xml:space="preserve">This report presents Adaptive-HTFL, a Hybrid Trust-Aware Federated Learning Framework specifically designed for smart campus IoT deployments. The framework introduces three novel architectural pillars: (1) Multi-Dimensional Dynamic Trust Scoring combining contextual hardware monitoring, PCA-based latent-space gradient analysis, and temporal reputation decay; (2) Resource-Aware Adaptive Sparsification that links gradient compression ratios directly to each node's real-time trust score; and (3) a Delegated Proof-of-Trust (DPoT) Micro-chain providing lightweight Byzantine-fault-tolerant consensus without the overhead of traditional blockchain systems.</w:t>
      </w:r>
    </w:p>
    <w:p>
      <w:pPr>
        <w:spacing w:after="160"/>
        <w:jc w:val="both"/>
      </w:pPr>
      <w:r>
        <w:rPr>
          <w:rFonts w:ascii="Arial" w:cs="Arial" w:eastAsia="Arial" w:hAnsi="Arial"/>
          <w:color w:val="1a1a1a"/>
          <w:sz w:val="22"/>
          <w:szCs w:val="22"/>
        </w:rPr>
        <w:t xml:space="preserve">Empirical evaluation across five attack scenarios — baseline, label flipping, noise injection, scaling attack, and slow poisoning — demonstrates that Adaptive-HTFL achieves accuracy improvements of up to +33.9% over standard FedAvg while reducing communication bandwidth by approximately 62% through adaptive sparsification.</w:t>
      </w:r>
    </w:p>
    <w:p>
      <w:pPr>
        <w:spacing w:after="160"/>
      </w:pPr>
    </w:p>
    <w:p>
      <w:r>
        <w:br w:type="page"/>
      </w:r>
    </w:p>
    <w:p>
      <w:pPr>
        <w:pStyle w:val="Heading1"/>
        <w:spacing w:before="360" w:after="180"/>
      </w:pPr>
      <w:r>
        <w:rPr>
          <w:rFonts w:ascii="Arial" w:cs="Arial" w:eastAsia="Arial" w:hAnsi="Arial"/>
          <w:b/>
          <w:bCs/>
          <w:color w:val="1a1a1a"/>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80"/>
      </w:pPr>
      <w:r>
        <w:rPr>
          <w:rFonts w:ascii="Arial" w:cs="Arial" w:eastAsia="Arial" w:hAnsi="Arial"/>
          <w:b/>
          <w:bCs/>
          <w:color w:val="1a1a1a"/>
          <w:sz w:val="34"/>
          <w:szCs w:val="34"/>
        </w:rPr>
        <w:t xml:space="preserve">1. Introduction</w:t>
      </w:r>
    </w:p>
    <w:p>
      <w:pPr>
        <w:pStyle w:val="Heading2"/>
        <w:spacing w:before="280" w:after="140"/>
      </w:pPr>
      <w:r>
        <w:rPr>
          <w:rFonts w:ascii="Arial" w:cs="Arial" w:eastAsia="Arial" w:hAnsi="Arial"/>
          <w:b/>
          <w:bCs/>
          <w:color w:val="1D9E75"/>
          <w:sz w:val="28"/>
          <w:szCs w:val="28"/>
        </w:rPr>
        <w:t xml:space="preserve">1.1 Background and Motivation</w:t>
      </w:r>
    </w:p>
    <w:p>
      <w:pPr>
        <w:spacing w:after="160"/>
        <w:jc w:val="both"/>
      </w:pPr>
      <w:r>
        <w:rPr>
          <w:rFonts w:ascii="Arial" w:cs="Arial" w:eastAsia="Arial" w:hAnsi="Arial"/>
          <w:color w:val="1a1a1a"/>
          <w:sz w:val="22"/>
          <w:szCs w:val="22"/>
        </w:rPr>
        <w:t xml:space="preserve">Smart campuses integrate large-scale IoT infrastructure to optimise resource usage, enhance security, and improve the academic experience. These deployments generate continuous streams of sensitive data including occupancy patterns, environmental conditions, access logs, and network traffic. Processing this data in a centralised manner raises significant privacy concerns and creates single points of failure.</w:t>
      </w:r>
    </w:p>
    <w:p>
      <w:pPr>
        <w:spacing w:after="160"/>
        <w:jc w:val="both"/>
      </w:pPr>
      <w:r>
        <w:rPr>
          <w:rFonts w:ascii="Arial" w:cs="Arial" w:eastAsia="Arial" w:hAnsi="Arial"/>
          <w:color w:val="1a1a1a"/>
          <w:sz w:val="22"/>
          <w:szCs w:val="22"/>
        </w:rPr>
        <w:t xml:space="preserve">Federated Learning (FL), introduced by McMahan et al. (2017), addresses the centralisation problem by enabling devices to train models locally and share only model parameter updates rather than raw data. However, this approach introduces new attack surfaces: malicious participants may attempt to poison the global model by submitting corrupted updates, while faulty hardware may submit unreliable gradients that degrade model performance.</w:t>
      </w:r>
    </w:p>
    <w:p>
      <w:pPr>
        <w:spacing w:after="160"/>
        <w:jc w:val="both"/>
      </w:pPr>
      <w:r>
        <w:rPr>
          <w:rFonts w:ascii="Arial" w:cs="Arial" w:eastAsia="Arial" w:hAnsi="Arial"/>
          <w:color w:val="1a1a1a"/>
          <w:sz w:val="22"/>
          <w:szCs w:val="22"/>
        </w:rPr>
        <w:t xml:space="preserve">The primary limitations of existing FL systems in IoT deployments are:</w:t>
      </w:r>
    </w:p>
    <w:p>
      <w:pPr>
        <w:pStyle w:val="ListParagraph"/>
        <w:numPr>
          <w:ilvl w:val="0"/>
          <w:numId w:val="2"/>
        </w:numPr>
        <w:spacing w:after="80"/>
      </w:pPr>
      <w:r>
        <w:rPr>
          <w:rFonts w:ascii="Arial" w:cs="Arial" w:eastAsia="Arial" w:hAnsi="Arial"/>
          <w:color w:val="1a1a1a"/>
          <w:sz w:val="22"/>
          <w:szCs w:val="22"/>
        </w:rPr>
        <w:t xml:space="preserve">High computational overhead of traditional trust mechanisms</w:t>
      </w:r>
    </w:p>
    <w:p>
      <w:pPr>
        <w:pStyle w:val="ListParagraph"/>
        <w:numPr>
          <w:ilvl w:val="0"/>
          <w:numId w:val="2"/>
        </w:numPr>
        <w:spacing w:after="80"/>
      </w:pPr>
      <w:r>
        <w:rPr>
          <w:rFonts w:ascii="Arial" w:cs="Arial" w:eastAsia="Arial" w:hAnsi="Arial"/>
          <w:color w:val="1a1a1a"/>
          <w:sz w:val="22"/>
          <w:szCs w:val="22"/>
        </w:rPr>
        <w:t xml:space="preserve">Susceptibility of fixed trust ratings to adaptive adversarial strategies</w:t>
      </w:r>
    </w:p>
    <w:p>
      <w:pPr>
        <w:pStyle w:val="ListParagraph"/>
        <w:numPr>
          <w:ilvl w:val="0"/>
          <w:numId w:val="2"/>
        </w:numPr>
        <w:spacing w:after="80"/>
      </w:pPr>
      <w:r>
        <w:rPr>
          <w:rFonts w:ascii="Arial" w:cs="Arial" w:eastAsia="Arial" w:hAnsi="Arial"/>
          <w:color w:val="1a1a1a"/>
          <w:sz w:val="22"/>
          <w:szCs w:val="22"/>
        </w:rPr>
        <w:t xml:space="preserve">Inability to distinguish malicious poisoning from non-IID data variations</w:t>
      </w:r>
    </w:p>
    <w:p>
      <w:pPr>
        <w:pStyle w:val="ListParagraph"/>
        <w:numPr>
          <w:ilvl w:val="0"/>
          <w:numId w:val="2"/>
        </w:numPr>
        <w:spacing w:after="80"/>
      </w:pPr>
      <w:r>
        <w:rPr>
          <w:rFonts w:ascii="Arial" w:cs="Arial" w:eastAsia="Arial" w:hAnsi="Arial"/>
          <w:color w:val="1a1a1a"/>
          <w:sz w:val="22"/>
          <w:szCs w:val="22"/>
        </w:rPr>
        <w:t xml:space="preserve">No consideration of physical hardware health in trust computation</w:t>
      </w:r>
    </w:p>
    <w:p>
      <w:pPr>
        <w:pStyle w:val="ListParagraph"/>
        <w:numPr>
          <w:ilvl w:val="0"/>
          <w:numId w:val="2"/>
        </w:numPr>
        <w:spacing w:after="80"/>
      </w:pPr>
      <w:r>
        <w:rPr>
          <w:rFonts w:ascii="Arial" w:cs="Arial" w:eastAsia="Arial" w:hAnsi="Arial"/>
          <w:color w:val="1a1a1a"/>
          <w:sz w:val="22"/>
          <w:szCs w:val="22"/>
        </w:rPr>
        <w:t xml:space="preserve">Communication overhead unsustainable for resource-constrained IoT devices</w:t>
      </w:r>
    </w:p>
    <w:p>
      <w:pPr>
        <w:spacing w:after="160"/>
      </w:pPr>
    </w:p>
    <w:p>
      <w:pPr>
        <w:pStyle w:val="Heading2"/>
        <w:spacing w:before="280" w:after="140"/>
      </w:pPr>
      <w:r>
        <w:rPr>
          <w:rFonts w:ascii="Arial" w:cs="Arial" w:eastAsia="Arial" w:hAnsi="Arial"/>
          <w:b/>
          <w:bCs/>
          <w:color w:val="1D9E75"/>
          <w:sz w:val="28"/>
          <w:szCs w:val="28"/>
        </w:rPr>
        <w:t xml:space="preserve">1.2 Research Objectives</w:t>
      </w:r>
    </w:p>
    <w:p>
      <w:pPr>
        <w:spacing w:after="160"/>
        <w:jc w:val="both"/>
      </w:pPr>
      <w:r>
        <w:rPr>
          <w:rFonts w:ascii="Arial" w:cs="Arial" w:eastAsia="Arial" w:hAnsi="Arial"/>
          <w:color w:val="1a1a1a"/>
          <w:sz w:val="22"/>
          <w:szCs w:val="22"/>
        </w:rPr>
        <w:t xml:space="preserve">This project aims to design, implement, and empirically evaluate Adaptive-HTFL — a framework that resolves the resource-security trilemma inherent in smart campus IoT networks. Specifically, we target:</w:t>
      </w:r>
    </w:p>
    <w:p>
      <w:pPr>
        <w:pStyle w:val="ListParagraph"/>
        <w:numPr>
          <w:ilvl w:val="0"/>
          <w:numId w:val="2"/>
        </w:numPr>
        <w:spacing w:after="80"/>
      </w:pPr>
      <w:r>
        <w:rPr>
          <w:rFonts w:ascii="Arial" w:cs="Arial" w:eastAsia="Arial" w:hAnsi="Arial"/>
          <w:color w:val="1a1a1a"/>
          <w:sz w:val="22"/>
          <w:szCs w:val="22"/>
        </w:rPr>
        <w:t xml:space="preserve">A multi-dimensional trust scoring model that incorporates hardware context, gradient latent-space analysis, and temporal decay</w:t>
      </w:r>
    </w:p>
    <w:p>
      <w:pPr>
        <w:pStyle w:val="ListParagraph"/>
        <w:numPr>
          <w:ilvl w:val="0"/>
          <w:numId w:val="2"/>
        </w:numPr>
        <w:spacing w:after="80"/>
      </w:pPr>
      <w:r>
        <w:rPr>
          <w:rFonts w:ascii="Arial" w:cs="Arial" w:eastAsia="Arial" w:hAnsi="Arial"/>
          <w:color w:val="1a1a1a"/>
          <w:sz w:val="22"/>
          <w:szCs w:val="22"/>
        </w:rPr>
        <w:t xml:space="preserve">An adaptive gradient sparsification mechanism that reduces communication overhead proportional to each client's trust score</w:t>
      </w:r>
    </w:p>
    <w:p>
      <w:pPr>
        <w:pStyle w:val="ListParagraph"/>
        <w:numPr>
          <w:ilvl w:val="0"/>
          <w:numId w:val="2"/>
        </w:numPr>
        <w:spacing w:after="80"/>
      </w:pPr>
      <w:r>
        <w:rPr>
          <w:rFonts w:ascii="Arial" w:cs="Arial" w:eastAsia="Arial" w:hAnsi="Arial"/>
          <w:color w:val="1a1a1a"/>
          <w:sz w:val="22"/>
          <w:szCs w:val="22"/>
        </w:rPr>
        <w:t xml:space="preserve">A lightweight Delegated Proof-of-Trust consensus mechanism that avoids full blockchain overhead</w:t>
      </w:r>
    </w:p>
    <w:p>
      <w:pPr>
        <w:pStyle w:val="ListParagraph"/>
        <w:numPr>
          <w:ilvl w:val="0"/>
          <w:numId w:val="2"/>
        </w:numPr>
        <w:spacing w:after="80"/>
      </w:pPr>
      <w:r>
        <w:rPr>
          <w:rFonts w:ascii="Arial" w:cs="Arial" w:eastAsia="Arial" w:hAnsi="Arial"/>
          <w:color w:val="1a1a1a"/>
          <w:sz w:val="22"/>
          <w:szCs w:val="22"/>
        </w:rPr>
        <w:t xml:space="preserve">Comparative empirical evaluation against FedAvg and BasicTrust baselines under multiple adversarial scenarios</w:t>
      </w:r>
    </w:p>
    <w:p>
      <w:pPr>
        <w:spacing w:after="160"/>
      </w:pPr>
    </w:p>
    <w:p>
      <w:r>
        <w:br w:type="page"/>
      </w:r>
    </w:p>
    <w:p>
      <w:pPr>
        <w:pStyle w:val="Heading1"/>
        <w:spacing w:before="360" w:after="180"/>
      </w:pPr>
      <w:r>
        <w:rPr>
          <w:rFonts w:ascii="Arial" w:cs="Arial" w:eastAsia="Arial" w:hAnsi="Arial"/>
          <w:b/>
          <w:bCs/>
          <w:color w:val="1a1a1a"/>
          <w:sz w:val="34"/>
          <w:szCs w:val="34"/>
        </w:rPr>
        <w:t xml:space="preserve">2. Literature Review</w:t>
      </w:r>
    </w:p>
    <w:p>
      <w:pPr>
        <w:pStyle w:val="Heading2"/>
        <w:spacing w:before="280" w:after="140"/>
      </w:pPr>
      <w:r>
        <w:rPr>
          <w:rFonts w:ascii="Arial" w:cs="Arial" w:eastAsia="Arial" w:hAnsi="Arial"/>
          <w:b/>
          <w:bCs/>
          <w:color w:val="1D9E75"/>
          <w:sz w:val="28"/>
          <w:szCs w:val="28"/>
        </w:rPr>
        <w:t xml:space="preserve">2.1 Federated Learning Foundations</w:t>
      </w:r>
    </w:p>
    <w:p>
      <w:pPr>
        <w:spacing w:after="160"/>
        <w:jc w:val="both"/>
      </w:pPr>
      <w:r>
        <w:rPr>
          <w:rFonts w:ascii="Arial" w:cs="Arial" w:eastAsia="Arial" w:hAnsi="Arial"/>
          <w:color w:val="1a1a1a"/>
          <w:sz w:val="22"/>
          <w:szCs w:val="22"/>
        </w:rPr>
        <w:t xml:space="preserve">McMahan et al. (2017) proposed FedAvg, the foundational FL algorithm, which aggregates client model updates weighted by local dataset size. While effective for honest participants, FedAvg offers no protection against Byzantine failures or adversarial updates. Subsequent work by Blanchard et al. (2017) introduced Krum, a Byzantine-resilient aggregation rule, though it requires strong assumptions about the fraction of malicious clients.</w:t>
      </w:r>
    </w:p>
    <w:p>
      <w:pPr>
        <w:pStyle w:val="Heading2"/>
        <w:spacing w:before="280" w:after="140"/>
      </w:pPr>
      <w:r>
        <w:rPr>
          <w:rFonts w:ascii="Arial" w:cs="Arial" w:eastAsia="Arial" w:hAnsi="Arial"/>
          <w:b/>
          <w:bCs/>
          <w:color w:val="1D9E75"/>
          <w:sz w:val="28"/>
          <w:szCs w:val="28"/>
        </w:rPr>
        <w:t xml:space="preserve">2.2 Trust Mechanisms in Federated Learning</w:t>
      </w:r>
    </w:p>
    <w:p>
      <w:pPr>
        <w:spacing w:after="160"/>
        <w:jc w:val="both"/>
      </w:pPr>
      <w:r>
        <w:rPr>
          <w:rFonts w:ascii="Arial" w:cs="Arial" w:eastAsia="Arial" w:hAnsi="Arial"/>
          <w:color w:val="1a1a1a"/>
          <w:sz w:val="22"/>
          <w:szCs w:val="22"/>
        </w:rPr>
        <w:t xml:space="preserve">Existing trust-aware FL systems generally fall into three categories: anomaly detection based on gradient statistics, reputation systems based on historical performance, and cryptographic approaches using differential privacy or secure aggregation. Fung et al. (2020) demonstrated that FedAvg is highly susceptible to Sybil attacks even when malicious clients represent only a small fraction of participants.</w:t>
      </w:r>
    </w:p>
    <w:p>
      <w:pPr>
        <w:spacing w:after="160"/>
        <w:jc w:val="both"/>
      </w:pPr>
      <w:r>
        <w:rPr>
          <w:rFonts w:ascii="Arial" w:cs="Arial" w:eastAsia="Arial" w:hAnsi="Arial"/>
          <w:color w:val="1a1a1a"/>
          <w:sz w:val="22"/>
          <w:szCs w:val="22"/>
        </w:rPr>
        <w:t xml:space="preserve">A key limitation of existing work is the inability to distinguish between malicious poisoning and benign non-IID data heterogeneity. When IoT devices serve distinct campus zones (lecture halls vs. cafeterias vs. laboratories), their local data distributions naturally diverge, producing gradient updates that appear anomalous by simple statistical measures. This non-IID challenge requires more sophisticated analysis, motivating our PCA-based latent-space approach.</w:t>
      </w:r>
    </w:p>
    <w:p>
      <w:pPr>
        <w:pStyle w:val="Heading2"/>
        <w:spacing w:before="280" w:after="140"/>
      </w:pPr>
      <w:r>
        <w:rPr>
          <w:rFonts w:ascii="Arial" w:cs="Arial" w:eastAsia="Arial" w:hAnsi="Arial"/>
          <w:b/>
          <w:bCs/>
          <w:color w:val="1D9E75"/>
          <w:sz w:val="28"/>
          <w:szCs w:val="28"/>
        </w:rPr>
        <w:t xml:space="preserve">2.3 IoT-Specific Challenges</w:t>
      </w:r>
    </w:p>
    <w:p>
      <w:pPr>
        <w:spacing w:after="160"/>
        <w:jc w:val="both"/>
      </w:pPr>
      <w:r>
        <w:rPr>
          <w:rFonts w:ascii="Arial" w:cs="Arial" w:eastAsia="Arial" w:hAnsi="Arial"/>
          <w:color w:val="1a1a1a"/>
          <w:sz w:val="22"/>
          <w:szCs w:val="22"/>
        </w:rPr>
        <w:t xml:space="preserve">IoT devices in smart campus deployments face severe resource constraints: limited battery life, intermittent wireless connectivity, variable CPU load, and constrained memory. These factors directly impact the quality and reliability of model updates transmitted to the aggregation server. Existing FL frameworks uniformly ignore hardware context, treating a device with 5% battery and -90 dBm signal strength identically to a fully charged, well-connected node.</w:t>
      </w:r>
    </w:p>
    <w:p>
      <w:pPr>
        <w:pStyle w:val="Heading2"/>
        <w:spacing w:before="280" w:after="140"/>
      </w:pPr>
      <w:r>
        <w:rPr>
          <w:rFonts w:ascii="Arial" w:cs="Arial" w:eastAsia="Arial" w:hAnsi="Arial"/>
          <w:b/>
          <w:bCs/>
          <w:color w:val="1D9E75"/>
          <w:sz w:val="28"/>
          <w:szCs w:val="28"/>
        </w:rPr>
        <w:t xml:space="preserve">2.4 Blockchain in Federated Learning</w:t>
      </w:r>
    </w:p>
    <w:p>
      <w:pPr>
        <w:spacing w:after="160"/>
        <w:jc w:val="both"/>
      </w:pPr>
      <w:r>
        <w:rPr>
          <w:rFonts w:ascii="Arial" w:cs="Arial" w:eastAsia="Arial" w:hAnsi="Arial"/>
          <w:color w:val="1a1a1a"/>
          <w:sz w:val="22"/>
          <w:szCs w:val="22"/>
        </w:rPr>
        <w:t xml:space="preserve">Several proposals integrate blockchain with FL to provide immutable audit trails and decentralised aggregation. However, traditional proof-of-work and proof-of-stake consensus mechanisms introduce prohibitive latency and energy costs incompatible with real-time IoT operations. Our DPoT Micro-chain addresses this by restricting the consensus committee to a small subset of high-trust nodes, dramatically reducing overhead while maintaining Byzantine fault tolerance.</w:t>
      </w:r>
    </w:p>
    <w:p>
      <w:pPr>
        <w:spacing w:after="160"/>
      </w:pPr>
    </w:p>
    <w:p>
      <w:r>
        <w:br w:type="page"/>
      </w:r>
    </w:p>
    <w:p>
      <w:pPr>
        <w:pStyle w:val="Heading1"/>
        <w:spacing w:before="360" w:after="180"/>
      </w:pPr>
      <w:r>
        <w:rPr>
          <w:rFonts w:ascii="Arial" w:cs="Arial" w:eastAsia="Arial" w:hAnsi="Arial"/>
          <w:b/>
          <w:bCs/>
          <w:color w:val="1a1a1a"/>
          <w:sz w:val="34"/>
          <w:szCs w:val="34"/>
        </w:rPr>
        <w:t xml:space="preserve">3. System Architecture</w:t>
      </w:r>
    </w:p>
    <w:p>
      <w:pPr>
        <w:pStyle w:val="Heading2"/>
        <w:spacing w:before="280" w:after="140"/>
      </w:pPr>
      <w:r>
        <w:rPr>
          <w:rFonts w:ascii="Arial" w:cs="Arial" w:eastAsia="Arial" w:hAnsi="Arial"/>
          <w:b/>
          <w:bCs/>
          <w:color w:val="1D9E75"/>
          <w:sz w:val="28"/>
          <w:szCs w:val="28"/>
        </w:rPr>
        <w:t xml:space="preserve">3.1 Overview</w:t>
      </w:r>
    </w:p>
    <w:p>
      <w:pPr>
        <w:spacing w:after="160"/>
        <w:jc w:val="both"/>
      </w:pPr>
      <w:r>
        <w:rPr>
          <w:rFonts w:ascii="Arial" w:cs="Arial" w:eastAsia="Arial" w:hAnsi="Arial"/>
          <w:color w:val="1a1a1a"/>
          <w:sz w:val="22"/>
          <w:szCs w:val="22"/>
        </w:rPr>
        <w:t xml:space="preserve">Adaptive-HTFL consists of four main components: IoT Client Nodes, the Central Aggregation Server, the Multi-Dimensional Trust Engine, and the DPoT Micro-chain. The system is designed to operate on existing campus network infrastructure without requiring specialised hardware.</w:t>
      </w:r>
    </w:p>
    <w:p>
      <w:pPr>
        <w:pStyle w:val="Heading2"/>
        <w:spacing w:before="280" w:after="140"/>
      </w:pPr>
      <w:r>
        <w:rPr>
          <w:rFonts w:ascii="Arial" w:cs="Arial" w:eastAsia="Arial" w:hAnsi="Arial"/>
          <w:b/>
          <w:bCs/>
          <w:color w:val="1D9E75"/>
          <w:sz w:val="28"/>
          <w:szCs w:val="28"/>
        </w:rPr>
        <w:t xml:space="preserve">3.2 Federated Learning Protocol</w:t>
      </w:r>
    </w:p>
    <w:p>
      <w:pPr>
        <w:spacing w:after="160"/>
        <w:jc w:val="both"/>
      </w:pPr>
      <w:r>
        <w:rPr>
          <w:rFonts w:ascii="Arial" w:cs="Arial" w:eastAsia="Arial" w:hAnsi="Arial"/>
          <w:color w:val="1a1a1a"/>
          <w:sz w:val="22"/>
          <w:szCs w:val="22"/>
        </w:rPr>
        <w:t xml:space="preserve">The FL protocol follows an iterative round structure:</w:t>
      </w:r>
    </w:p>
    <w:p>
      <w:pPr>
        <w:pStyle w:val="ListParagraph"/>
        <w:numPr>
          <w:ilvl w:val="0"/>
          <w:numId w:val="3"/>
        </w:numPr>
        <w:spacing w:after="80"/>
      </w:pPr>
      <w:r>
        <w:rPr>
          <w:rFonts w:ascii="Arial" w:cs="Arial" w:eastAsia="Arial" w:hAnsi="Arial"/>
          <w:color w:val="1a1a1a"/>
          <w:sz w:val="22"/>
          <w:szCs w:val="22"/>
        </w:rPr>
        <w:t xml:space="preserve">Server broadcasts current global model weights to all clients</w:t>
      </w:r>
    </w:p>
    <w:p>
      <w:pPr>
        <w:pStyle w:val="ListParagraph"/>
        <w:numPr>
          <w:ilvl w:val="0"/>
          <w:numId w:val="3"/>
        </w:numPr>
        <w:spacing w:after="80"/>
      </w:pPr>
      <w:r>
        <w:rPr>
          <w:rFonts w:ascii="Arial" w:cs="Arial" w:eastAsia="Arial" w:hAnsi="Arial"/>
          <w:color w:val="1a1a1a"/>
          <w:sz w:val="22"/>
          <w:szCs w:val="22"/>
        </w:rPr>
        <w:t xml:space="preserve">Server broadcasts current trust scores — clients use these to compute their sparsification ratio</w:t>
      </w:r>
    </w:p>
    <w:p>
      <w:pPr>
        <w:pStyle w:val="ListParagraph"/>
        <w:numPr>
          <w:ilvl w:val="0"/>
          <w:numId w:val="3"/>
        </w:numPr>
        <w:spacing w:after="80"/>
      </w:pPr>
      <w:r>
        <w:rPr>
          <w:rFonts w:ascii="Arial" w:cs="Arial" w:eastAsia="Arial" w:hAnsi="Arial"/>
          <w:color w:val="1a1a1a"/>
          <w:sz w:val="22"/>
          <w:szCs w:val="22"/>
        </w:rPr>
        <w:t xml:space="preserve">Clients perform local training for E epochs on their private data</w:t>
      </w:r>
    </w:p>
    <w:p>
      <w:pPr>
        <w:pStyle w:val="ListParagraph"/>
        <w:numPr>
          <w:ilvl w:val="0"/>
          <w:numId w:val="3"/>
        </w:numPr>
        <w:spacing w:after="80"/>
      </w:pPr>
      <w:r>
        <w:rPr>
          <w:rFonts w:ascii="Arial" w:cs="Arial" w:eastAsia="Arial" w:hAnsi="Arial"/>
          <w:color w:val="1a1a1a"/>
          <w:sz w:val="22"/>
          <w:szCs w:val="22"/>
        </w:rPr>
        <w:t xml:space="preserve">Clients apply adaptive gradient sparsification and transmit compressed updates</w:t>
      </w:r>
    </w:p>
    <w:p>
      <w:pPr>
        <w:pStyle w:val="ListParagraph"/>
        <w:numPr>
          <w:ilvl w:val="0"/>
          <w:numId w:val="3"/>
        </w:numPr>
        <w:spacing w:after="80"/>
      </w:pPr>
      <w:r>
        <w:rPr>
          <w:rFonts w:ascii="Arial" w:cs="Arial" w:eastAsia="Arial" w:hAnsi="Arial"/>
          <w:color w:val="1a1a1a"/>
          <w:sz w:val="22"/>
          <w:szCs w:val="22"/>
        </w:rPr>
        <w:t xml:space="preserve">Trust Engine computes Multi-Dimensional trust scores for each client</w:t>
      </w:r>
    </w:p>
    <w:p>
      <w:pPr>
        <w:pStyle w:val="ListParagraph"/>
        <w:numPr>
          <w:ilvl w:val="0"/>
          <w:numId w:val="3"/>
        </w:numPr>
        <w:spacing w:after="80"/>
      </w:pPr>
      <w:r>
        <w:rPr>
          <w:rFonts w:ascii="Arial" w:cs="Arial" w:eastAsia="Arial" w:hAnsi="Arial"/>
          <w:color w:val="1a1a1a"/>
          <w:sz w:val="22"/>
          <w:szCs w:val="22"/>
        </w:rPr>
        <w:t xml:space="preserve">Server performs trust-weighted aggregation to update the global model</w:t>
      </w:r>
    </w:p>
    <w:p>
      <w:pPr>
        <w:pStyle w:val="ListParagraph"/>
        <w:numPr>
          <w:ilvl w:val="0"/>
          <w:numId w:val="3"/>
        </w:numPr>
        <w:spacing w:after="160"/>
      </w:pPr>
      <w:r>
        <w:rPr>
          <w:rFonts w:ascii="Arial" w:cs="Arial" w:eastAsia="Arial" w:hAnsi="Arial"/>
          <w:color w:val="1a1a1a"/>
          <w:sz w:val="22"/>
          <w:szCs w:val="22"/>
        </w:rPr>
        <w:t xml:space="preserve">DPoT Micro-chain runs committee election and finalises the round block</w:t>
      </w:r>
    </w:p>
    <w:p>
      <w:pPr>
        <w:pStyle w:val="Heading2"/>
        <w:spacing w:before="280" w:after="140"/>
      </w:pPr>
      <w:r>
        <w:rPr>
          <w:rFonts w:ascii="Arial" w:cs="Arial" w:eastAsia="Arial" w:hAnsi="Arial"/>
          <w:b/>
          <w:bCs/>
          <w:color w:val="1D9E75"/>
          <w:sz w:val="28"/>
          <w:szCs w:val="28"/>
        </w:rPr>
        <w:t xml:space="preserve">3.3 Project File Structure</w:t>
      </w:r>
    </w:p>
    <w:p>
      <w:pPr>
        <w:spacing w:after="160"/>
        <w:jc w:val="both"/>
      </w:pPr>
      <w:r>
        <w:rPr>
          <w:rFonts w:ascii="Arial" w:cs="Arial" w:eastAsia="Arial" w:hAnsi="Arial"/>
          <w:color w:val="1a1a1a"/>
          <w:sz w:val="22"/>
          <w:szCs w:val="22"/>
        </w:rPr>
        <w:t xml:space="preserve">The implementation is organised into modular components: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generation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data/iot_data_generator.py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Synthetic sensor data + hardware context</w:t>
            </w:r>
          </w:p>
        </w:tc>
      </w:tr>
      <w:tr>
        <w:tc>
          <w:tcPr>
            <w:tcW w:type="dxa" w:w="28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IoT client</w:t>
            </w:r>
          </w:p>
        </w:tc>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core/client.py</w:t>
            </w:r>
          </w:p>
        </w:tc>
        <w:tc>
          <w:tcPr>
            <w:tcW w:type="dxa" w:w="33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Local model, attacks, adaptive sparsification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Trust engine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core/trust_engine.py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Multi-Dimensional Dynamic Trust Scoring</w:t>
            </w:r>
          </w:p>
        </w:tc>
      </w:tr>
      <w:tr>
        <w:tc>
          <w:tcPr>
            <w:tcW w:type="dxa" w:w="28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Aggregation server</w:t>
            </w:r>
          </w:p>
        </w:tc>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core/server.py</w:t>
            </w:r>
          </w:p>
        </w:tc>
        <w:tc>
          <w:tcPr>
            <w:tcW w:type="dxa" w:w="33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FedAvg / BasicTrust / AdaptiveHTFL</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DPoT chain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blockchain/dpot_chain.py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Micro-chain consensus, block structure</w:t>
            </w:r>
          </w:p>
        </w:tc>
      </w:tr>
      <w:tr>
        <w:tc>
          <w:tcPr>
            <w:tcW w:type="dxa" w:w="28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Attack simulator</w:t>
            </w:r>
          </w:p>
        </w:tc>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attacks/attack_simulator.py</w:t>
            </w:r>
          </w:p>
        </w:tc>
        <w:tc>
          <w:tcPr>
            <w:tcW w:type="dxa" w:w="33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Label flip, noise, scaling, slow poison</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Evaluation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evaluation/metrics.py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Accuracy, detection rate, compression stats</w:t>
            </w:r>
          </w:p>
        </w:tc>
      </w:tr>
      <w:tr>
        <w:tc>
          <w:tcPr>
            <w:tcW w:type="dxa" w:w="28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Experiment runner</w:t>
            </w:r>
          </w:p>
        </w:tc>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run_experiment.py</w:t>
            </w:r>
          </w:p>
        </w:tc>
        <w:tc>
          <w:tcPr>
            <w:tcW w:type="dxa" w:w="33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Full comparative experiment pipeline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dashboard.py</w:t>
            </w:r>
          </w:p>
        </w:tc>
        <w:tc>
          <w:tcPr>
            <w:tcW w:type="dxa" w:w="33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Publication-quality matplotlib figures</w:t>
            </w:r>
          </w:p>
        </w:tc>
      </w:tr>
    </w:tbl>
    <w:p>
      <w:pPr>
        <w:spacing w:after="160"/>
      </w:pPr>
    </w:p>
    <w:p>
      <w:r>
        <w:br w:type="page"/>
      </w:r>
    </w:p>
    <w:p>
      <w:pPr>
        <w:pStyle w:val="Heading1"/>
        <w:spacing w:before="360" w:after="180"/>
      </w:pPr>
      <w:r>
        <w:rPr>
          <w:rFonts w:ascii="Arial" w:cs="Arial" w:eastAsia="Arial" w:hAnsi="Arial"/>
          <w:b/>
          <w:bCs/>
          <w:color w:val="1a1a1a"/>
          <w:sz w:val="34"/>
          <w:szCs w:val="34"/>
        </w:rPr>
        <w:t xml:space="preserve">4. Pillar 1 — Multi-Dimensional Dynamic Trust Scoring</w:t>
      </w:r>
    </w:p>
    <w:p>
      <w:pPr>
        <w:spacing w:after="160"/>
        <w:jc w:val="both"/>
      </w:pPr>
      <w:r>
        <w:rPr>
          <w:rFonts w:ascii="Arial" w:cs="Arial" w:eastAsia="Arial" w:hAnsi="Arial"/>
          <w:color w:val="1a1a1a"/>
          <w:sz w:val="22"/>
          <w:szCs w:val="22"/>
        </w:rPr>
        <w:t xml:space="preserve">The trust engine is the core academic contribution of Adaptive-HTFL. It computes a composite trust score for each client using three independent dimensions, then applies a temporal decay mechanism to ensure the score reflects current rather than historical behaviour.</w:t>
      </w:r>
    </w:p>
    <w:p>
      <w:pPr>
        <w:pStyle w:val="Heading2"/>
        <w:spacing w:before="280" w:after="140"/>
      </w:pPr>
      <w:r>
        <w:rPr>
          <w:rFonts w:ascii="Arial" w:cs="Arial" w:eastAsia="Arial" w:hAnsi="Arial"/>
          <w:b/>
          <w:bCs/>
          <w:color w:val="1D9E75"/>
          <w:sz w:val="28"/>
          <w:szCs w:val="28"/>
        </w:rPr>
        <w:t xml:space="preserve">4.1 Trust Score Formula</w:t>
      </w:r>
    </w:p>
    <w:p>
      <w:pPr>
        <w:spacing w:after="160"/>
        <w:jc w:val="both"/>
      </w:pPr>
      <w:r>
        <w:rPr>
          <w:rFonts w:ascii="Arial" w:cs="Arial" w:eastAsia="Arial" w:hAnsi="Arial"/>
          <w:color w:val="1a1a1a"/>
          <w:sz w:val="22"/>
          <w:szCs w:val="22"/>
        </w:rPr>
        <w:t xml:space="preserve">The final trust score for client i at round t is:</w:t>
      </w:r>
    </w:p>
    <w:p>
      <w:pPr>
        <w:spacing w:before="200" w:after="200"/>
        <w:jc w:val="center"/>
      </w:pPr>
      <w:r>
        <w:rPr>
          <w:rFonts w:ascii="Courier New" w:cs="Courier New" w:eastAsia="Courier New" w:hAnsi="Courier New"/>
          <w:b/>
          <w:bCs/>
          <w:color w:val="1D9E75"/>
          <w:sz w:val="24"/>
          <w:szCs w:val="24"/>
        </w:rPr>
        <w:t xml:space="preserve">T_i(t) = α × HardwareTrust(i) + β × LatentSpaceTrust(i) + γ × TemporalReputation(i)</w:t>
      </w:r>
    </w:p>
    <w:p>
      <w:pPr>
        <w:spacing w:after="160"/>
        <w:jc w:val="both"/>
      </w:pPr>
      <w:r>
        <w:rPr>
          <w:rFonts w:ascii="Arial" w:cs="Arial" w:eastAsia="Arial" w:hAnsi="Arial"/>
          <w:color w:val="1a1a1a"/>
          <w:sz w:val="22"/>
          <w:szCs w:val="22"/>
        </w:rPr>
        <w:t xml:space="preserve">where α = 0.30, β = 0.45, γ = 0.25 and α + β + γ = 1.0. The trust-weighted aggregation formula is:</w:t>
      </w:r>
    </w:p>
    <w:p>
      <w:pPr>
        <w:spacing w:before="200" w:after="200"/>
        <w:jc w:val="center"/>
      </w:pPr>
      <w:r>
        <w:rPr>
          <w:rFonts w:ascii="Courier New" w:cs="Courier New" w:eastAsia="Courier New" w:hAnsi="Courier New"/>
          <w:b/>
          <w:bCs/>
          <w:color w:val="1D9E75"/>
          <w:sz w:val="24"/>
          <w:szCs w:val="24"/>
        </w:rPr>
        <w:t xml:space="preserve">w_global = Σ (T_i × n_i / Σ(T_j × n_j)) × w_i</w:t>
      </w:r>
    </w:p>
    <w:p>
      <w:pPr>
        <w:pStyle w:val="Heading2"/>
        <w:spacing w:before="280" w:after="140"/>
      </w:pPr>
      <w:r>
        <w:rPr>
          <w:rFonts w:ascii="Arial" w:cs="Arial" w:eastAsia="Arial" w:hAnsi="Arial"/>
          <w:b/>
          <w:bCs/>
          <w:color w:val="1D9E75"/>
          <w:sz w:val="28"/>
          <w:szCs w:val="28"/>
        </w:rPr>
        <w:t xml:space="preserve">4.2 Component A — Contextual / Hardware Trust</w:t>
      </w:r>
    </w:p>
    <w:p>
      <w:pPr>
        <w:spacing w:after="160"/>
        <w:jc w:val="both"/>
      </w:pPr>
      <w:r>
        <w:rPr>
          <w:rFonts w:ascii="Arial" w:cs="Arial" w:eastAsia="Arial" w:hAnsi="Arial"/>
          <w:color w:val="1a1a1a"/>
          <w:sz w:val="22"/>
          <w:szCs w:val="22"/>
        </w:rPr>
        <w:t xml:space="preserve">This component monitors five hardware metrics per client: battery percentage, signal strength (dBm), CPU load percentage, uptime hours, and packet loss percentage. Each metric is normalised and combined with fixed weights: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Battery percentage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0.25</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battery causes unreliable gradient transmission</w:t>
            </w:r>
          </w:p>
        </w:tc>
      </w:tr>
      <w:tr>
        <w:tc>
          <w:tcPr>
            <w:tcW w:type="dxa" w:w="28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Signal strength (dBm)</w:t>
            </w:r>
          </w:p>
        </w:tc>
        <w:tc>
          <w:tcPr>
            <w:tcW w:type="dxa" w:w="16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0.20</w:t>
            </w:r>
          </w:p>
        </w:tc>
        <w:tc>
          <w:tcPr>
            <w:tcW w:type="dxa" w:w="49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Poor signal causes packet loss and corrupted updates</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CPU load percentage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0.25</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Overloaded CPU produces noisy, incomplete training</w:t>
            </w:r>
          </w:p>
        </w:tc>
      </w:tr>
      <w:tr>
        <w:tc>
          <w:tcPr>
            <w:tcW w:type="dxa" w:w="28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Uptime hours</w:t>
            </w:r>
          </w:p>
        </w:tc>
        <w:tc>
          <w:tcPr>
            <w:tcW w:type="dxa" w:w="16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0.10</w:t>
            </w:r>
          </w:p>
        </w:tc>
        <w:tc>
          <w:tcPr>
            <w:tcW w:type="dxa" w:w="49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Frequent restarts indicate hardware instability</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Packet loss percentage</w:t>
            </w:r>
          </w:p>
        </w:tc>
        <w:tc>
          <w:tcPr>
            <w:tcW w:type="dxa" w:w="16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0.20</w:t>
            </w:r>
          </w:p>
        </w:tc>
        <w:tc>
          <w:tcPr>
            <w:tcW w:type="dxa" w:w="49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 measure of communication reliability</w:t>
            </w:r>
          </w:p>
        </w:tc>
      </w:tr>
    </w:tbl>
    <w:p>
      <w:pPr>
        <w:spacing w:after="160"/>
      </w:pPr>
    </w:p>
    <w:p>
      <w:pPr>
        <w:spacing w:after="160"/>
        <w:jc w:val="both"/>
      </w:pPr>
      <w:r>
        <w:rPr>
          <w:rFonts w:ascii="Arial" w:cs="Arial" w:eastAsia="Arial" w:hAnsi="Arial"/>
          <w:color w:val="1a1a1a"/>
          <w:sz w:val="22"/>
          <w:szCs w:val="22"/>
        </w:rPr>
        <w:t xml:space="preserve">Malicious nodes are assigned suspicious hardware profiles: high CPU load (70-95%), short uptime (frequent restarts), and elevated packet loss. This allows the hardware trust component to partially identify compromised nodes even before gradient analysis.</w:t>
      </w:r>
    </w:p>
    <w:p>
      <w:pPr>
        <w:pStyle w:val="Heading2"/>
        <w:spacing w:before="280" w:after="140"/>
      </w:pPr>
      <w:r>
        <w:rPr>
          <w:rFonts w:ascii="Arial" w:cs="Arial" w:eastAsia="Arial" w:hAnsi="Arial"/>
          <w:b/>
          <w:bCs/>
          <w:color w:val="1D9E75"/>
          <w:sz w:val="28"/>
          <w:szCs w:val="28"/>
        </w:rPr>
        <w:t xml:space="preserve">4.3 Component B — Latent-Space Data Trust (PCA)</w:t>
      </w:r>
    </w:p>
    <w:p>
      <w:pPr>
        <w:spacing w:after="160"/>
        <w:jc w:val="both"/>
      </w:pPr>
      <w:r>
        <w:rPr>
          <w:rFonts w:ascii="Arial" w:cs="Arial" w:eastAsia="Arial" w:hAnsi="Arial"/>
          <w:color w:val="1a1a1a"/>
          <w:sz w:val="22"/>
          <w:szCs w:val="22"/>
        </w:rPr>
        <w:t xml:space="preserve">This is the most novel component, addressing the fundamental challenge of distinguishing malicious poisoning from natural non-IID data variation. The approach uses Principal Component Analysis (PCA) to project all gradient updates into a lower-dimensional latent space, then applies cosine similarity analysis in that space.</w:t>
      </w:r>
    </w:p>
    <w:p>
      <w:pPr>
        <w:spacing w:after="160"/>
        <w:jc w:val="both"/>
      </w:pPr>
      <w:r>
        <w:rPr>
          <w:rFonts w:ascii="Arial" w:cs="Arial" w:eastAsia="Arial" w:hAnsi="Arial"/>
          <w:color w:val="1a1a1a"/>
          <w:sz w:val="22"/>
          <w:szCs w:val="22"/>
        </w:rPr>
        <w:t xml:space="preserve">Key insight: Non-IID natural heterogeneity shifts the local data distribution but preserves the gradient direction in the principal component space — different clients are learning the same global task from different local vantage points. Malicious poisoning, by contrast, creates gradient updates that are outliers in all principal component directions simultaneously.</w:t>
      </w:r>
    </w:p>
    <w:p>
      <w:pPr>
        <w:spacing w:after="160"/>
        <w:jc w:val="both"/>
      </w:pPr>
      <w:r>
        <w:rPr>
          <w:rFonts w:ascii="Arial" w:cs="Arial" w:eastAsia="Arial" w:hAnsi="Arial"/>
          <w:color w:val="1a1a1a"/>
          <w:sz w:val="22"/>
          <w:szCs w:val="22"/>
        </w:rPr>
        <w:t xml:space="preserve">The component computes cosine similarity between each client's latent-space projection and the mean latent vector, combined with a z-score based distance penalty for magnitude outliers.</w:t>
      </w:r>
    </w:p>
    <w:p>
      <w:pPr>
        <w:pStyle w:val="Heading2"/>
        <w:spacing w:before="280" w:after="140"/>
      </w:pPr>
      <w:r>
        <w:rPr>
          <w:rFonts w:ascii="Arial" w:cs="Arial" w:eastAsia="Arial" w:hAnsi="Arial"/>
          <w:b/>
          <w:bCs/>
          <w:color w:val="1D9E75"/>
          <w:sz w:val="28"/>
          <w:szCs w:val="28"/>
        </w:rPr>
        <w:t xml:space="preserve">4.4 Component C — Temporal Trust Decay</w:t>
      </w:r>
    </w:p>
    <w:p>
      <w:pPr>
        <w:spacing w:after="160"/>
        <w:jc w:val="both"/>
      </w:pPr>
      <w:r>
        <w:rPr>
          <w:rFonts w:ascii="Arial" w:cs="Arial" w:eastAsia="Arial" w:hAnsi="Arial"/>
          <w:color w:val="1a1a1a"/>
          <w:sz w:val="22"/>
          <w:szCs w:val="22"/>
        </w:rPr>
        <w:t xml:space="preserve">Historical reliability should not mask sudden adversarial behaviour or late-stage hardware failures. The temporal component uses an Exponential Moving Average (EMA) update rule:</w:t>
      </w:r>
    </w:p>
    <w:p>
      <w:pPr>
        <w:spacing w:before="200" w:after="200"/>
        <w:jc w:val="center"/>
      </w:pPr>
      <w:r>
        <w:rPr>
          <w:rFonts w:ascii="Courier New" w:cs="Courier New" w:eastAsia="Courier New" w:hAnsi="Courier New"/>
          <w:b/>
          <w:bCs/>
          <w:color w:val="1D9E75"/>
          <w:sz w:val="24"/>
          <w:szCs w:val="24"/>
        </w:rPr>
        <w:t xml:space="preserve">reputation(t) = λ × reputation(t-1) + (1-λ) × current_score</w:t>
      </w:r>
    </w:p>
    <w:p>
      <w:pPr>
        <w:spacing w:after="160"/>
        <w:jc w:val="both"/>
      </w:pPr>
      <w:r>
        <w:rPr>
          <w:rFonts w:ascii="Arial" w:cs="Arial" w:eastAsia="Arial" w:hAnsi="Arial"/>
          <w:color w:val="1a1a1a"/>
          <w:sz w:val="22"/>
          <w:szCs w:val="22"/>
        </w:rPr>
        <w:t xml:space="preserve">where λ = 0.80 (temporal decay factor). Clients flagged as anomalous receive an escalating penalty proportional to their cumulative anomaly count, preventing recovery through transient honest behaviour after repeated attacks. Honest clients slowly recover toward a maximum reputation of 0.95.</w:t>
      </w:r>
    </w:p>
    <w:p>
      <w:pPr>
        <w:spacing w:after="160"/>
      </w:pPr>
    </w:p>
    <w:p>
      <w:r>
        <w:br w:type="page"/>
      </w:r>
    </w:p>
    <w:p>
      <w:pPr>
        <w:pStyle w:val="Heading1"/>
        <w:spacing w:before="360" w:after="180"/>
      </w:pPr>
      <w:r>
        <w:rPr>
          <w:rFonts w:ascii="Arial" w:cs="Arial" w:eastAsia="Arial" w:hAnsi="Arial"/>
          <w:b/>
          <w:bCs/>
          <w:color w:val="1a1a1a"/>
          <w:sz w:val="34"/>
          <w:szCs w:val="34"/>
        </w:rPr>
        <w:t xml:space="preserve">5. Pillar 2 — Resource-Aware Adaptive Sparsification</w:t>
      </w:r>
    </w:p>
    <w:p>
      <w:pPr>
        <w:spacing w:after="160"/>
        <w:jc w:val="both"/>
      </w:pPr>
      <w:r>
        <w:rPr>
          <w:rFonts w:ascii="Arial" w:cs="Arial" w:eastAsia="Arial" w:hAnsi="Arial"/>
          <w:color w:val="1a1a1a"/>
          <w:sz w:val="22"/>
          <w:szCs w:val="22"/>
        </w:rPr>
        <w:t xml:space="preserve">Communication overhead is a critical bottleneck for IoT-based FL systems. Adaptive-HTFL implements a top-k gradient sparsification mechanism where the compression ratio is directly linked to each client's real-time trust score.</w:t>
      </w:r>
    </w:p>
    <w:p>
      <w:pPr>
        <w:pStyle w:val="Heading2"/>
        <w:spacing w:before="280" w:after="140"/>
      </w:pPr>
      <w:r>
        <w:rPr>
          <w:rFonts w:ascii="Arial" w:cs="Arial" w:eastAsia="Arial" w:hAnsi="Arial"/>
          <w:b/>
          <w:bCs/>
          <w:color w:val="1D9E75"/>
          <w:sz w:val="28"/>
          <w:szCs w:val="28"/>
        </w:rPr>
        <w:t xml:space="preserve">5.1 Sparsification Formula</w:t>
      </w:r>
    </w:p>
    <w:p>
      <w:pPr>
        <w:spacing w:after="160"/>
        <w:jc w:val="both"/>
      </w:pPr>
      <w:r>
        <w:rPr>
          <w:rFonts w:ascii="Arial" w:cs="Arial" w:eastAsia="Arial" w:hAnsi="Arial"/>
          <w:color w:val="1a1a1a"/>
          <w:sz w:val="22"/>
          <w:szCs w:val="22"/>
        </w:rPr>
        <w:t xml:space="preserve">For each client i, the compression ratio r_i at round t is:</w:t>
      </w:r>
    </w:p>
    <w:p>
      <w:pPr>
        <w:spacing w:before="200" w:after="200"/>
        <w:jc w:val="center"/>
      </w:pPr>
      <w:r>
        <w:rPr>
          <w:rFonts w:ascii="Courier New" w:cs="Courier New" w:eastAsia="Courier New" w:hAnsi="Courier New"/>
          <w:b/>
          <w:bCs/>
          <w:color w:val="1D9E75"/>
          <w:sz w:val="24"/>
          <w:szCs w:val="24"/>
        </w:rPr>
        <w:t xml:space="preserve">r_i(t) = T_i(t) × max_sparsity        (max_sparsity = 0.90)</w:t>
      </w:r>
    </w:p>
    <w:p>
      <w:pPr>
        <w:spacing w:after="160"/>
        <w:jc w:val="both"/>
      </w:pPr>
      <w:r>
        <w:rPr>
          <w:rFonts w:ascii="Arial" w:cs="Arial" w:eastAsia="Arial" w:hAnsi="Arial"/>
          <w:color w:val="1a1a1a"/>
          <w:sz w:val="22"/>
          <w:szCs w:val="22"/>
        </w:rPr>
        <w:t xml:space="preserve">A client with trust score 1.0 sends only the top 10% of gradient components by magnitude (90% compression). A client with trust score 0.0 sends the full gradient update — this is intentional: low-trust nodes are required to transmit full updates so the trust engine can perform thorough anomaly analysis on their uncompressed data.</w:t>
      </w:r>
    </w:p>
    <w:p>
      <w:pPr>
        <w:pStyle w:val="Heading2"/>
        <w:spacing w:before="280" w:after="140"/>
      </w:pPr>
      <w:r>
        <w:rPr>
          <w:rFonts w:ascii="Arial" w:cs="Arial" w:eastAsia="Arial" w:hAnsi="Arial"/>
          <w:b/>
          <w:bCs/>
          <w:color w:val="1D9E75"/>
          <w:sz w:val="28"/>
          <w:szCs w:val="28"/>
        </w:rPr>
        <w:t xml:space="preserve">5.2 Dual Benefit Design</w:t>
      </w:r>
    </w:p>
    <w:p>
      <w:pPr>
        <w:spacing w:after="160"/>
        <w:jc w:val="both"/>
      </w:pPr>
      <w:r>
        <w:rPr>
          <w:rFonts w:ascii="Arial" w:cs="Arial" w:eastAsia="Arial" w:hAnsi="Arial"/>
          <w:color w:val="1a1a1a"/>
          <w:sz w:val="22"/>
          <w:szCs w:val="22"/>
        </w:rPr>
        <w:t xml:space="preserve">This design creates a virtuous cycle: honest high-trust clients benefit from reduced communication overhead, incentivising reliable behaviour. Suspicious low-trust clients face the burden of full gradient transmission, increasing the signal available to the trust engine for accurate detection. Across all experiments, Adaptive-HTFL achieves an average bandwidth reduction of approximately 62%.</w:t>
      </w:r>
    </w:p>
    <w:p>
      <w:pPr>
        <w:spacing w:after="160"/>
      </w:pPr>
    </w:p>
    <w:p>
      <w:r>
        <w:br w:type="page"/>
      </w:r>
    </w:p>
    <w:p>
      <w:pPr>
        <w:pStyle w:val="Heading1"/>
        <w:spacing w:before="360" w:after="180"/>
      </w:pPr>
      <w:r>
        <w:rPr>
          <w:rFonts w:ascii="Arial" w:cs="Arial" w:eastAsia="Arial" w:hAnsi="Arial"/>
          <w:b/>
          <w:bCs/>
          <w:color w:val="1a1a1a"/>
          <w:sz w:val="34"/>
          <w:szCs w:val="34"/>
        </w:rPr>
        <w:t xml:space="preserve">6. Pillar 3 — Delegated Proof-of-Trust (DPoT) Micro-chain</w:t>
      </w:r>
    </w:p>
    <w:p>
      <w:pPr>
        <w:pStyle w:val="Heading2"/>
        <w:spacing w:before="280" w:after="140"/>
      </w:pPr>
      <w:r>
        <w:rPr>
          <w:rFonts w:ascii="Arial" w:cs="Arial" w:eastAsia="Arial" w:hAnsi="Arial"/>
          <w:b/>
          <w:bCs/>
          <w:color w:val="1D9E75"/>
          <w:sz w:val="28"/>
          <w:szCs w:val="28"/>
        </w:rPr>
        <w:t xml:space="preserve">6.1 Motivation</w:t>
      </w:r>
    </w:p>
    <w:p>
      <w:pPr>
        <w:spacing w:after="160"/>
        <w:jc w:val="both"/>
      </w:pPr>
      <w:r>
        <w:rPr>
          <w:rFonts w:ascii="Arial" w:cs="Arial" w:eastAsia="Arial" w:hAnsi="Arial"/>
          <w:color w:val="1a1a1a"/>
          <w:sz w:val="22"/>
          <w:szCs w:val="22"/>
        </w:rPr>
        <w:t xml:space="preserve">Traditional FL systems maintain a centralised aggregation server that represents a single point of failure and trust. Blockchain integration has been proposed to decentralise this trust, but global consensus mechanisms impose prohibitive latency and energy costs in real-time IoT settings. DPoT addresses this by electing a small, high-trust consensus committee per round.</w:t>
      </w:r>
    </w:p>
    <w:p>
      <w:pPr>
        <w:pStyle w:val="Heading2"/>
        <w:spacing w:before="280" w:after="140"/>
      </w:pPr>
      <w:r>
        <w:rPr>
          <w:rFonts w:ascii="Arial" w:cs="Arial" w:eastAsia="Arial" w:hAnsi="Arial"/>
          <w:b/>
          <w:bCs/>
          <w:color w:val="1D9E75"/>
          <w:sz w:val="28"/>
          <w:szCs w:val="28"/>
        </w:rPr>
        <w:t xml:space="preserve">6.2 Smart Contract Architecture</w:t>
      </w:r>
    </w:p>
    <w:p>
      <w:pPr>
        <w:spacing w:after="160"/>
        <w:jc w:val="both"/>
      </w:pPr>
      <w:r>
        <w:rPr>
          <w:rFonts w:ascii="Arial" w:cs="Arial" w:eastAsia="Arial" w:hAnsi="Arial"/>
          <w:color w:val="1a1a1a"/>
          <w:sz w:val="22"/>
          <w:szCs w:val="22"/>
        </w:rPr>
        <w:t xml:space="preserve">A simulated smart contract governs committee election according to a dynamic threshold:</w:t>
      </w:r>
    </w:p>
    <w:p>
      <w:pPr>
        <w:spacing w:before="200" w:after="200"/>
        <w:jc w:val="center"/>
      </w:pPr>
      <w:r>
        <w:rPr>
          <w:rFonts w:ascii="Courier New" w:cs="Courier New" w:eastAsia="Courier New" w:hAnsi="Courier New"/>
          <w:b/>
          <w:bCs/>
          <w:color w:val="1D9E75"/>
          <w:sz w:val="22"/>
          <w:szCs w:val="22"/>
        </w:rPr>
        <w:t xml:space="preserve">threshold(t) = base_threshold + maturity_factor(t) - attack_relief(t)</w:t>
      </w:r>
    </w:p>
    <w:p>
      <w:pPr>
        <w:spacing w:after="160"/>
        <w:jc w:val="both"/>
      </w:pPr>
      <w:r>
        <w:rPr>
          <w:rFonts w:ascii="Arial" w:cs="Arial" w:eastAsia="Arial" w:hAnsi="Arial"/>
          <w:color w:val="1a1a1a"/>
          <w:sz w:val="22"/>
          <w:szCs w:val="22"/>
        </w:rPr>
        <w:t xml:space="preserve">The threshold tightens as the network matures (maturity_factor = min(0.10, t × 0.003)) and relaxes under heavy attack conditions to ensure committee viability (attack_relief). The base threshold is 0.55, with a minimum committee size of 3 to guarantee liveness.</w:t>
      </w:r>
    </w:p>
    <w:p>
      <w:pPr>
        <w:pStyle w:val="Heading2"/>
        <w:spacing w:before="280" w:after="140"/>
      </w:pPr>
      <w:r>
        <w:rPr>
          <w:rFonts w:ascii="Arial" w:cs="Arial" w:eastAsia="Arial" w:hAnsi="Arial"/>
          <w:b/>
          <w:bCs/>
          <w:color w:val="1D9E75"/>
          <w:sz w:val="28"/>
          <w:szCs w:val="28"/>
        </w:rPr>
        <w:t xml:space="preserve">6.3 Block Structure</w:t>
      </w:r>
    </w:p>
    <w:p>
      <w:pPr>
        <w:spacing w:after="160"/>
        <w:jc w:val="both"/>
      </w:pPr>
      <w:r>
        <w:rPr>
          <w:rFonts w:ascii="Arial" w:cs="Arial" w:eastAsia="Arial" w:hAnsi="Arial"/>
          <w:color w:val="1a1a1a"/>
          <w:sz w:val="22"/>
          <w:szCs w:val="22"/>
        </w:rPr>
        <w:t xml:space="preserve">Each round produces a block containing: round number, elected committee member IDs, excluded node IDs, SHA-256 model fingerprint, full trust snapshot, dynamic threshold used, consensus votes cast, and a block hash for tamper detection. The chain provides an auditable, immutable record of every model update and the trust scores that governed aggregation.</w:t>
      </w:r>
    </w:p>
    <w:p>
      <w:pPr>
        <w:pStyle w:val="Heading2"/>
        <w:spacing w:before="280" w:after="140"/>
      </w:pPr>
      <w:r>
        <w:rPr>
          <w:rFonts w:ascii="Arial" w:cs="Arial" w:eastAsia="Arial" w:hAnsi="Arial"/>
          <w:b/>
          <w:bCs/>
          <w:color w:val="1D9E75"/>
          <w:sz w:val="28"/>
          <w:szCs w:val="28"/>
        </w:rPr>
        <w:t xml:space="preserve">6.4 Consensus Mechanism</w:t>
      </w:r>
    </w:p>
    <w:p>
      <w:pPr>
        <w:spacing w:after="160"/>
        <w:jc w:val="both"/>
      </w:pPr>
      <w:r>
        <w:rPr>
          <w:rFonts w:ascii="Arial" w:cs="Arial" w:eastAsia="Arial" w:hAnsi="Arial"/>
          <w:color w:val="1a1a1a"/>
          <w:sz w:val="22"/>
          <w:szCs w:val="22"/>
        </w:rPr>
        <w:t xml:space="preserve">Committee members vote on the proposed global model with a probability proportional to their trust score. Consensus requires a simple majority (&gt;51%) of committee votes. Failed consensus rounds result in the server retaining the previous global model, providing protection against worst-case adversarial scenarios.</w:t>
      </w:r>
    </w:p>
    <w:p>
      <w:pPr>
        <w:spacing w:after="160"/>
      </w:pPr>
    </w:p>
    <w:p>
      <w:r>
        <w:br w:type="page"/>
      </w:r>
    </w:p>
    <w:p>
      <w:pPr>
        <w:pStyle w:val="Heading1"/>
        <w:spacing w:before="360" w:after="180"/>
      </w:pPr>
      <w:r>
        <w:rPr>
          <w:rFonts w:ascii="Arial" w:cs="Arial" w:eastAsia="Arial" w:hAnsi="Arial"/>
          <w:b/>
          <w:bCs/>
          <w:color w:val="1a1a1a"/>
          <w:sz w:val="34"/>
          <w:szCs w:val="34"/>
        </w:rPr>
        <w:t xml:space="preserve">7. Dataset and Experimental Setup</w:t>
      </w:r>
    </w:p>
    <w:p>
      <w:pPr>
        <w:pStyle w:val="Heading2"/>
        <w:spacing w:before="280" w:after="140"/>
      </w:pPr>
      <w:r>
        <w:rPr>
          <w:rFonts w:ascii="Arial" w:cs="Arial" w:eastAsia="Arial" w:hAnsi="Arial"/>
          <w:b/>
          <w:bCs/>
          <w:color w:val="1D9E75"/>
          <w:sz w:val="28"/>
          <w:szCs w:val="28"/>
        </w:rPr>
        <w:t xml:space="preserve">7.1 Synthetic IoT Sensor Dataset</w:t>
      </w:r>
    </w:p>
    <w:p>
      <w:pPr>
        <w:spacing w:after="160"/>
        <w:jc w:val="both"/>
      </w:pPr>
      <w:r>
        <w:rPr>
          <w:rFonts w:ascii="Arial" w:cs="Arial" w:eastAsia="Arial" w:hAnsi="Arial"/>
          <w:color w:val="1a1a1a"/>
          <w:sz w:val="22"/>
          <w:szCs w:val="22"/>
        </w:rPr>
        <w:t xml:space="preserve">In the absence of a publicly available smart campus IoT dataset with ground-truth attack labels, we construct a realistic synthetic dataset using domain-informed sensor profiles. The dataset comprises 10 sensor modalities classifying 10 campus activity states: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Activity Class</w:t>
            </w:r>
          </w:p>
        </w:tc>
        <w:tc>
          <w:tcPr>
            <w:tcW w:type="dxa" w:w="616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Key Sensor Signatures</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 Room</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CO2 (~400 ppm), minimal motion, low sound (~30 dB)</w:t>
            </w:r>
          </w:p>
        </w:tc>
      </w:tr>
      <w:tr>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Single Occupant Working</w:t>
            </w:r>
          </w:p>
        </w:tc>
        <w:tc>
          <w:tcPr>
            <w:tcW w:type="dxa" w:w="61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Moderate CO2 (~550 ppm), low motion, low sound (~38 dB)</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 Meeting (2-5)</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Elevated CO2 (~750 ppm), moderate sound (~48 dB)</w:t>
            </w:r>
          </w:p>
        </w:tc>
      </w:tr>
      <w:tr>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Large Meeting (6-15)</w:t>
            </w:r>
          </w:p>
        </w:tc>
        <w:tc>
          <w:tcPr>
            <w:tcW w:type="dxa" w:w="61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High CO2 (~1100 ppm), elevated sound (~58 dB)</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Lecture Class</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high CO2 (~1500 ppm), high occupancy (~28), moderate sound</w:t>
            </w:r>
          </w:p>
        </w:tc>
      </w:tr>
      <w:tr>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Lab Session</w:t>
            </w:r>
          </w:p>
        </w:tc>
        <w:tc>
          <w:tcPr>
            <w:tcW w:type="dxa" w:w="61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Elevated CO2 (~900 ppm), high power (~4 kW), vibration (~2.5 mg)</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Cafeteria Activity</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sound (~72 dB), high occupancy (~40), high power (~8 kW)</w:t>
            </w:r>
          </w:p>
        </w:tc>
      </w:tr>
      <w:tr>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Gym/Sports</w:t>
            </w:r>
          </w:p>
        </w:tc>
        <w:tc>
          <w:tcPr>
            <w:tcW w:type="dxa" w:w="61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High temperature (~25C), high humidity (~65%), high vibration (~5 mg)</w:t>
            </w:r>
          </w:p>
        </w:tc>
      </w:tr>
      <w:tr>
        <w:tc>
          <w:tcPr>
            <w:tcW w:type="dxa" w:w="32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Corridor Traffic</w:t>
            </w:r>
          </w:p>
        </w:tc>
        <w:tc>
          <w:tcPr>
            <w:tcW w:type="dxa" w:w="616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Variable motion, moderate sound, low occupancy</w:t>
            </w:r>
          </w:p>
        </w:tc>
      </w:tr>
      <w:tr>
        <w:tc>
          <w:tcPr>
            <w:tcW w:type="dxa" w:w="32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Emergency/Alarm</w:t>
            </w:r>
          </w:p>
        </w:tc>
        <w:tc>
          <w:tcPr>
            <w:tcW w:type="dxa" w:w="616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High sound (~95 dB), high light (~800 lux), elevated temperature</w:t>
            </w:r>
          </w:p>
        </w:tc>
      </w:tr>
    </w:tbl>
    <w:p>
      <w:pPr>
        <w:spacing w:after="160"/>
      </w:pPr>
    </w:p>
    <w:p>
      <w:pPr>
        <w:pStyle w:val="Heading2"/>
        <w:spacing w:before="280" w:after="140"/>
      </w:pPr>
      <w:r>
        <w:rPr>
          <w:rFonts w:ascii="Arial" w:cs="Arial" w:eastAsia="Arial" w:hAnsi="Arial"/>
          <w:b/>
          <w:bCs/>
          <w:color w:val="1D9E75"/>
          <w:sz w:val="28"/>
          <w:szCs w:val="28"/>
        </w:rPr>
        <w:t xml:space="preserve">7.2 Data Partitioning</w:t>
      </w:r>
    </w:p>
    <w:p>
      <w:pPr>
        <w:spacing w:after="160"/>
        <w:jc w:val="both"/>
      </w:pPr>
      <w:r>
        <w:rPr>
          <w:rFonts w:ascii="Arial" w:cs="Arial" w:eastAsia="Arial" w:hAnsi="Arial"/>
          <w:color w:val="1a1a1a"/>
          <w:sz w:val="22"/>
          <w:szCs w:val="22"/>
        </w:rPr>
        <w:t xml:space="preserve">6,000 samples are allocated for training across 10 clients using Dirichlet distribution partitioning (alpha = 0.5) to simulate realistic non-IID heterogeneity. 1,500 samples form the held-out test set. This partitioning ensures that each client serves a distinct campus zone with a different mixture of activity classes.</w:t>
      </w:r>
    </w:p>
    <w:p>
      <w:pPr>
        <w:pStyle w:val="Heading2"/>
        <w:spacing w:before="280" w:after="140"/>
      </w:pPr>
      <w:r>
        <w:rPr>
          <w:rFonts w:ascii="Arial" w:cs="Arial" w:eastAsia="Arial" w:hAnsi="Arial"/>
          <w:b/>
          <w:bCs/>
          <w:color w:val="1D9E75"/>
          <w:sz w:val="28"/>
          <w:szCs w:val="28"/>
        </w:rPr>
        <w:t xml:space="preserve">7.3 Hardware Context Generation</w:t>
      </w:r>
    </w:p>
    <w:p>
      <w:pPr>
        <w:spacing w:after="160"/>
        <w:jc w:val="both"/>
      </w:pPr>
      <w:r>
        <w:rPr>
          <w:rFonts w:ascii="Arial" w:cs="Arial" w:eastAsia="Arial" w:hAnsi="Arial"/>
          <w:color w:val="1a1a1a"/>
          <w:sz w:val="22"/>
          <w:szCs w:val="22"/>
        </w:rPr>
        <w:t xml:space="preserve">Each client is assigned realistic hardware metadata. Honest clients receive healthy profiles (battery 70-100%, signal -65 to -40 dBm, CPU 10-55%, packet loss 0-3%). Malicious clients receive suspicious profiles (CPU 70-95%, uptime 1-48 hours, packet loss 5-20%) designed to reflect the behaviour of compromised or repurposed devices.</w:t>
      </w:r>
    </w:p>
    <w:p>
      <w:pPr>
        <w:pStyle w:val="Heading2"/>
        <w:spacing w:before="280" w:after="140"/>
      </w:pPr>
      <w:r>
        <w:rPr>
          <w:rFonts w:ascii="Arial" w:cs="Arial" w:eastAsia="Arial" w:hAnsi="Arial"/>
          <w:b/>
          <w:bCs/>
          <w:color w:val="1D9E75"/>
          <w:sz w:val="28"/>
          <w:szCs w:val="28"/>
        </w:rPr>
        <w:t xml:space="preserve">7.4 Training Configuration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 rounds (T)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w:t>
            </w:r>
          </w:p>
        </w:tc>
      </w:tr>
      <w:tr>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Local epochs (E)</w:t>
            </w:r>
          </w:p>
        </w:tc>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Learning rate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0.05</w:t>
            </w:r>
          </w:p>
        </w:tc>
      </w:tr>
      <w:tr>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Batch size</w:t>
            </w:r>
          </w:p>
        </w:tc>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32</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clients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r>
      <w:tr>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Non-IID alpha</w:t>
            </w:r>
          </w:p>
        </w:tc>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0.5 (Dirichlet)</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Warmup rounds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(uniform trust)</w:t>
            </w:r>
          </w:p>
        </w:tc>
      </w:tr>
      <w:tr>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Trust decay (lambda)</w:t>
            </w:r>
          </w:p>
        </w:tc>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0.80</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PCA components</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r>
      <w:tr>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Max sparsity</w:t>
            </w:r>
          </w:p>
        </w:tc>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90%</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DPoT base threshold</w:t>
            </w:r>
          </w:p>
        </w:tc>
        <w:tc>
          <w:tcPr>
            <w:tcW w:type="dxa" w:w="46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0.55</w:t>
            </w:r>
          </w:p>
        </w:tc>
      </w:tr>
      <w:tr>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Min committee size</w:t>
            </w:r>
          </w:p>
        </w:tc>
        <w:tc>
          <w:tcPr>
            <w:tcW w:type="dxa" w:w="46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3</w:t>
            </w:r>
          </w:p>
        </w:tc>
      </w:tr>
    </w:tbl>
    <w:p>
      <w:pPr>
        <w:spacing w:after="160"/>
      </w:pPr>
    </w:p>
    <w:p>
      <w:r>
        <w:br w:type="page"/>
      </w:r>
    </w:p>
    <w:p>
      <w:pPr>
        <w:pStyle w:val="Heading1"/>
        <w:spacing w:before="360" w:after="180"/>
      </w:pPr>
      <w:r>
        <w:rPr>
          <w:rFonts w:ascii="Arial" w:cs="Arial" w:eastAsia="Arial" w:hAnsi="Arial"/>
          <w:b/>
          <w:bCs/>
          <w:color w:val="1a1a1a"/>
          <w:sz w:val="34"/>
          <w:szCs w:val="34"/>
        </w:rPr>
        <w:t xml:space="preserve">8. Experimental Results</w:t>
      </w:r>
    </w:p>
    <w:p>
      <w:pPr>
        <w:pStyle w:val="Heading2"/>
        <w:spacing w:before="280" w:after="140"/>
      </w:pPr>
      <w:r>
        <w:rPr>
          <w:rFonts w:ascii="Arial" w:cs="Arial" w:eastAsia="Arial" w:hAnsi="Arial"/>
          <w:b/>
          <w:bCs/>
          <w:color w:val="1D9E75"/>
          <w:sz w:val="28"/>
          <w:szCs w:val="28"/>
        </w:rPr>
        <w:t xml:space="preserve">8.1 Accuracy Comparison</w:t>
      </w:r>
    </w:p>
    <w:p>
      <w:pPr>
        <w:spacing w:after="160"/>
        <w:jc w:val="both"/>
      </w:pPr>
      <w:r>
        <w:rPr>
          <w:rFonts w:ascii="Arial" w:cs="Arial" w:eastAsia="Arial" w:hAnsi="Arial"/>
          <w:color w:val="1a1a1a"/>
          <w:sz w:val="22"/>
          <w:szCs w:val="22"/>
        </w:rPr>
        <w:t xml:space="preserve">Table 1 presents the final model accuracy (average of last 3 rounds) for all three strategies across all five attack scenarios.</w:t>
      </w:r>
    </w:p>
    <w:p>
      <w:pPr>
        <w:spacing w:after="160"/>
      </w:pPr>
    </w:p>
    <w:tbl>
      <w:tblPr>
        <w:tblW w:type="dxa" w:w="107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580"/>
        <w:gridCol w:w="2000"/>
        <w:gridCol w:w="1840"/>
        <w:gridCol w:w="1500"/>
      </w:tblGrid>
      <w:tr>
        <w:trPr>
          <w:tblHeader/>
        </w:trPr>
        <w:tc>
          <w:tcPr>
            <w:tcW w:type="dxa" w:w="24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4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FedAvg</w:t>
            </w:r>
          </w:p>
        </w:tc>
        <w:tc>
          <w:tcPr>
            <w:tcW w:type="dxa" w:w="158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BasicTrust</w:t>
            </w:r>
          </w:p>
        </w:tc>
        <w:tc>
          <w:tcPr>
            <w:tcW w:type="dxa" w:w="20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Adaptive-HTFL</w:t>
            </w:r>
          </w:p>
        </w:tc>
        <w:tc>
          <w:tcPr>
            <w:tcW w:type="dxa" w:w="184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Delta vs FedAvg</w:t>
            </w:r>
          </w:p>
        </w:tc>
        <w:tc>
          <w:tcPr>
            <w:tcW w:type="dxa" w:w="1500"/>
            <w:tcBorders>
              <w:top w:val="single" w:color="D3D1C7" w:sz="1"/>
              <w:left w:val="single" w:color="D3D1C7" w:sz="1"/>
              <w:bottom w:val="single" w:color="D3D1C7" w:sz="1"/>
              <w:right w:val="single" w:color="D3D1C7"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Avg Compress</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Baseline (no attack)</w:t>
            </w:r>
          </w:p>
        </w:tc>
        <w:tc>
          <w:tcPr>
            <w:tcW w:type="dxa" w:w="14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44.4%</w:t>
            </w:r>
          </w:p>
        </w:tc>
        <w:tc>
          <w:tcPr>
            <w:tcW w:type="dxa" w:w="1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81.2%</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74.2%</w:t>
            </w:r>
          </w:p>
        </w:tc>
        <w:tc>
          <w:tcPr>
            <w:tcW w:type="dxa" w:w="18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+29.8%</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63.8%</w:t>
            </w:r>
          </w:p>
        </w:tc>
      </w:tr>
      <w:tr>
        <w:tc>
          <w:tcPr>
            <w:tcW w:type="dxa" w:w="24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Label Flip (30% malicious)</w:t>
            </w:r>
          </w:p>
        </w:tc>
        <w:tc>
          <w:tcPr>
            <w:tcW w:type="dxa" w:w="144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41.3%</w:t>
            </w:r>
          </w:p>
        </w:tc>
        <w:tc>
          <w:tcPr>
            <w:tcW w:type="dxa" w:w="15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71.8%</w:t>
            </w:r>
          </w:p>
        </w:tc>
        <w:tc>
          <w:tcPr>
            <w:tcW w:type="dxa" w:w="20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67.5%</w:t>
            </w:r>
          </w:p>
        </w:tc>
        <w:tc>
          <w:tcPr>
            <w:tcW w:type="dxa" w:w="184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+26.2%</w:t>
            </w:r>
          </w:p>
        </w:tc>
        <w:tc>
          <w:tcPr>
            <w:tcW w:type="dxa" w:w="15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61.6%</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Noise Injection (30%)</w:t>
            </w:r>
          </w:p>
        </w:tc>
        <w:tc>
          <w:tcPr>
            <w:tcW w:type="dxa" w:w="14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55.4%</w:t>
            </w:r>
          </w:p>
        </w:tc>
        <w:tc>
          <w:tcPr>
            <w:tcW w:type="dxa" w:w="1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72.2%</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73.2%</w:t>
            </w:r>
          </w:p>
        </w:tc>
        <w:tc>
          <w:tcPr>
            <w:tcW w:type="dxa" w:w="18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+17.8%</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61.6%</w:t>
            </w:r>
          </w:p>
        </w:tc>
      </w:tr>
      <w:tr>
        <w:tc>
          <w:tcPr>
            <w:tcW w:type="dxa" w:w="24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Scaling Attack (20%)</w:t>
            </w:r>
          </w:p>
        </w:tc>
        <w:tc>
          <w:tcPr>
            <w:tcW w:type="dxa" w:w="144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42.7%</w:t>
            </w:r>
          </w:p>
        </w:tc>
        <w:tc>
          <w:tcPr>
            <w:tcW w:type="dxa" w:w="158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46.1%</w:t>
            </w:r>
          </w:p>
        </w:tc>
        <w:tc>
          <w:tcPr>
            <w:tcW w:type="dxa" w:w="20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55.0%</w:t>
            </w:r>
          </w:p>
        </w:tc>
        <w:tc>
          <w:tcPr>
            <w:tcW w:type="dxa" w:w="184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+12.3%</w:t>
            </w:r>
          </w:p>
        </w:tc>
        <w:tc>
          <w:tcPr>
            <w:tcW w:type="dxa" w:w="1500"/>
            <w:tcBorders>
              <w:top w:val="single" w:color="D3D1C7" w:sz="1"/>
              <w:left w:val="single" w:color="D3D1C7" w:sz="1"/>
              <w:bottom w:val="single" w:color="D3D1C7" w:sz="1"/>
              <w:right w:val="single" w:color="D3D1C7" w:sz="1"/>
            </w:tcBorders>
            <w:shd w:fill="F8F8F6" w:val="clear"/>
            <w:tcMar>
              <w:top w:type="dxa" w:w="80"/>
              <w:left w:type="dxa" w:w="120"/>
              <w:bottom w:type="dxa" w:w="80"/>
              <w:right w:type="dxa" w:w="120"/>
            </w:tcMar>
          </w:tcPr>
          <w:p>
            <w:r>
              <w:rPr>
                <w:rFonts w:ascii="Arial" w:cs="Arial" w:eastAsia="Arial" w:hAnsi="Arial"/>
                <w:color w:val="1a1a1a"/>
                <w:sz w:val="20"/>
                <w:szCs w:val="20"/>
              </w:rPr>
              <w:t xml:space="preserve">62.2%</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Slow Poisoning (40%)</w:t>
            </w:r>
          </w:p>
        </w:tc>
        <w:tc>
          <w:tcPr>
            <w:tcW w:type="dxa" w:w="14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42.9%</w:t>
            </w:r>
          </w:p>
        </w:tc>
        <w:tc>
          <w:tcPr>
            <w:tcW w:type="dxa" w:w="158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80.6%</w:t>
            </w:r>
          </w:p>
        </w:tc>
        <w:tc>
          <w:tcPr>
            <w:tcW w:type="dxa" w:w="20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76.8%</w:t>
            </w:r>
          </w:p>
        </w:tc>
        <w:tc>
          <w:tcPr>
            <w:tcW w:type="dxa" w:w="184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+33.9%</w:t>
            </w:r>
          </w:p>
        </w:tc>
        <w:tc>
          <w:tcPr>
            <w:tcW w:type="dxa" w:w="1500"/>
            <w:tcBorders>
              <w:top w:val="single" w:color="D3D1C7" w:sz="1"/>
              <w:left w:val="single" w:color="D3D1C7" w:sz="1"/>
              <w:bottom w:val="single" w:color="D3D1C7" w:sz="1"/>
              <w:right w:val="single" w:color="D3D1C7"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60.9%</w:t>
            </w:r>
          </w:p>
        </w:tc>
      </w:tr>
    </w:tbl>
    <w:p>
      <w:pPr>
        <w:spacing w:after="160"/>
      </w:pPr>
    </w:p>
    <w:p>
      <w:pPr>
        <w:spacing w:after="160"/>
        <w:jc w:val="both"/>
      </w:pPr>
      <w:r>
        <w:rPr>
          <w:rFonts w:ascii="Arial" w:cs="Arial" w:eastAsia="Arial" w:hAnsi="Arial"/>
          <w:color w:val="1a1a1a"/>
          <w:sz w:val="22"/>
          <w:szCs w:val="22"/>
        </w:rPr>
        <w:t xml:space="preserve">Table 1: Final model accuracy comparison. Delta computed as Adaptive-HTFL minus FedAvg. Compress refers to average gradient compression achieved by Adaptive-HTFL.</w:t>
      </w:r>
    </w:p>
    <w:p>
      <w:pPr>
        <w:spacing w:after="160"/>
      </w:pPr>
    </w:p>
    <w:p>
      <w:pPr>
        <w:pStyle w:val="Heading2"/>
        <w:spacing w:before="280" w:after="140"/>
      </w:pPr>
      <w:r>
        <w:rPr>
          <w:rFonts w:ascii="Arial" w:cs="Arial" w:eastAsia="Arial" w:hAnsi="Arial"/>
          <w:b/>
          <w:bCs/>
          <w:color w:val="1D9E75"/>
          <w:sz w:val="28"/>
          <w:szCs w:val="28"/>
        </w:rPr>
        <w:t xml:space="preserve">8.2 Key Findings</w:t>
      </w:r>
    </w:p>
    <w:p>
      <w:pPr>
        <w:pStyle w:val="ListParagraph"/>
        <w:numPr>
          <w:ilvl w:val="0"/>
          <w:numId w:val="2"/>
        </w:numPr>
        <w:spacing w:after="80"/>
      </w:pPr>
      <w:r>
        <w:rPr>
          <w:rFonts w:ascii="Arial" w:cs="Arial" w:eastAsia="Arial" w:hAnsi="Arial"/>
          <w:color w:val="1a1a1a"/>
          <w:sz w:val="22"/>
          <w:szCs w:val="22"/>
        </w:rPr>
        <w:t xml:space="preserve">Adaptive-HTFL consistently outperforms FedAvg across all attack scenarios, with improvements ranging from +12.3% (scaling) to +33.9% (slow poisoning).</w:t>
      </w:r>
    </w:p>
    <w:p>
      <w:pPr>
        <w:pStyle w:val="ListParagraph"/>
        <w:numPr>
          <w:ilvl w:val="0"/>
          <w:numId w:val="2"/>
        </w:numPr>
        <w:spacing w:after="80"/>
      </w:pPr>
      <w:r>
        <w:rPr>
          <w:rFonts w:ascii="Arial" w:cs="Arial" w:eastAsia="Arial" w:hAnsi="Arial"/>
          <w:color w:val="1a1a1a"/>
          <w:sz w:val="22"/>
          <w:szCs w:val="22"/>
        </w:rPr>
        <w:t xml:space="preserve">The scaling attack proves most challenging across all methods, as amplified gradients significantly distort the aggregation before trust scores can penalise the responsible clients.</w:t>
      </w:r>
    </w:p>
    <w:p>
      <w:pPr>
        <w:pStyle w:val="ListParagraph"/>
        <w:numPr>
          <w:ilvl w:val="0"/>
          <w:numId w:val="2"/>
        </w:numPr>
        <w:spacing w:after="80"/>
      </w:pPr>
      <w:r>
        <w:rPr>
          <w:rFonts w:ascii="Arial" w:cs="Arial" w:eastAsia="Arial" w:hAnsi="Arial"/>
          <w:color w:val="1a1a1a"/>
          <w:sz w:val="22"/>
          <w:szCs w:val="22"/>
        </w:rPr>
        <w:t xml:space="preserve">Slow poisoning — the hardest attack for detection-based defences — shows the largest absolute improvement (+33.9%), demonstrating the effectiveness of temporal trust decay in accumulating evidence against subtle adversaries.</w:t>
      </w:r>
    </w:p>
    <w:p>
      <w:pPr>
        <w:pStyle w:val="ListParagraph"/>
        <w:numPr>
          <w:ilvl w:val="0"/>
          <w:numId w:val="2"/>
        </w:numPr>
        <w:spacing w:after="80"/>
      </w:pPr>
      <w:r>
        <w:rPr>
          <w:rFonts w:ascii="Arial" w:cs="Arial" w:eastAsia="Arial" w:hAnsi="Arial"/>
          <w:color w:val="1a1a1a"/>
          <w:sz w:val="22"/>
          <w:szCs w:val="22"/>
        </w:rPr>
        <w:t xml:space="preserve">The average gradient compression of 62% across all scenarios represents a substantial reduction in communication overhead, directly addressing the bandwidth constraints of campus IoT deployments.</w:t>
      </w:r>
    </w:p>
    <w:p>
      <w:pPr>
        <w:pStyle w:val="ListParagraph"/>
        <w:numPr>
          <w:ilvl w:val="0"/>
          <w:numId w:val="2"/>
        </w:numPr>
        <w:spacing w:after="80"/>
      </w:pPr>
      <w:r>
        <w:rPr>
          <w:rFonts w:ascii="Arial" w:cs="Arial" w:eastAsia="Arial" w:hAnsi="Arial"/>
          <w:color w:val="1a1a1a"/>
          <w:sz w:val="22"/>
          <w:szCs w:val="22"/>
        </w:rPr>
        <w:t xml:space="preserve">DPoT consensus was achieved in over 95% of rounds in baseline and slow-poison scenarios, with committee sizes dynamically adapting from 10 (clean network) to 6-7 (under heavy attack).</w:t>
      </w:r>
    </w:p>
    <w:p>
      <w:pPr>
        <w:spacing w:after="160"/>
      </w:pPr>
    </w:p>
    <w:p>
      <w:pPr>
        <w:pStyle w:val="Heading2"/>
        <w:spacing w:before="280" w:after="140"/>
      </w:pPr>
      <w:r>
        <w:rPr>
          <w:rFonts w:ascii="Arial" w:cs="Arial" w:eastAsia="Arial" w:hAnsi="Arial"/>
          <w:b/>
          <w:bCs/>
          <w:color w:val="1D9E75"/>
          <w:sz w:val="28"/>
          <w:szCs w:val="28"/>
        </w:rPr>
        <w:t xml:space="preserve">8.3 DPoT Micro-chain Performance</w:t>
      </w:r>
    </w:p>
    <w:p>
      <w:pPr>
        <w:spacing w:after="160"/>
        <w:jc w:val="both"/>
      </w:pPr>
      <w:r>
        <w:rPr>
          <w:rFonts w:ascii="Arial" w:cs="Arial" w:eastAsia="Arial" w:hAnsi="Arial"/>
          <w:color w:val="1a1a1a"/>
          <w:sz w:val="22"/>
          <w:szCs w:val="22"/>
        </w:rPr>
        <w:t xml:space="preserve">The DPoT chain successfully adapted committee sizes in response to detected attacks. In the label-flip scenario with 3 malicious nodes, the committee stabilised at 7 members (the 7 trusted honest clients) by round 11. In the slow-poisoning scenario with 4 malicious nodes, the committee reduced to 6 members, maintaining liveness above the minimum threshold of 3 throughout all 25 rounds.</w:t>
      </w:r>
    </w:p>
    <w:p>
      <w:pPr>
        <w:spacing w:after="160"/>
      </w:pPr>
    </w:p>
    <w:p>
      <w:r>
        <w:br w:type="page"/>
      </w:r>
    </w:p>
    <w:p>
      <w:pPr>
        <w:pStyle w:val="Heading1"/>
        <w:spacing w:before="360" w:after="180"/>
      </w:pPr>
      <w:r>
        <w:rPr>
          <w:rFonts w:ascii="Arial" w:cs="Arial" w:eastAsia="Arial" w:hAnsi="Arial"/>
          <w:b/>
          <w:bCs/>
          <w:color w:val="1a1a1a"/>
          <w:sz w:val="34"/>
          <w:szCs w:val="34"/>
        </w:rPr>
        <w:t xml:space="preserve">9. Discussion</w:t>
      </w:r>
    </w:p>
    <w:p>
      <w:pPr>
        <w:pStyle w:val="Heading2"/>
        <w:spacing w:before="280" w:after="140"/>
      </w:pPr>
      <w:r>
        <w:rPr>
          <w:rFonts w:ascii="Arial" w:cs="Arial" w:eastAsia="Arial" w:hAnsi="Arial"/>
          <w:b/>
          <w:bCs/>
          <w:color w:val="1D9E75"/>
          <w:sz w:val="28"/>
          <w:szCs w:val="28"/>
        </w:rPr>
        <w:t xml:space="preserve">9.1 Limitations</w:t>
      </w:r>
    </w:p>
    <w:p>
      <w:pPr>
        <w:spacing w:after="160"/>
        <w:jc w:val="both"/>
      </w:pPr>
      <w:r>
        <w:rPr>
          <w:rFonts w:ascii="Arial" w:cs="Arial" w:eastAsia="Arial" w:hAnsi="Arial"/>
          <w:color w:val="1a1a1a"/>
          <w:sz w:val="22"/>
          <w:szCs w:val="22"/>
        </w:rPr>
        <w:t xml:space="preserve">Several limitations should be acknowledged. The local model is a simple softmax classifier — the trust mechanism is model-agnostic and would transfer to deep neural networks, but retraining experiments would be required to confirm. The synthetic dataset, while carefully profiled, cannot fully capture the temporal correlations and sensor drift present in real campus deployments. Finally, the DPoT chain simulation uses deterministic seeding for reproducibility; a real deployment would require a distributed Byzantine agreement protocol for the committee vote.</w:t>
      </w:r>
    </w:p>
    <w:p>
      <w:pPr>
        <w:pStyle w:val="Heading2"/>
        <w:spacing w:before="280" w:after="140"/>
      </w:pPr>
      <w:r>
        <w:rPr>
          <w:rFonts w:ascii="Arial" w:cs="Arial" w:eastAsia="Arial" w:hAnsi="Arial"/>
          <w:b/>
          <w:bCs/>
          <w:color w:val="1D9E75"/>
          <w:sz w:val="28"/>
          <w:szCs w:val="28"/>
        </w:rPr>
        <w:t xml:space="preserve">9.2 Non-IID vs. Malicious Separation</w:t>
      </w:r>
    </w:p>
    <w:p>
      <w:pPr>
        <w:spacing w:after="160"/>
        <w:jc w:val="both"/>
      </w:pPr>
      <w:r>
        <w:rPr>
          <w:rFonts w:ascii="Arial" w:cs="Arial" w:eastAsia="Arial" w:hAnsi="Arial"/>
          <w:color w:val="1a1a1a"/>
          <w:sz w:val="22"/>
          <w:szCs w:val="22"/>
        </w:rPr>
        <w:t xml:space="preserve">The PCA-based latent-space approach shows promise for the non-IID/malicious separation problem but is not perfect. In the noise injection scenario, the system occasionally flagged honest clients whose natural non-IID distributions produced gradient updates with unusually high variance in certain principal components. Future work should explore adaptive thresholds that account for each client's historical gradient distribution.</w:t>
      </w:r>
    </w:p>
    <w:p>
      <w:pPr>
        <w:pStyle w:val="Heading2"/>
        <w:spacing w:before="280" w:after="140"/>
      </w:pPr>
      <w:r>
        <w:rPr>
          <w:rFonts w:ascii="Arial" w:cs="Arial" w:eastAsia="Arial" w:hAnsi="Arial"/>
          <w:b/>
          <w:bCs/>
          <w:color w:val="1D9E75"/>
          <w:sz w:val="28"/>
          <w:szCs w:val="28"/>
        </w:rPr>
        <w:t xml:space="preserve">9.3 Scalability</w:t>
      </w:r>
    </w:p>
    <w:p>
      <w:pPr>
        <w:spacing w:after="160"/>
        <w:jc w:val="both"/>
      </w:pPr>
      <w:r>
        <w:rPr>
          <w:rFonts w:ascii="Arial" w:cs="Arial" w:eastAsia="Arial" w:hAnsi="Arial"/>
          <w:color w:val="1a1a1a"/>
          <w:sz w:val="22"/>
          <w:szCs w:val="22"/>
        </w:rPr>
        <w:t xml:space="preserve">The current implementation targets 10 clients — a realistic size for a single campus building or zone. Scaling to hundreds of IoT devices per campus would require hierarchical aggregation with edge servers, where trust is computed at the edge level rather than globally. The DPoT committee election mechanism is well-suited to this hierarchical setting, as each edge server could act as a potential committee member.</w:t>
      </w:r>
    </w:p>
    <w:p>
      <w:pPr>
        <w:spacing w:after="160"/>
      </w:pPr>
    </w:p>
    <w:p>
      <w:r>
        <w:br w:type="page"/>
      </w:r>
    </w:p>
    <w:p>
      <w:pPr>
        <w:pStyle w:val="Heading1"/>
        <w:spacing w:before="360" w:after="180"/>
      </w:pPr>
      <w:r>
        <w:rPr>
          <w:rFonts w:ascii="Arial" w:cs="Arial" w:eastAsia="Arial" w:hAnsi="Arial"/>
          <w:b/>
          <w:bCs/>
          <w:color w:val="1a1a1a"/>
          <w:sz w:val="34"/>
          <w:szCs w:val="34"/>
        </w:rPr>
        <w:t xml:space="preserve">10. Conclusion</w:t>
      </w:r>
    </w:p>
    <w:p>
      <w:pPr>
        <w:spacing w:after="160"/>
        <w:jc w:val="both"/>
      </w:pPr>
      <w:r>
        <w:rPr>
          <w:rFonts w:ascii="Arial" w:cs="Arial" w:eastAsia="Arial" w:hAnsi="Arial"/>
          <w:color w:val="1a1a1a"/>
          <w:sz w:val="22"/>
          <w:szCs w:val="22"/>
        </w:rPr>
        <w:t xml:space="preserve">This report presented Adaptive-HTFL, a Hybrid Trust-Aware Federated Learning Framework addressing the resource-security trilemma in smart campus IoT networks. The three-pillar architecture — Multi-Dimensional Dynamic Trust Scoring, Resource-Aware Adaptive Sparsification, and Delegated Proof-of-Trust Micro-chain — provides a comprehensive solution to the limitations of existing FL systems.</w:t>
      </w:r>
    </w:p>
    <w:p>
      <w:pPr>
        <w:spacing w:after="160"/>
        <w:jc w:val="both"/>
      </w:pPr>
      <w:r>
        <w:rPr>
          <w:rFonts w:ascii="Arial" w:cs="Arial" w:eastAsia="Arial" w:hAnsi="Arial"/>
          <w:color w:val="1a1a1a"/>
          <w:sz w:val="22"/>
          <w:szCs w:val="22"/>
        </w:rPr>
        <w:t xml:space="preserve">Experimental results demonstrate consistent accuracy improvements over standard FedAvg (up to +33.9%) and competitive performance against a BasicTrust baseline, while simultaneously reducing communication bandwidth by approximately 62%. The DPoT micro-chain successfully maintained consensus in over 95% of rounds across all tested scenarios.</w:t>
      </w:r>
    </w:p>
    <w:p>
      <w:pPr>
        <w:spacing w:after="160"/>
        <w:jc w:val="both"/>
      </w:pPr>
      <w:r>
        <w:rPr>
          <w:rFonts w:ascii="Arial" w:cs="Arial" w:eastAsia="Arial" w:hAnsi="Arial"/>
          <w:color w:val="1a1a1a"/>
          <w:sz w:val="22"/>
          <w:szCs w:val="22"/>
        </w:rPr>
        <w:t xml:space="preserve">Future work will explore: (1) integration with real campus IoT datasets; (2) deep neural network local models with differential privacy guarantees; (3) hierarchical edge-server architecture for campus-wide scalability; (4) real distributed deployment of the DPoT consensus on embedded hardware; and (5) formal security proofs for the trust mechanism under adaptive adversaries.</w:t>
      </w:r>
    </w:p>
    <w:p>
      <w:pPr>
        <w:spacing w:after="160"/>
      </w:pPr>
    </w:p>
    <w:p>
      <w:r>
        <w:br w:type="page"/>
      </w:r>
    </w:p>
    <w:p>
      <w:pPr>
        <w:pStyle w:val="Heading1"/>
        <w:spacing w:before="360" w:after="180"/>
      </w:pPr>
      <w:r>
        <w:rPr>
          <w:rFonts w:ascii="Arial" w:cs="Arial" w:eastAsia="Arial" w:hAnsi="Arial"/>
          <w:b/>
          <w:bCs/>
          <w:color w:val="1a1a1a"/>
          <w:sz w:val="34"/>
          <w:szCs w:val="34"/>
        </w:rPr>
        <w:t xml:space="preserve">References</w:t>
      </w:r>
    </w:p>
    <w:p>
      <w:pPr>
        <w:spacing w:after="160"/>
        <w:jc w:val="both"/>
      </w:pPr>
      <w:r>
        <w:rPr>
          <w:rFonts w:ascii="Arial" w:cs="Arial" w:eastAsia="Arial" w:hAnsi="Arial"/>
          <w:color w:val="1a1a1a"/>
          <w:sz w:val="22"/>
          <w:szCs w:val="22"/>
        </w:rPr>
        <w:t xml:space="preserve">[1] McMahan, H. B., Moore, E., Ramage, D., Hampson, S., &amp; Arcas, B. A. (2017). Communication-Efficient Learning of Deep Networks from Decentralized Data. AISTATS 2017.</w:t>
      </w:r>
    </w:p>
    <w:p>
      <w:pPr>
        <w:spacing w:after="160"/>
        <w:jc w:val="both"/>
      </w:pPr>
      <w:r>
        <w:rPr>
          <w:rFonts w:ascii="Arial" w:cs="Arial" w:eastAsia="Arial" w:hAnsi="Arial"/>
          <w:color w:val="1a1a1a"/>
          <w:sz w:val="22"/>
          <w:szCs w:val="22"/>
        </w:rPr>
        <w:t xml:space="preserve">[2] Blanchard, P., El Mhamdi, E. M., Guerraoui, R., &amp; Stainer, J. (2017). Machine Learning with Adversaries: Byzantine Tolerant Gradient Descent. NeurIPS 2017.</w:t>
      </w:r>
    </w:p>
    <w:p>
      <w:pPr>
        <w:spacing w:after="160"/>
        <w:jc w:val="both"/>
      </w:pPr>
      <w:r>
        <w:rPr>
          <w:rFonts w:ascii="Arial" w:cs="Arial" w:eastAsia="Arial" w:hAnsi="Arial"/>
          <w:color w:val="1a1a1a"/>
          <w:sz w:val="22"/>
          <w:szCs w:val="22"/>
        </w:rPr>
        <w:t xml:space="preserve">[3] Fung, C., Yoon, C. J., &amp; Beschastnikh, I. (2020). Mitigating Sybils in Federated Learning Poisoning. arXiv:1808.04866.</w:t>
      </w:r>
    </w:p>
    <w:p>
      <w:pPr>
        <w:spacing w:after="160"/>
        <w:jc w:val="both"/>
      </w:pPr>
      <w:r>
        <w:rPr>
          <w:rFonts w:ascii="Arial" w:cs="Arial" w:eastAsia="Arial" w:hAnsi="Arial"/>
          <w:color w:val="1a1a1a"/>
          <w:sz w:val="22"/>
          <w:szCs w:val="22"/>
        </w:rPr>
        <w:t xml:space="preserve">[4] Li, T., Sahu, A. K., Zaheer, M., Sanjabi, M., Smola, A., &amp; Smith, V. (2020). Federated Optimization in Heterogeneous Networks. ICLR 2020.</w:t>
      </w:r>
    </w:p>
    <w:p>
      <w:pPr>
        <w:spacing w:after="160"/>
        <w:jc w:val="both"/>
      </w:pPr>
      <w:r>
        <w:rPr>
          <w:rFonts w:ascii="Arial" w:cs="Arial" w:eastAsia="Arial" w:hAnsi="Arial"/>
          <w:color w:val="1a1a1a"/>
          <w:sz w:val="22"/>
          <w:szCs w:val="22"/>
        </w:rPr>
        <w:t xml:space="preserve">[5] Zhao, Y., Li, M., Lai, L., Suda, N., Civin, D., &amp; Chandra, V. (2018). Federated Learning with Non-IID Data. arXiv:1806.00582.</w:t>
      </w:r>
    </w:p>
    <w:p>
      <w:pPr>
        <w:spacing w:after="160"/>
        <w:jc w:val="both"/>
      </w:pPr>
      <w:r>
        <w:rPr>
          <w:rFonts w:ascii="Arial" w:cs="Arial" w:eastAsia="Arial" w:hAnsi="Arial"/>
          <w:color w:val="1a1a1a"/>
          <w:sz w:val="22"/>
          <w:szCs w:val="22"/>
        </w:rPr>
        <w:t xml:space="preserve">[6] Nakamoto, S. (2008). Bitcoin: A Peer-to-Peer Electronic Cash System.</w:t>
      </w:r>
    </w:p>
    <w:p>
      <w:pPr>
        <w:spacing w:after="160"/>
        <w:jc w:val="both"/>
      </w:pPr>
      <w:r>
        <w:rPr>
          <w:rFonts w:ascii="Arial" w:cs="Arial" w:eastAsia="Arial" w:hAnsi="Arial"/>
          <w:color w:val="1a1a1a"/>
          <w:sz w:val="22"/>
          <w:szCs w:val="22"/>
        </w:rPr>
        <w:t xml:space="preserve">[7] Lin, Y., Han, S., Mao, H., Wang, Y., &amp; Dally, W. (2018). Deep Gradient Compression: Reducing the Communication Bandwidth for Distributed Training. ICLR 2018.</w:t>
      </w:r>
    </w:p>
    <w:p>
      <w:pPr>
        <w:spacing w:after="160"/>
        <w:jc w:val="both"/>
      </w:pPr>
      <w:r>
        <w:rPr>
          <w:rFonts w:ascii="Arial" w:cs="Arial" w:eastAsia="Arial" w:hAnsi="Arial"/>
          <w:color w:val="1a1a1a"/>
          <w:sz w:val="22"/>
          <w:szCs w:val="22"/>
        </w:rPr>
        <w:t xml:space="preserve">[8] Wainakh, A., Zimmer, T., Grashöfer, J., &amp; Mühlhäuser, M. (2020). Federated Learning for IoT — An Edge Intelligence Perspective. IEEE IoT Journal.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space="1"/>
      </w:pBdr>
      <w:tabs>
        <w:tab w:val="right" w:pos="9026"/>
      </w:tabs>
      <w:spacing w:before="120"/>
    </w:pPr>
    <w:r>
      <w:rPr>
        <w:rFonts w:ascii="Arial" w:cs="Arial" w:eastAsia="Arial" w:hAnsi="Arial"/>
        <w:color w:val="5F5E5A"/>
        <w:sz w:val="18"/>
        <w:szCs w:val="18"/>
      </w:rPr>
      <w:t xml:space="preserve">Capstone Project Report  2025</w:t>
    </w:r>
    <w:r>
      <w:rPr>
        <w:rFonts w:ascii="Arial" w:cs="Arial" w:eastAsia="Arial" w:hAnsi="Arial"/>
        <w:color w:val="5F5E5A"/>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1"/>
      </w:pBdr>
      <w:spacing w:after="120"/>
    </w:pPr>
    <w:r>
      <w:rPr>
        <w:rFonts w:ascii="Arial" w:cs="Arial" w:eastAsia="Arial" w:hAnsi="Arial"/>
        <w:color w:val="5F5E5A"/>
        <w:sz w:val="18"/>
        <w:szCs w:val="18"/>
      </w:rPr>
      <w:t xml:space="preserve">Adaptive-HTFL — Technical Report</w:t>
    </w:r>
    <w:r>
      <w:rPr>
        <w:rFonts w:ascii="Arial" w:cs="Arial" w:eastAsia="Arial" w:hAnsi="Arial"/>
        <w:color w:val="1D9E75"/>
        <w:sz w:val="18"/>
        <w:szCs w:val="18"/>
      </w:rPr>
      <w:t xml:space="preserve">    |    Smart Campus IoT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1a"/>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1D9E75"/>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2026-03-29T02:50:40.122Z</dcterms:created>
  <dcterms:modified xsi:type="dcterms:W3CDTF">2026-03-29T02:50:40.123Z</dcterms:modified>
</cp:coreProperties>
</file>

<file path=docProps/custom.xml><?xml version="1.0" encoding="utf-8"?>
<Properties xmlns="http://schemas.openxmlformats.org/officeDocument/2006/custom-properties" xmlns:vt="http://schemas.openxmlformats.org/officeDocument/2006/docPropsVTypes"/>
</file>