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ca4dc409e31f8dbcdb5385eab07861d1aaeae28"/>
    <w:p>
      <w:pPr>
        <w:pStyle w:val="Heading1"/>
      </w:pPr>
      <w:r>
        <w:t xml:space="preserve">Research Proposal: Source Rock Potentiality of the Barail Group in Part of the Sylhet Basin</w:t>
      </w:r>
    </w:p>
    <w:p>
      <w:pPr>
        <w:pStyle w:val="FirstParagraph"/>
      </w:pPr>
      <w:r>
        <w:rPr>
          <w:bCs/>
          <w:b/>
        </w:rPr>
        <w:t xml:space="preserve">Proposed project size:</w:t>
      </w:r>
      <w:r>
        <w:t xml:space="preserve"> </w:t>
      </w:r>
      <w:r>
        <w:t xml:space="preserve">6 credit hours (thesis/project course)</w:t>
      </w:r>
    </w:p>
    <w:p>
      <w:pPr>
        <w:pStyle w:val="BodyText"/>
      </w:pPr>
      <w:r>
        <w:rPr>
          <w:bCs/>
          <w:b/>
        </w:rPr>
        <w:t xml:space="preserve">Field:</w:t>
      </w:r>
      <w:r>
        <w:t xml:space="preserve"> </w:t>
      </w:r>
      <w:r>
        <w:t xml:space="preserve">Petroleum geology and organic geochemistry</w:t>
      </w:r>
    </w:p>
    <w:bookmarkStart w:id="20" w:name="abstract"/>
    <w:p>
      <w:pPr>
        <w:pStyle w:val="Heading2"/>
      </w:pPr>
      <w:r>
        <w:t xml:space="preserve">Abstract</w:t>
      </w:r>
    </w:p>
    <w:p>
      <w:pPr>
        <w:pStyle w:val="FirstParagraph"/>
      </w:pPr>
      <w:r>
        <w:t xml:space="preserve">This project will assess whether the Oligocene Barail Group in part of the Sylhet Basin (Surma Basin), northeastern Bangladesh, is a viable hydrocarbon source rock. The Barail Group contains shale, carbonaceous shale and coal-bearing intervals deposited in a deltaic to shallow-marine setting, and it is a candidate source for gas fields in the Sylhet Trough. Using samples from outcrops and well cuttings or cores, the study will measure total organic carbon (TOC), Rock-Eval pyrolysis parameters, kerogen type, thermal maturity (vitrinite reflectance, Tmax) and, where possible, organic petrography and biomarkers. These data will be combined with well-log and 1D burial-history modelling to estimate generation potential and the timing of hydrocarbon generation. The results will indicate the quality, quantity and maturity of Barail source rocks and their role in the regional petroleum system.</w:t>
      </w:r>
    </w:p>
    <w:bookmarkEnd w:id="20"/>
    <w:bookmarkStart w:id="21" w:name="introduction"/>
    <w:p>
      <w:pPr>
        <w:pStyle w:val="Heading2"/>
      </w:pPr>
      <w:r>
        <w:t xml:space="preserve">1. Introduction</w:t>
      </w:r>
    </w:p>
    <w:p>
      <w:pPr>
        <w:pStyle w:val="FirstParagraph"/>
      </w:pPr>
      <w:r>
        <w:t xml:space="preserve">Bangladesh depends on natural gas for most of its power and industrial energy, and nearly all of that gas comes from Neogene reservoirs of the Bengal Basin. Understanding where the gas was generated is as important as mapping reservoirs, because source rock quality controls how much hydrocarbon a basin can supply.</w:t>
      </w:r>
    </w:p>
    <w:p>
      <w:pPr>
        <w:pStyle w:val="BodyText"/>
      </w:pPr>
      <w:r>
        <w:t xml:space="preserve">A source rock is a fine-grained sediment that contains enough organic matter of suitable type and thermal maturity to generate and expel petroleum. Its evaluation rests on three questions: how much organic matter is present (quantity), what kind it is (quality), and has it been heated enough to generate hydrocarbons (maturity) (Tissot and Welte, 1984; Peters and Cassa, 1994).</w:t>
      </w:r>
    </w:p>
    <w:p>
      <w:pPr>
        <w:pStyle w:val="BodyText"/>
      </w:pPr>
      <w:r>
        <w:t xml:space="preserve">Previous petroleum-system studies of the Bengal Basin point to Paleogene and Neogene shales, including the Barail and Surma groups, as likely sources of the gas in the Sylhet Trough (Curiale et al., 2002; Imam and Hussain, 2002). However, detailed, sample-based source rock data for the Barail Group in the Sylhet area remain limited, so its real contribution is still debated.</w:t>
      </w:r>
    </w:p>
    <w:bookmarkEnd w:id="21"/>
    <w:bookmarkStart w:id="22" w:name="study-area-and-geological-setting"/>
    <w:p>
      <w:pPr>
        <w:pStyle w:val="Heading2"/>
      </w:pPr>
      <w:r>
        <w:t xml:space="preserve">2. Study area and geological setting</w:t>
      </w:r>
    </w:p>
    <w:p>
      <w:pPr>
        <w:pStyle w:val="FirstParagraph"/>
      </w:pPr>
      <w:r>
        <w:t xml:space="preserve">The study area lies in part of the Sylhet Basin (Sylhet Trough), in the northeastern Bengal Basin. The trough is a rapidly subsiding foredeep bounded by the Shillong Massif to the north, the Indo-Burman Ranges to the east, and the Indian Platform to the west and southwest. It holds a very thick Cenozoic sedimentary fill (Alam et al., 2003; Johnson and Alam, 1991).</w:t>
      </w:r>
    </w:p>
    <w:p>
      <w:pPr>
        <w:pStyle w:val="BodyText"/>
      </w:pPr>
      <w:r>
        <w:t xml:space="preserve">The generalised Cenozoic succession in the Sylhet area, oldest to youngest, is:</w:t>
      </w:r>
    </w:p>
    <w:p>
      <w:pPr>
        <w:numPr>
          <w:ilvl w:val="0"/>
          <w:numId w:val="1001"/>
        </w:numPr>
        <w:pStyle w:val="Compact"/>
      </w:pPr>
      <w:r>
        <w:rPr>
          <w:bCs/>
          <w:b/>
        </w:rPr>
        <w:t xml:space="preserve">Jaintia Group</w:t>
      </w:r>
      <w:r>
        <w:t xml:space="preserve"> </w:t>
      </w:r>
      <w:r>
        <w:t xml:space="preserve">(Paleocene to Eocene): mainly shallow-marine carbonates, with the Kopili Shale at the top.</w:t>
      </w:r>
    </w:p>
    <w:p>
      <w:pPr>
        <w:numPr>
          <w:ilvl w:val="0"/>
          <w:numId w:val="1001"/>
        </w:numPr>
        <w:pStyle w:val="Compact"/>
      </w:pPr>
      <w:r>
        <w:rPr>
          <w:bCs/>
          <w:b/>
        </w:rPr>
        <w:t xml:space="preserve">Barail Group</w:t>
      </w:r>
      <w:r>
        <w:t xml:space="preserve"> </w:t>
      </w:r>
      <w:r>
        <w:t xml:space="preserve">(Oligocene, locally extending into the late Eocene): sandstone and shale with carbonaceous layers and thin coals, traditionally divided into the Renji and Jenam formations. This is the target of the study.</w:t>
      </w:r>
    </w:p>
    <w:p>
      <w:pPr>
        <w:numPr>
          <w:ilvl w:val="0"/>
          <w:numId w:val="1001"/>
        </w:numPr>
        <w:pStyle w:val="Compact"/>
      </w:pPr>
      <w:r>
        <w:rPr>
          <w:bCs/>
          <w:b/>
        </w:rPr>
        <w:t xml:space="preserve">Surma Group</w:t>
      </w:r>
      <w:r>
        <w:t xml:space="preserve"> </w:t>
      </w:r>
      <w:r>
        <w:t xml:space="preserve">(Miocene): the Bhuban and Boka Bil formations, the main gas reservoir and seal succession.</w:t>
      </w:r>
    </w:p>
    <w:p>
      <w:pPr>
        <w:numPr>
          <w:ilvl w:val="0"/>
          <w:numId w:val="1001"/>
        </w:numPr>
        <w:pStyle w:val="Compact"/>
      </w:pPr>
      <w:r>
        <w:rPr>
          <w:bCs/>
          <w:b/>
        </w:rPr>
        <w:t xml:space="preserve">Tipam, Dupi Tila and younger units</w:t>
      </w:r>
      <w:r>
        <w:t xml:space="preserve"> </w:t>
      </w:r>
      <w:r>
        <w:t xml:space="preserve">(Pliocene to Recent): fluvial sandstone and mudstone.</w:t>
      </w:r>
    </w:p>
    <w:p>
      <w:pPr>
        <w:pStyle w:val="FirstParagraph"/>
      </w:pPr>
      <w:r>
        <w:t xml:space="preserve">The Barail Group is exposed in parts of the Sylhet region and is penetrated, mostly in its upper part, by deep wells in the trough. The study will select a part of the basin where both outcrop and well data can be obtained. Final field and well locations will be fixed with the supervisor after data availability is confirmed.</w:t>
      </w:r>
    </w:p>
    <w:bookmarkEnd w:id="22"/>
    <w:bookmarkStart w:id="23" w:name="problem-statement-and-rationale"/>
    <w:p>
      <w:pPr>
        <w:pStyle w:val="Heading2"/>
      </w:pPr>
      <w:r>
        <w:t xml:space="preserve">3. Problem statement and rationale</w:t>
      </w:r>
    </w:p>
    <w:p>
      <w:pPr>
        <w:pStyle w:val="FirstParagraph"/>
      </w:pPr>
      <w:r>
        <w:t xml:space="preserve">The Barail Group is often named as a source of Sylhet Trough gas, yet published organic-geochemical data for it are sparse and scattered across wells and outcrops. Without measured TOC, kerogen type and maturity, estimates of its generative capacity rest on assumption. A focused, sample-based assessment will help to decide whether the Barail Group is an effective source, which areas are mature enough to have generated hydrocarbons, and where further exploration is justified.</w:t>
      </w:r>
    </w:p>
    <w:bookmarkEnd w:id="23"/>
    <w:bookmarkStart w:id="24" w:name="aim-and-objectives"/>
    <w:p>
      <w:pPr>
        <w:pStyle w:val="Heading2"/>
      </w:pPr>
      <w:r>
        <w:t xml:space="preserve">4. Aim and objectives</w:t>
      </w:r>
    </w:p>
    <w:p>
      <w:pPr>
        <w:pStyle w:val="FirstParagraph"/>
      </w:pPr>
      <w:r>
        <w:rPr>
          <w:bCs/>
          <w:b/>
        </w:rPr>
        <w:t xml:space="preserve">Aim:</w:t>
      </w:r>
      <w:r>
        <w:t xml:space="preserve"> </w:t>
      </w:r>
      <w:r>
        <w:t xml:space="preserve">to evaluate the source rock potential of the Barail Group in part of the Sylhet Basin.</w:t>
      </w:r>
    </w:p>
    <w:p>
      <w:pPr>
        <w:pStyle w:val="BodyText"/>
      </w:pPr>
      <w:r>
        <w:rPr>
          <w:bCs/>
          <w:b/>
        </w:rPr>
        <w:t xml:space="preserve">Specific objectives:</w:t>
      </w:r>
    </w:p>
    <w:p>
      <w:pPr>
        <w:numPr>
          <w:ilvl w:val="0"/>
          <w:numId w:val="1002"/>
        </w:numPr>
        <w:pStyle w:val="Compact"/>
      </w:pPr>
      <w:r>
        <w:t xml:space="preserve">To describe the lithology and organic-rich intervals of the Barail Group from outcrop and well data.</w:t>
      </w:r>
    </w:p>
    <w:p>
      <w:pPr>
        <w:numPr>
          <w:ilvl w:val="0"/>
          <w:numId w:val="1002"/>
        </w:numPr>
        <w:pStyle w:val="Compact"/>
      </w:pPr>
      <w:r>
        <w:t xml:space="preserve">To measure the quantity of organic matter (TOC) in the Barail shales and coals.</w:t>
      </w:r>
    </w:p>
    <w:p>
      <w:pPr>
        <w:numPr>
          <w:ilvl w:val="0"/>
          <w:numId w:val="1002"/>
        </w:numPr>
        <w:pStyle w:val="Compact"/>
      </w:pPr>
      <w:r>
        <w:t xml:space="preserve">To determine the kerogen type and hydrocarbon-generating quality using Rock-Eval pyrolysis and organic petrography.</w:t>
      </w:r>
    </w:p>
    <w:p>
      <w:pPr>
        <w:numPr>
          <w:ilvl w:val="0"/>
          <w:numId w:val="1002"/>
        </w:numPr>
        <w:pStyle w:val="Compact"/>
      </w:pPr>
      <w:r>
        <w:t xml:space="preserve">To assess thermal maturity using vitrinite reflectance and Tmax.</w:t>
      </w:r>
    </w:p>
    <w:p>
      <w:pPr>
        <w:numPr>
          <w:ilvl w:val="0"/>
          <w:numId w:val="1002"/>
        </w:numPr>
        <w:pStyle w:val="Compact"/>
      </w:pPr>
      <w:r>
        <w:t xml:space="preserve">To model burial history and the timing of hydrocarbon generation, and to interpret the Barail Group’s role in the regional petroleum system.</w:t>
      </w:r>
    </w:p>
    <w:bookmarkEnd w:id="24"/>
    <w:bookmarkStart w:id="29" w:name="methodology"/>
    <w:p>
      <w:pPr>
        <w:pStyle w:val="Heading2"/>
      </w:pPr>
      <w:r>
        <w:t xml:space="preserve">5. Methodology</w:t>
      </w:r>
    </w:p>
    <w:p>
      <w:pPr>
        <w:pStyle w:val="FirstParagraph"/>
      </w:pPr>
      <w:r>
        <w:t xml:space="preserve">The methods below follow standard source rock evaluation workflows described in the petroleum geochemistry literature and used in earlier Bengal Basin studies. The work combines fieldwork, laboratory analysis and basin modelling.</w:t>
      </w:r>
    </w:p>
    <w:bookmarkStart w:id="25" w:name="workflow"/>
    <w:p>
      <w:pPr>
        <w:pStyle w:val="Heading3"/>
      </w:pPr>
      <w:r>
        <w:t xml:space="preserve">5.1 Workflow</w:t>
      </w:r>
    </w:p>
    <w:p>
      <w:pPr>
        <w:numPr>
          <w:ilvl w:val="0"/>
          <w:numId w:val="1003"/>
        </w:numPr>
        <w:pStyle w:val="Compact"/>
      </w:pPr>
      <w:r>
        <w:rPr>
          <w:bCs/>
          <w:b/>
        </w:rPr>
        <w:t xml:space="preserve">Literature and data review.</w:t>
      </w:r>
      <w:r>
        <w:t xml:space="preserve"> </w:t>
      </w:r>
      <w:r>
        <w:t xml:space="preserve">Collect published geology, well reports and geochemical data for the Sylhet Basin and the Barail Group (Google Scholar, Petrobangla and Bangladesh Petroleum Institute reports, university theses).</w:t>
      </w:r>
    </w:p>
    <w:p>
      <w:pPr>
        <w:numPr>
          <w:ilvl w:val="0"/>
          <w:numId w:val="1003"/>
        </w:numPr>
        <w:pStyle w:val="Compact"/>
      </w:pPr>
      <w:r>
        <w:rPr>
          <w:bCs/>
          <w:b/>
        </w:rPr>
        <w:t xml:space="preserve">Sampling.</w:t>
      </w:r>
      <w:r>
        <w:t xml:space="preserve"> </w:t>
      </w:r>
      <w:r>
        <w:t xml:space="preserve">Collect fresh shale, carbonaceous shale and coal samples from Barail outcrops, avoiding weathered surfaces, and obtain well cuttings or core samples from available wells. Record location, depth and lithology.</w:t>
      </w:r>
    </w:p>
    <w:p>
      <w:pPr>
        <w:numPr>
          <w:ilvl w:val="0"/>
          <w:numId w:val="1003"/>
        </w:numPr>
        <w:pStyle w:val="Compact"/>
      </w:pPr>
      <w:r>
        <w:rPr>
          <w:bCs/>
          <w:b/>
        </w:rPr>
        <w:t xml:space="preserve">Screening and sample preparation.</w:t>
      </w:r>
      <w:r>
        <w:t xml:space="preserve"> </w:t>
      </w:r>
      <w:r>
        <w:t xml:space="preserve">Crush, wash and homogenise samples, then select organic-rich samples for analysis.</w:t>
      </w:r>
    </w:p>
    <w:p>
      <w:pPr>
        <w:numPr>
          <w:ilvl w:val="0"/>
          <w:numId w:val="1003"/>
        </w:numPr>
        <w:pStyle w:val="Compact"/>
      </w:pPr>
      <w:r>
        <w:rPr>
          <w:bCs/>
          <w:b/>
        </w:rPr>
        <w:t xml:space="preserve">Laboratory geochemistry.</w:t>
      </w:r>
      <w:r>
        <w:t xml:space="preserve"> </w:t>
      </w:r>
      <w:r>
        <w:t xml:space="preserve">Run the analyses in the table below.</w:t>
      </w:r>
    </w:p>
    <w:p>
      <w:pPr>
        <w:numPr>
          <w:ilvl w:val="0"/>
          <w:numId w:val="1003"/>
        </w:numPr>
        <w:pStyle w:val="Compact"/>
      </w:pPr>
      <w:r>
        <w:rPr>
          <w:bCs/>
          <w:b/>
        </w:rPr>
        <w:t xml:space="preserve">Basin modelling.</w:t>
      </w:r>
      <w:r>
        <w:t xml:space="preserve"> </w:t>
      </w:r>
      <w:r>
        <w:t xml:space="preserve">Build 1D burial and thermal history models for selected wells.</w:t>
      </w:r>
    </w:p>
    <w:p>
      <w:pPr>
        <w:numPr>
          <w:ilvl w:val="0"/>
          <w:numId w:val="1003"/>
        </w:numPr>
        <w:pStyle w:val="Compact"/>
      </w:pPr>
      <w:r>
        <w:rPr>
          <w:bCs/>
          <w:b/>
        </w:rPr>
        <w:t xml:space="preserve">Integration.</w:t>
      </w:r>
      <w:r>
        <w:t xml:space="preserve"> </w:t>
      </w:r>
      <w:r>
        <w:t xml:space="preserve">Compare results with standard source rock classification charts and write the interpretation.</w:t>
      </w:r>
    </w:p>
    <w:bookmarkEnd w:id="25"/>
    <w:bookmarkStart w:id="26" w:name="analytical-methods"/>
    <w:p>
      <w:pPr>
        <w:pStyle w:val="Heading3"/>
      </w:pPr>
      <w:r>
        <w:t xml:space="preserve">5.2 Analytical methods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Parameter</w:t>
            </w:r>
          </w:p>
        </w:tc>
        <w:tc>
          <w:tcPr/>
          <w:p>
            <w:pPr>
              <w:pStyle w:val="Compact"/>
              <w:jc w:val="left"/>
            </w:pPr>
            <w:r>
              <w:t xml:space="preserve">Method</w:t>
            </w:r>
          </w:p>
        </w:tc>
        <w:tc>
          <w:tcPr/>
          <w:p>
            <w:pPr>
              <w:pStyle w:val="Compact"/>
              <w:jc w:val="left"/>
            </w:pPr>
            <w:r>
              <w:t xml:space="preserve">What it shows</w:t>
            </w:r>
          </w:p>
        </w:tc>
        <w:tc>
          <w:tcPr/>
          <w:p>
            <w:pPr>
              <w:pStyle w:val="Compact"/>
              <w:jc w:val="left"/>
            </w:pPr>
            <w:r>
              <w:t xml:space="preserve">Basis</w:t>
            </w:r>
          </w:p>
        </w:tc>
      </w:tr>
      <w:tr>
        <w:tc>
          <w:tcPr/>
          <w:p>
            <w:pPr>
              <w:pStyle w:val="Compact"/>
              <w:jc w:val="left"/>
            </w:pPr>
            <w:r>
              <w:t xml:space="preserve">Organic richness</w:t>
            </w:r>
          </w:p>
        </w:tc>
        <w:tc>
          <w:tcPr/>
          <w:p>
            <w:pPr>
              <w:pStyle w:val="Compact"/>
              <w:jc w:val="left"/>
            </w:pPr>
            <w:r>
              <w:t xml:space="preserve">TOC by LECO combustion after removing carbonate with HCl</w:t>
            </w:r>
          </w:p>
        </w:tc>
        <w:tc>
          <w:tcPr/>
          <w:p>
            <w:pPr>
              <w:pStyle w:val="Compact"/>
              <w:jc w:val="left"/>
            </w:pPr>
            <w:r>
              <w:t xml:space="preserve">Quantity of organic matter</w:t>
            </w:r>
          </w:p>
        </w:tc>
        <w:tc>
          <w:tcPr/>
          <w:p>
            <w:pPr>
              <w:pStyle w:val="Compact"/>
              <w:jc w:val="left"/>
            </w:pPr>
            <w:r>
              <w:t xml:space="preserve">Peters (1986); Peters and Cassa (1994)</w:t>
            </w:r>
          </w:p>
        </w:tc>
      </w:tr>
      <w:tr>
        <w:tc>
          <w:tcPr/>
          <w:p>
            <w:pPr>
              <w:pStyle w:val="Compact"/>
              <w:jc w:val="left"/>
            </w:pPr>
            <w:r>
              <w:t xml:space="preserve">Generative potential and type</w:t>
            </w:r>
          </w:p>
        </w:tc>
        <w:tc>
          <w:tcPr/>
          <w:p>
            <w:pPr>
              <w:pStyle w:val="Compact"/>
              <w:jc w:val="left"/>
            </w:pPr>
            <w:r>
              <w:t xml:space="preserve">Rock-Eval pyrolysis (S1, S2, S3, Tmax, hydrogen index, oxygen index)</w:t>
            </w:r>
          </w:p>
        </w:tc>
        <w:tc>
          <w:tcPr/>
          <w:p>
            <w:pPr>
              <w:pStyle w:val="Compact"/>
              <w:jc w:val="left"/>
            </w:pPr>
            <w:r>
              <w:t xml:space="preserve">Kerogen type and remaining generative potential</w:t>
            </w:r>
          </w:p>
        </w:tc>
        <w:tc>
          <w:tcPr/>
          <w:p>
            <w:pPr>
              <w:pStyle w:val="Compact"/>
              <w:jc w:val="left"/>
            </w:pPr>
            <w:r>
              <w:t xml:space="preserve">Espitalié et al. (1977); Peters (1986)</w:t>
            </w:r>
          </w:p>
        </w:tc>
      </w:tr>
      <w:tr>
        <w:tc>
          <w:tcPr/>
          <w:p>
            <w:pPr>
              <w:pStyle w:val="Compact"/>
              <w:jc w:val="left"/>
            </w:pPr>
            <w:r>
              <w:t xml:space="preserve">Kerogen type</w:t>
            </w:r>
          </w:p>
        </w:tc>
        <w:tc>
          <w:tcPr/>
          <w:p>
            <w:pPr>
              <w:pStyle w:val="Compact"/>
              <w:jc w:val="left"/>
            </w:pPr>
            <w:r>
              <w:t xml:space="preserve">Modified van Krevelen diagram (HI vs OI) and HI vs Tmax plot</w:t>
            </w:r>
          </w:p>
        </w:tc>
        <w:tc>
          <w:tcPr/>
          <w:p>
            <w:pPr>
              <w:pStyle w:val="Compact"/>
              <w:jc w:val="left"/>
            </w:pPr>
            <w:r>
              <w:t xml:space="preserve">Type I, II, III or IV kerogen</w:t>
            </w:r>
          </w:p>
        </w:tc>
        <w:tc>
          <w:tcPr/>
          <w:p>
            <w:pPr>
              <w:pStyle w:val="Compact"/>
              <w:jc w:val="left"/>
            </w:pPr>
            <w:r>
              <w:t xml:space="preserve">Tissot and Welte (1984)</w:t>
            </w:r>
          </w:p>
        </w:tc>
      </w:tr>
      <w:tr>
        <w:tc>
          <w:tcPr/>
          <w:p>
            <w:pPr>
              <w:pStyle w:val="Compact"/>
              <w:jc w:val="left"/>
            </w:pPr>
            <w:r>
              <w:t xml:space="preserve">Thermal maturity</w:t>
            </w:r>
          </w:p>
        </w:tc>
        <w:tc>
          <w:tcPr/>
          <w:p>
            <w:pPr>
              <w:pStyle w:val="Compact"/>
              <w:jc w:val="left"/>
            </w:pPr>
            <w:r>
              <w:t xml:space="preserve">Vitrinite reflectance (Ro %) and Rock-Eval Tmax</w:t>
            </w:r>
          </w:p>
        </w:tc>
        <w:tc>
          <w:tcPr/>
          <w:p>
            <w:pPr>
              <w:pStyle w:val="Compact"/>
              <w:jc w:val="left"/>
            </w:pPr>
            <w:r>
              <w:t xml:space="preserve">Immature, oil window or gas window</w:t>
            </w:r>
          </w:p>
        </w:tc>
        <w:tc>
          <w:tcPr/>
          <w:p>
            <w:pPr>
              <w:pStyle w:val="Compact"/>
              <w:jc w:val="left"/>
            </w:pPr>
            <w:r>
              <w:t xml:space="preserve">Dow (1977); Peters and Cassa (1994)</w:t>
            </w:r>
          </w:p>
        </w:tc>
      </w:tr>
      <w:tr>
        <w:tc>
          <w:tcPr/>
          <w:p>
            <w:pPr>
              <w:pStyle w:val="Compact"/>
              <w:jc w:val="left"/>
            </w:pPr>
            <w:r>
              <w:t xml:space="preserve">Organic petrography</w:t>
            </w:r>
          </w:p>
        </w:tc>
        <w:tc>
          <w:tcPr/>
          <w:p>
            <w:pPr>
              <w:pStyle w:val="Compact"/>
              <w:jc w:val="left"/>
            </w:pPr>
            <w:r>
              <w:t xml:space="preserve">Maceral analysis in reflected and fluorescent light</w:t>
            </w:r>
          </w:p>
        </w:tc>
        <w:tc>
          <w:tcPr/>
          <w:p>
            <w:pPr>
              <w:pStyle w:val="Compact"/>
              <w:jc w:val="left"/>
            </w:pPr>
            <w:r>
              <w:t xml:space="preserve">Vitrinite, liptinite and inertinite content</w:t>
            </w:r>
          </w:p>
        </w:tc>
        <w:tc>
          <w:tcPr/>
          <w:p>
            <w:pPr>
              <w:pStyle w:val="Compact"/>
              <w:jc w:val="left"/>
            </w:pPr>
            <w:r>
              <w:t xml:space="preserve">ICCP (1998, 2001)</w:t>
            </w:r>
          </w:p>
        </w:tc>
      </w:tr>
      <w:tr>
        <w:tc>
          <w:tcPr/>
          <w:p>
            <w:pPr>
              <w:pStyle w:val="Compact"/>
              <w:jc w:val="left"/>
            </w:pPr>
            <w:r>
              <w:t xml:space="preserve">Biomarkers (optional, if facilities allow)</w:t>
            </w:r>
          </w:p>
        </w:tc>
        <w:tc>
          <w:tcPr/>
          <w:p>
            <w:pPr>
              <w:pStyle w:val="Compact"/>
              <w:jc w:val="left"/>
            </w:pPr>
            <w:r>
              <w:t xml:space="preserve">Gas chromatography–mass spectrometry of extracts (hopanes, steranes, Pr/Ph)</w:t>
            </w:r>
          </w:p>
        </w:tc>
        <w:tc>
          <w:tcPr/>
          <w:p>
            <w:pPr>
              <w:pStyle w:val="Compact"/>
              <w:jc w:val="left"/>
            </w:pPr>
            <w:r>
              <w:t xml:space="preserve">Depositional environment and organic input</w:t>
            </w:r>
          </w:p>
        </w:tc>
        <w:tc>
          <w:tcPr/>
          <w:p>
            <w:pPr>
              <w:pStyle w:val="Compact"/>
              <w:jc w:val="left"/>
            </w:pPr>
            <w:r>
              <w:t xml:space="preserve">Peters et al. (2005)</w:t>
            </w:r>
          </w:p>
        </w:tc>
      </w:tr>
      <w:tr>
        <w:tc>
          <w:tcPr/>
          <w:p>
            <w:pPr>
              <w:pStyle w:val="Compact"/>
              <w:jc w:val="left"/>
            </w:pPr>
            <w:r>
              <w:t xml:space="preserve">Burial and thermal history</w:t>
            </w:r>
          </w:p>
        </w:tc>
        <w:tc>
          <w:tcPr/>
          <w:p>
            <w:pPr>
              <w:pStyle w:val="Compact"/>
              <w:jc w:val="left"/>
            </w:pPr>
            <w:r>
              <w:t xml:space="preserve">1D modelling (for example PetroMod) with Easy%Ro or Lopatin TTI</w:t>
            </w:r>
          </w:p>
        </w:tc>
        <w:tc>
          <w:tcPr/>
          <w:p>
            <w:pPr>
              <w:pStyle w:val="Compact"/>
              <w:jc w:val="left"/>
            </w:pPr>
            <w:r>
              <w:t xml:space="preserve">Timing of generation and expulsion</w:t>
            </w:r>
          </w:p>
        </w:tc>
        <w:tc>
          <w:tcPr/>
          <w:p>
            <w:pPr>
              <w:pStyle w:val="Compact"/>
              <w:jc w:val="left"/>
            </w:pPr>
            <w:r>
              <w:t xml:space="preserve">Waples (1980); Sweeney and Burnham (1990); Hantschel and Kauerauf (2009)</w:t>
            </w:r>
          </w:p>
        </w:tc>
      </w:tr>
    </w:tbl>
    <w:bookmarkEnd w:id="26"/>
    <w:bookmarkStart w:id="27" w:name="interpretation-criteria"/>
    <w:p>
      <w:pPr>
        <w:pStyle w:val="Heading3"/>
      </w:pPr>
      <w:r>
        <w:t xml:space="preserve">5.3 Interpretation criteria</w:t>
      </w:r>
    </w:p>
    <w:p>
      <w:pPr>
        <w:pStyle w:val="FirstParagraph"/>
      </w:pPr>
      <w:r>
        <w:t xml:space="preserve">Results will be judged against widely used thresholds from Peters and Cassa (1994), summarised here: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Parameter</w:t>
            </w:r>
          </w:p>
        </w:tc>
        <w:tc>
          <w:tcPr/>
          <w:p>
            <w:pPr>
              <w:pStyle w:val="Compact"/>
              <w:jc w:val="left"/>
            </w:pPr>
            <w:r>
              <w:t xml:space="preserve">Poor</w:t>
            </w:r>
          </w:p>
        </w:tc>
        <w:tc>
          <w:tcPr/>
          <w:p>
            <w:pPr>
              <w:pStyle w:val="Compact"/>
              <w:jc w:val="left"/>
            </w:pPr>
            <w:r>
              <w:t xml:space="preserve">Fair</w:t>
            </w:r>
          </w:p>
        </w:tc>
        <w:tc>
          <w:tcPr/>
          <w:p>
            <w:pPr>
              <w:pStyle w:val="Compact"/>
              <w:jc w:val="left"/>
            </w:pPr>
            <w:r>
              <w:t xml:space="preserve">Good</w:t>
            </w:r>
          </w:p>
        </w:tc>
        <w:tc>
          <w:tcPr/>
          <w:p>
            <w:pPr>
              <w:pStyle w:val="Compact"/>
              <w:jc w:val="left"/>
            </w:pPr>
            <w:r>
              <w:t xml:space="preserve">Very good</w:t>
            </w:r>
          </w:p>
        </w:tc>
      </w:tr>
      <w:tr>
        <w:tc>
          <w:tcPr/>
          <w:p>
            <w:pPr>
              <w:pStyle w:val="Compact"/>
              <w:jc w:val="left"/>
            </w:pPr>
            <w:r>
              <w:t xml:space="preserve">TOC (wt %)</w:t>
            </w:r>
          </w:p>
        </w:tc>
        <w:tc>
          <w:tcPr/>
          <w:p>
            <w:pPr>
              <w:pStyle w:val="Compact"/>
              <w:jc w:val="left"/>
            </w:pPr>
            <w:r>
              <w:t xml:space="preserve">0 to 0.5</w:t>
            </w:r>
          </w:p>
        </w:tc>
        <w:tc>
          <w:tcPr/>
          <w:p>
            <w:pPr>
              <w:pStyle w:val="Compact"/>
              <w:jc w:val="left"/>
            </w:pPr>
            <w:r>
              <w:t xml:space="preserve">0.5 to 1</w:t>
            </w:r>
          </w:p>
        </w:tc>
        <w:tc>
          <w:tcPr/>
          <w:p>
            <w:pPr>
              <w:pStyle w:val="Compact"/>
              <w:jc w:val="left"/>
            </w:pPr>
            <w:r>
              <w:t xml:space="preserve">1 to 2</w:t>
            </w:r>
          </w:p>
        </w:tc>
        <w:tc>
          <w:tcPr/>
          <w:p>
            <w:pPr>
              <w:pStyle w:val="Compact"/>
              <w:jc w:val="left"/>
            </w:pPr>
            <w:r>
              <w:t xml:space="preserve">2 to 4</w:t>
            </w:r>
          </w:p>
        </w:tc>
      </w:tr>
      <w:tr>
        <w:tc>
          <w:tcPr/>
          <w:p>
            <w:pPr>
              <w:pStyle w:val="Compact"/>
              <w:jc w:val="left"/>
            </w:pPr>
            <w:r>
              <w:t xml:space="preserve">S2 (mg HC/g rock)</w:t>
            </w:r>
          </w:p>
        </w:tc>
        <w:tc>
          <w:tcPr/>
          <w:p>
            <w:pPr>
              <w:pStyle w:val="Compact"/>
              <w:jc w:val="left"/>
            </w:pPr>
            <w:r>
              <w:t xml:space="preserve">0 to 2.5</w:t>
            </w:r>
          </w:p>
        </w:tc>
        <w:tc>
          <w:tcPr/>
          <w:p>
            <w:pPr>
              <w:pStyle w:val="Compact"/>
              <w:jc w:val="left"/>
            </w:pPr>
            <w:r>
              <w:t xml:space="preserve">2.5 to 5</w:t>
            </w:r>
          </w:p>
        </w:tc>
        <w:tc>
          <w:tcPr/>
          <w:p>
            <w:pPr>
              <w:pStyle w:val="Compact"/>
              <w:jc w:val="left"/>
            </w:pPr>
            <w:r>
              <w:t xml:space="preserve">5 to 10</w:t>
            </w:r>
          </w:p>
        </w:tc>
        <w:tc>
          <w:tcPr/>
          <w:p>
            <w:pPr>
              <w:pStyle w:val="Compact"/>
              <w:jc w:val="left"/>
            </w:pPr>
            <w:r>
              <w:t xml:space="preserve">10 to 20</w:t>
            </w:r>
          </w:p>
        </w:tc>
      </w:tr>
    </w:tbl>
    <w:p>
      <w:pPr>
        <w:pStyle w:val="BodyText"/>
      </w:pPr>
      <w:r>
        <w:t xml:space="preserve">Tmax of about 435 to 465 °C and Ro of about 0.6 to 1.3 % mark the oil window. Higher values point to the gas window. Hydrogen index above about 300 mg HC/g TOC suggests oil-prone kerogen, 150 to 300 mixed oil and gas-prone, and below 150 gas-prone, which is typical of the terrestrial, coaly organic matter expected in a deltaic setting.</w:t>
      </w:r>
    </w:p>
    <w:bookmarkEnd w:id="27"/>
    <w:bookmarkStart w:id="28" w:name="data-analysis"/>
    <w:p>
      <w:pPr>
        <w:pStyle w:val="Heading3"/>
      </w:pPr>
      <w:r>
        <w:t xml:space="preserve">5.4 Data analysis</w:t>
      </w:r>
    </w:p>
    <w:p>
      <w:pPr>
        <w:pStyle w:val="FirstParagraph"/>
      </w:pPr>
      <w:r>
        <w:t xml:space="preserve">Results will be tabulated by sample and formation, plotted on cross-plots (TOC vs S2, HI vs Tmax, HI vs OI) and mapped or plotted against depth to show vertical and lateral change. Basic descriptive statistics will summarise each parameter.</w:t>
      </w:r>
    </w:p>
    <w:bookmarkEnd w:id="28"/>
    <w:bookmarkEnd w:id="29"/>
    <w:bookmarkStart w:id="30" w:name="expected-outcomes"/>
    <w:p>
      <w:pPr>
        <w:pStyle w:val="Heading2"/>
      </w:pPr>
      <w:r>
        <w:t xml:space="preserve">6. Expected outcomes</w:t>
      </w:r>
    </w:p>
    <w:p>
      <w:pPr>
        <w:numPr>
          <w:ilvl w:val="0"/>
          <w:numId w:val="1004"/>
        </w:numPr>
        <w:pStyle w:val="Compact"/>
      </w:pPr>
      <w:r>
        <w:t xml:space="preserve">A ranked assessment of Barail Group source rock quality: poor, fair, good or very good, by TOC and S2.</w:t>
      </w:r>
    </w:p>
    <w:p>
      <w:pPr>
        <w:numPr>
          <w:ilvl w:val="0"/>
          <w:numId w:val="1004"/>
        </w:numPr>
        <w:pStyle w:val="Compact"/>
      </w:pPr>
      <w:r>
        <w:t xml:space="preserve">Identification of kerogen type and the likely product (oil, gas or both).</w:t>
      </w:r>
    </w:p>
    <w:p>
      <w:pPr>
        <w:numPr>
          <w:ilvl w:val="0"/>
          <w:numId w:val="1004"/>
        </w:numPr>
        <w:pStyle w:val="Compact"/>
      </w:pPr>
      <w:r>
        <w:t xml:space="preserve">A maturity profile showing which parts of the study area lie in the oil or gas window.</w:t>
      </w:r>
    </w:p>
    <w:p>
      <w:pPr>
        <w:numPr>
          <w:ilvl w:val="0"/>
          <w:numId w:val="1004"/>
        </w:numPr>
        <w:pStyle w:val="Compact"/>
      </w:pPr>
      <w:r>
        <w:t xml:space="preserve">A burial-history model estimating when the Barail Group started generating hydrocarbons relative to trap formation.</w:t>
      </w:r>
    </w:p>
    <w:p>
      <w:pPr>
        <w:numPr>
          <w:ilvl w:val="0"/>
          <w:numId w:val="1004"/>
        </w:numPr>
        <w:pStyle w:val="Compact"/>
      </w:pPr>
      <w:r>
        <w:t xml:space="preserve">A short interpretation of the Barail Group’s contribution to the Sylhet Basin petroleum system, with recommendations for further work.</w:t>
      </w:r>
    </w:p>
    <w:bookmarkEnd w:id="30"/>
    <w:bookmarkStart w:id="31" w:name="limitations"/>
    <w:p>
      <w:pPr>
        <w:pStyle w:val="Heading2"/>
      </w:pPr>
      <w:r>
        <w:t xml:space="preserve">7. Limitations</w:t>
      </w:r>
    </w:p>
    <w:p>
      <w:pPr>
        <w:numPr>
          <w:ilvl w:val="0"/>
          <w:numId w:val="1005"/>
        </w:numPr>
        <w:pStyle w:val="Compact"/>
      </w:pPr>
      <w:r>
        <w:t xml:space="preserve">Access to well cuttings, cores and laboratory equipment (Rock-Eval, vitrinite reflectance, GC-MS) may limit sample numbers. Analyses can be outsourced to or shared with a laboratory such as the Bangladesh Petroleum Institute or a university partner, or the study can rely on published and company data for the unavailable parameters.</w:t>
      </w:r>
    </w:p>
    <w:p>
      <w:pPr>
        <w:numPr>
          <w:ilvl w:val="0"/>
          <w:numId w:val="1005"/>
        </w:numPr>
        <w:pStyle w:val="Compact"/>
      </w:pPr>
      <w:r>
        <w:t xml:space="preserve">Outcrop samples may be weathered, which lowers TOC and hydrogen index. Fresh, trenched samples will be used where possible.</w:t>
      </w:r>
    </w:p>
    <w:p>
      <w:pPr>
        <w:numPr>
          <w:ilvl w:val="0"/>
          <w:numId w:val="1005"/>
        </w:numPr>
        <w:pStyle w:val="Compact"/>
      </w:pPr>
      <w:r>
        <w:t xml:space="preserve">The Barail Group is deeply buried across much of the trough, so subsurface coverage depends on available wells.</w:t>
      </w:r>
    </w:p>
    <w:bookmarkEnd w:id="31"/>
    <w:bookmarkStart w:id="32" w:name="references"/>
    <w:p>
      <w:pPr>
        <w:pStyle w:val="Heading2"/>
      </w:pPr>
      <w:r>
        <w:t xml:space="preserve">References</w:t>
      </w:r>
    </w:p>
    <w:p>
      <w:pPr>
        <w:pStyle w:val="FirstParagraph"/>
      </w:pPr>
      <w:r>
        <w:t xml:space="preserve">These are standard sources in source rock evaluation and Bengal Basin geology. They should be checked against the originals and formatted to the department’s citation style before submission.</w:t>
      </w:r>
    </w:p>
    <w:p>
      <w:pPr>
        <w:numPr>
          <w:ilvl w:val="0"/>
          <w:numId w:val="1006"/>
        </w:numPr>
        <w:pStyle w:val="Compact"/>
      </w:pPr>
      <w:r>
        <w:t xml:space="preserve">Alam, M., Alam, M. M., Curray, J. R., Chowdhury, M. L. R., and Gani, M. R., 2003. An overview of the sedimentary geology of the Bengal Basin in relation to the regional tectonic framework and basin-fill history.</w:t>
      </w:r>
      <w:r>
        <w:t xml:space="preserve"> </w:t>
      </w:r>
      <w:r>
        <w:rPr>
          <w:iCs/>
          <w:i/>
        </w:rPr>
        <w:t xml:space="preserve">Sedimentary Geology</w:t>
      </w:r>
      <w:r>
        <w:t xml:space="preserve">, 155, 179–208.</w:t>
      </w:r>
    </w:p>
    <w:p>
      <w:pPr>
        <w:numPr>
          <w:ilvl w:val="0"/>
          <w:numId w:val="1006"/>
        </w:numPr>
        <w:pStyle w:val="Compact"/>
      </w:pPr>
      <w:r>
        <w:t xml:space="preserve">Curiale, J. A., Covington, G. H., Shamsuddin, A. H. M., Morelos, J. A., and Shamsuddin, A. K. M., 2002. Origin of petroleum in Bangladesh.</w:t>
      </w:r>
      <w:r>
        <w:t xml:space="preserve"> </w:t>
      </w:r>
      <w:r>
        <w:rPr>
          <w:iCs/>
          <w:i/>
        </w:rPr>
        <w:t xml:space="preserve">AAPG Bulletin</w:t>
      </w:r>
      <w:r>
        <w:t xml:space="preserve">, 86(4), 625–652.</w:t>
      </w:r>
    </w:p>
    <w:p>
      <w:pPr>
        <w:numPr>
          <w:ilvl w:val="0"/>
          <w:numId w:val="1006"/>
        </w:numPr>
        <w:pStyle w:val="Compact"/>
      </w:pPr>
      <w:r>
        <w:t xml:space="preserve">Dow, W. G., 1977. Kerogen studies and geological interpretations.</w:t>
      </w:r>
      <w:r>
        <w:t xml:space="preserve"> </w:t>
      </w:r>
      <w:r>
        <w:rPr>
          <w:iCs/>
          <w:i/>
        </w:rPr>
        <w:t xml:space="preserve">Journal of Geochemical Exploration</w:t>
      </w:r>
      <w:r>
        <w:t xml:space="preserve">, 7, 79–99.</w:t>
      </w:r>
    </w:p>
    <w:p>
      <w:pPr>
        <w:numPr>
          <w:ilvl w:val="0"/>
          <w:numId w:val="1006"/>
        </w:numPr>
        <w:pStyle w:val="Compact"/>
      </w:pPr>
      <w:r>
        <w:t xml:space="preserve">Espitalié, J., Madec, M., Tissot, B., Mennig, J. J., and Leplat, P., 1977. Source rock characterization method for petroleum exploration.</w:t>
      </w:r>
      <w:r>
        <w:t xml:space="preserve"> </w:t>
      </w:r>
      <w:r>
        <w:rPr>
          <w:iCs/>
          <w:i/>
        </w:rPr>
        <w:t xml:space="preserve">Offshore Technology Conference</w:t>
      </w:r>
      <w:r>
        <w:t xml:space="preserve">, OTC 2935.</w:t>
      </w:r>
    </w:p>
    <w:p>
      <w:pPr>
        <w:numPr>
          <w:ilvl w:val="0"/>
          <w:numId w:val="1006"/>
        </w:numPr>
        <w:pStyle w:val="Compact"/>
      </w:pPr>
      <w:r>
        <w:t xml:space="preserve">Hantschel, T., and Kauerauf, A. I., 2009.</w:t>
      </w:r>
      <w:r>
        <w:t xml:space="preserve"> </w:t>
      </w:r>
      <w:r>
        <w:rPr>
          <w:iCs/>
          <w:i/>
        </w:rPr>
        <w:t xml:space="preserve">Fundamentals of Basin and Petroleum Systems Modeling</w:t>
      </w:r>
      <w:r>
        <w:t xml:space="preserve">. Springer.</w:t>
      </w:r>
    </w:p>
    <w:p>
      <w:pPr>
        <w:numPr>
          <w:ilvl w:val="0"/>
          <w:numId w:val="1006"/>
        </w:numPr>
        <w:pStyle w:val="Compact"/>
      </w:pPr>
      <w:r>
        <w:t xml:space="preserve">Imam, M. B., and Hussain, M., 2002. A review of hydrocarbon habitat in Bangladesh.</w:t>
      </w:r>
      <w:r>
        <w:t xml:space="preserve"> </w:t>
      </w:r>
      <w:r>
        <w:rPr>
          <w:iCs/>
          <w:i/>
        </w:rPr>
        <w:t xml:space="preserve">Journal of Petroleum Geology</w:t>
      </w:r>
      <w:r>
        <w:t xml:space="preserve">, 25(2), 221–236.</w:t>
      </w:r>
    </w:p>
    <w:p>
      <w:pPr>
        <w:numPr>
          <w:ilvl w:val="0"/>
          <w:numId w:val="1006"/>
        </w:numPr>
        <w:pStyle w:val="Compact"/>
      </w:pPr>
      <w:r>
        <w:t xml:space="preserve">International Committee for Coal and Organic Petrology (ICCP), 1998. The new vitrinite classification (ICCP System 1994).</w:t>
      </w:r>
      <w:r>
        <w:t xml:space="preserve"> </w:t>
      </w:r>
      <w:r>
        <w:rPr>
          <w:iCs/>
          <w:i/>
        </w:rPr>
        <w:t xml:space="preserve">Fuel</w:t>
      </w:r>
      <w:r>
        <w:t xml:space="preserve">, 77, 349–358.</w:t>
      </w:r>
    </w:p>
    <w:p>
      <w:pPr>
        <w:numPr>
          <w:ilvl w:val="0"/>
          <w:numId w:val="1006"/>
        </w:numPr>
        <w:pStyle w:val="Compact"/>
      </w:pPr>
      <w:r>
        <w:t xml:space="preserve">ICCP, 2001. The new inertinite classification (ICCP System 1994).</w:t>
      </w:r>
      <w:r>
        <w:t xml:space="preserve"> </w:t>
      </w:r>
      <w:r>
        <w:rPr>
          <w:iCs/>
          <w:i/>
        </w:rPr>
        <w:t xml:space="preserve">Fuel</w:t>
      </w:r>
      <w:r>
        <w:t xml:space="preserve">, 80, 459–471.</w:t>
      </w:r>
    </w:p>
    <w:p>
      <w:pPr>
        <w:numPr>
          <w:ilvl w:val="0"/>
          <w:numId w:val="1006"/>
        </w:numPr>
        <w:pStyle w:val="Compact"/>
      </w:pPr>
      <w:r>
        <w:t xml:space="preserve">Johnson, S. Y., and Alam, A. M. N., 1991. Sedimentation and tectonics of the Sylhet trough, Bangladesh.</w:t>
      </w:r>
      <w:r>
        <w:t xml:space="preserve"> </w:t>
      </w:r>
      <w:r>
        <w:rPr>
          <w:iCs/>
          <w:i/>
        </w:rPr>
        <w:t xml:space="preserve">Geological Society of America Bulletin</w:t>
      </w:r>
      <w:r>
        <w:t xml:space="preserve">, 103, 1513–1527.</w:t>
      </w:r>
    </w:p>
    <w:p>
      <w:pPr>
        <w:numPr>
          <w:ilvl w:val="0"/>
          <w:numId w:val="1006"/>
        </w:numPr>
        <w:pStyle w:val="Compact"/>
      </w:pPr>
      <w:r>
        <w:t xml:space="preserve">Peters, K. E., 1986. Guidelines for evaluating petroleum source rock using programmed pyrolysis.</w:t>
      </w:r>
      <w:r>
        <w:t xml:space="preserve"> </w:t>
      </w:r>
      <w:r>
        <w:rPr>
          <w:iCs/>
          <w:i/>
        </w:rPr>
        <w:t xml:space="preserve">AAPG Bulletin</w:t>
      </w:r>
      <w:r>
        <w:t xml:space="preserve">, 70(3), 318–329.</w:t>
      </w:r>
    </w:p>
    <w:p>
      <w:pPr>
        <w:numPr>
          <w:ilvl w:val="0"/>
          <w:numId w:val="1006"/>
        </w:numPr>
        <w:pStyle w:val="Compact"/>
      </w:pPr>
      <w:r>
        <w:t xml:space="preserve">Peters, K. E., and Cassa, M. R., 1994. Applied source rock geochemistry. In: Magoon, L. B., and Dow, W. G. (eds),</w:t>
      </w:r>
      <w:r>
        <w:t xml:space="preserve"> </w:t>
      </w:r>
      <w:r>
        <w:rPr>
          <w:iCs/>
          <w:i/>
        </w:rPr>
        <w:t xml:space="preserve">The Petroleum System: From Source to Trap</w:t>
      </w:r>
      <w:r>
        <w:t xml:space="preserve">. AAPG Memoir 60, 93–120.</w:t>
      </w:r>
    </w:p>
    <w:p>
      <w:pPr>
        <w:numPr>
          <w:ilvl w:val="0"/>
          <w:numId w:val="1006"/>
        </w:numPr>
        <w:pStyle w:val="Compact"/>
      </w:pPr>
      <w:r>
        <w:t xml:space="preserve">Peters, K. E., Walters, C. C., and Moldowan, J. M., 2005.</w:t>
      </w:r>
      <w:r>
        <w:t xml:space="preserve"> </w:t>
      </w:r>
      <w:r>
        <w:rPr>
          <w:iCs/>
          <w:i/>
        </w:rPr>
        <w:t xml:space="preserve">The Biomarker Guide</w:t>
      </w:r>
      <w:r>
        <w:t xml:space="preserve"> </w:t>
      </w:r>
      <w:r>
        <w:t xml:space="preserve">(2nd ed.). Cambridge University Press.</w:t>
      </w:r>
    </w:p>
    <w:p>
      <w:pPr>
        <w:numPr>
          <w:ilvl w:val="0"/>
          <w:numId w:val="1006"/>
        </w:numPr>
        <w:pStyle w:val="Compact"/>
      </w:pPr>
      <w:r>
        <w:t xml:space="preserve">Sweeney, J. J., and Burnham, A. K., 1990. Evaluation of a simple model of vitrinite reflectance based on chemical kinetics.</w:t>
      </w:r>
      <w:r>
        <w:t xml:space="preserve"> </w:t>
      </w:r>
      <w:r>
        <w:rPr>
          <w:iCs/>
          <w:i/>
        </w:rPr>
        <w:t xml:space="preserve">AAPG Bulletin</w:t>
      </w:r>
      <w:r>
        <w:t xml:space="preserve">, 74(10), 1559–1570.</w:t>
      </w:r>
    </w:p>
    <w:p>
      <w:pPr>
        <w:numPr>
          <w:ilvl w:val="0"/>
          <w:numId w:val="1006"/>
        </w:numPr>
        <w:pStyle w:val="Compact"/>
      </w:pPr>
      <w:r>
        <w:t xml:space="preserve">Tissot, B. P., and Welte, D. H., 1984.</w:t>
      </w:r>
      <w:r>
        <w:t xml:space="preserve"> </w:t>
      </w:r>
      <w:r>
        <w:rPr>
          <w:iCs/>
          <w:i/>
        </w:rPr>
        <w:t xml:space="preserve">Petroleum Formation and Occurrence</w:t>
      </w:r>
      <w:r>
        <w:t xml:space="preserve"> </w:t>
      </w:r>
      <w:r>
        <w:t xml:space="preserve">(2nd ed.). Springer-Verlag.</w:t>
      </w:r>
    </w:p>
    <w:p>
      <w:pPr>
        <w:numPr>
          <w:ilvl w:val="0"/>
          <w:numId w:val="1006"/>
        </w:numPr>
        <w:pStyle w:val="Compact"/>
      </w:pPr>
      <w:r>
        <w:t xml:space="preserve">Waples, D. W., 1980. Time and temperature in petroleum formation: application of Lopatin’s method to petroleum exploration.</w:t>
      </w:r>
      <w:r>
        <w:t xml:space="preserve"> </w:t>
      </w:r>
      <w:r>
        <w:rPr>
          <w:iCs/>
          <w:i/>
        </w:rPr>
        <w:t xml:space="preserve">AAPG Bulletin</w:t>
      </w:r>
      <w:r>
        <w:t xml:space="preserve">, 64(6), 916–926.</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2026-10-07T09:09:48Z</dcterms:created>
  <dcterms:modified xsi:type="dcterms:W3CDTF">2026-10-07T09:09:48Z</dcterms:modified>
</cp:coreProperties>
</file>

<file path=docProps/custom.xml><?xml version="1.0" encoding="utf-8"?>
<Properties xmlns="http://schemas.openxmlformats.org/officeDocument/2006/custom-properties" xmlns:vt="http://schemas.openxmlformats.org/officeDocument/2006/docPropsVTypes"/>
</file>