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ca4dc409e31f8dbcdb5385eab07861d1aaeae28"/>
    <w:p>
      <w:pPr>
        <w:pStyle w:val="Heading1"/>
      </w:pPr>
      <w:r>
        <w:t xml:space="preserve">Research Proposal: Source Rock Potentiality of the Barail Group in Part of the Sylhet Basin</w:t>
      </w:r>
    </w:p>
    <w:p>
      <w:pPr>
        <w:pStyle w:val="FirstParagraph"/>
      </w:pPr>
      <w:r>
        <w:rPr>
          <w:bCs/>
          <w:b/>
        </w:rPr>
        <w:t xml:space="preserve">Proposed project size:</w:t>
      </w:r>
      <w:r>
        <w:t xml:space="preserve"> </w:t>
      </w:r>
      <w:r>
        <w:t xml:space="preserve">6 credit hours (thesis/project course)</w:t>
      </w:r>
    </w:p>
    <w:p>
      <w:pPr>
        <w:pStyle w:val="BodyText"/>
      </w:pPr>
      <w:r>
        <w:rPr>
          <w:bCs/>
          <w:b/>
        </w:rPr>
        <w:t xml:space="preserve">Field:</w:t>
      </w:r>
      <w:r>
        <w:t xml:space="preserve"> </w:t>
      </w:r>
      <w:r>
        <w:t xml:space="preserve">Petroleum geology and organic geochemistry</w:t>
      </w:r>
    </w:p>
    <w:bookmarkStart w:id="20" w:name="abstract"/>
    <w:p>
      <w:pPr>
        <w:pStyle w:val="Heading2"/>
      </w:pPr>
      <w:r>
        <w:t xml:space="preserve">Abstract</w:t>
      </w:r>
    </w:p>
    <w:p>
      <w:pPr>
        <w:pStyle w:val="FirstParagraph"/>
      </w:pPr>
      <w:r>
        <w:t xml:space="preserve">This project will assess whether the Oligocene Barail Group in part of the Sylhet Basin (Surma Basin), northeastern Bangladesh, is a viable hydrocarbon source rock. The Barail Group contains shale, carbonaceous shale and coal-bearing intervals deposited in a deltaic to shallow-marine setting, and it is a candidate source for gas fields in the Sylhet Trough. Using samples from outcrops and well cuttings or cores, the study will measure total organic carbon (TOC), Rock-Eval pyrolysis parameters, kerogen type, thermal maturity (vitrinite reflectance, Tmax) and, where possible, organic petrography and biomarkers. These data will be combined with well-log and 1D burial-history modelling to estimate generation potential and the timing of hydrocarbon generation. The results will indicate the quality, quantity and maturity of Barail source rocks and their role in the regional petroleum system.</w:t>
      </w:r>
    </w:p>
    <w:bookmarkEnd w:id="20"/>
    <w:bookmarkStart w:id="21" w:name="Xe3d0fc0bea9a42ce7605565d0964033d7f6ee47"/>
    <w:p>
      <w:pPr>
        <w:pStyle w:val="Heading2"/>
      </w:pPr>
      <w:r>
        <w:t xml:space="preserve">1. Introduction</w:t>
      </w:r>
    </w:p>
    <w:p>
      <w:pPr>
        <w:pStyle w:val="FirstParagraph"/>
      </w:pPr>
      <w:r>
        <w:t xml:space="preserve">Bangladesh depends on natural gas for most of its power and industrial energy, and nearly all of that gas comes from Neogene reservoirs of the Bengal Basin. Understanding where the gas was generated is as important as mapping reservoirs, because source rock quality controls how much hydrocarbon a basin can supply.</w:t>
      </w:r>
    </w:p>
    <w:p>
      <w:pPr>
        <w:pStyle w:val="BodyText"/>
      </w:pPr>
      <w:r>
        <w:t xml:space="preserve">A source rock is a fine-grained sediment that contains enough organic matter of suitable type and thermal maturity to generate and expel petroleum. Its evaluation rests on three questions: how much organic matter is present (quantity), what kind it is (quality), and has it been heated enough to generate hydrocarbons (maturity) (Tissot and Welte, 1984; Peters and Cassa, 1994).</w:t>
      </w:r>
    </w:p>
    <w:p>
      <w:pPr>
        <w:pStyle w:val="BodyText"/>
      </w:pPr>
      <w:r>
        <w:t xml:space="preserve">Previous petroleum-system studies of the Bengal Basin point to Paleogene and Neogene shales, including the Barail and Surma groups, as likely sources of the gas in the Sylhet Trough (Curiale et al., 2002; Imam and Hussain, 2002). However, detailed, sample-based source rock data for the Barail Group in the Sylhet area remain limited, so its real contribution is still debated.</w:t>
      </w:r>
    </w:p>
    <w:bookmarkEnd w:id="21"/>
    <w:bookmarkStart w:id="22" w:name="X2aa75a00c83751a6a88fc789e068a3ab7a45ff1"/>
    <w:p>
      <w:pPr>
        <w:pStyle w:val="Heading2"/>
      </w:pPr>
      <w:r>
        <w:t xml:space="preserve">2. Study area and geological setting</w:t>
      </w:r>
    </w:p>
    <w:p>
      <w:pPr>
        <w:pStyle w:val="FirstParagraph"/>
      </w:pPr>
      <w:r>
        <w:t xml:space="preserve">The study area lies in part of the Sylhet Basin (Sylhet Trough), in the northeastern Bengal Basin. The trough is a rapidly subsiding foredeep bounded by the Shillong Massif to the north, the Indo-Burman Ranges to the east, and the Indian Platform to the west and southwest. It holds a very thick Cenozoic sedimentary fill (Alam et al., 2003; Johnson and Alam, 1991).</w:t>
      </w:r>
    </w:p>
    <w:p>
      <w:pPr>
        <w:pStyle w:val="BodyText"/>
      </w:pPr>
      <w:r>
        <w:t xml:space="preserve">The generalised Cenozoic succession in the Sylhet area, oldest to youngest, is:</w:t>
      </w:r>
    </w:p>
    <w:p>
      <w:pPr>
        <w:numPr>
          <w:ilvl w:val="0"/>
          <w:numId w:val="1001"/>
        </w:numPr>
        <w:pStyle w:val="Compact"/>
      </w:pPr>
      <w:r>
        <w:rPr>
          <w:bCs/>
          <w:b/>
        </w:rPr>
        <w:t xml:space="preserve">Jaintia Group</w:t>
      </w:r>
      <w:r>
        <w:t xml:space="preserve"> </w:t>
      </w:r>
      <w:r>
        <w:t xml:space="preserve">(Paleocene to Eocene): mainly shallow-marine carbonates, with the Kopili Shale at the top.</w:t>
      </w:r>
    </w:p>
    <w:p>
      <w:pPr>
        <w:numPr>
          <w:ilvl w:val="0"/>
          <w:numId w:val="1001"/>
        </w:numPr>
        <w:pStyle w:val="Compact"/>
      </w:pPr>
      <w:r>
        <w:rPr>
          <w:bCs/>
          <w:b/>
        </w:rPr>
        <w:t xml:space="preserve">Barail Group</w:t>
      </w:r>
      <w:r>
        <w:t xml:space="preserve"> </w:t>
      </w:r>
      <w:r>
        <w:t xml:space="preserve">(Oligocene, locally extending into the late Eocene): sandstone and shale with carbonaceous layers and thin coals, traditionally divided into the Renji and Jenam formations. This is the target of the study.</w:t>
      </w:r>
    </w:p>
    <w:p>
      <w:pPr>
        <w:numPr>
          <w:ilvl w:val="0"/>
          <w:numId w:val="1001"/>
        </w:numPr>
        <w:pStyle w:val="Compact"/>
      </w:pPr>
      <w:r>
        <w:rPr>
          <w:bCs/>
          <w:b/>
        </w:rPr>
        <w:t xml:space="preserve">Surma Group</w:t>
      </w:r>
      <w:r>
        <w:t xml:space="preserve"> </w:t>
      </w:r>
      <w:r>
        <w:t xml:space="preserve">(Miocene): the Bhuban and Boka Bil formations, the main gas reservoir and seal succession.</w:t>
      </w:r>
    </w:p>
    <w:p>
      <w:pPr>
        <w:numPr>
          <w:ilvl w:val="0"/>
          <w:numId w:val="1001"/>
        </w:numPr>
        <w:pStyle w:val="Compact"/>
      </w:pPr>
      <w:r>
        <w:rPr>
          <w:bCs/>
          <w:b/>
        </w:rPr>
        <w:t xml:space="preserve">Tipam, Dupi Tila and younger units</w:t>
      </w:r>
      <w:r>
        <w:t xml:space="preserve"> </w:t>
      </w:r>
      <w:r>
        <w:t xml:space="preserve">(Pliocene to Recent): fluvial sandstone and mudstone.</w:t>
      </w:r>
    </w:p>
    <w:p>
      <w:pPr>
        <w:pStyle w:val="FirstParagraph"/>
      </w:pPr>
      <w:r>
        <w:t xml:space="preserve">The Barail Group is exposed in parts of the Sylhet region and is penetrated, mostly in its upper part, by deep wells in the trough. The study will select a part of the basin where both outcrop and well data can be obtained. Final field and well locations will be fixed with the supervisor after data availability is confirmed.</w:t>
      </w:r>
    </w:p>
    <w:bookmarkEnd w:id="22"/>
    <w:bookmarkStart w:id="36" w:name="X0eb21d6bb63932580c631a7ea9981079c9ce0eb"/>
    <w:p>
      <w:pPr>
        <w:pStyle w:val="Heading2"/>
      </w:pPr>
      <w:r>
        <w:t xml:space="preserve">3. Literature review</w:t>
      </w:r>
    </w:p>
    <w:p>
      <w:pPr>
        <w:pStyle w:val="FirstParagraph"/>
      </w:pPr>
      <w:r>
        <w:t xml:space="preserve">Published work relevant to this project falls into six groups: regional geology of the Bengal Basin, the petroleum systems of Bangladesh, source rock studies of the Sylhet area, analogue data from the Assam region, source rock evaluation methods, and the gaps these leave. Items marked "web source" were found in online searches and need their full citation checked before submission.</w:t>
      </w:r>
    </w:p>
    <w:bookmarkStart w:id="24" w:name="Xc62ca8c2af5f57dfee9c18517563cd181ace778"/>
    <w:p>
      <w:pPr>
        <w:pStyle w:val="Heading3"/>
      </w:pPr>
      <w:r>
        <w:t xml:space="preserve">3.1 Regional geology and tectonic setting of the Bengal Basin</w:t>
      </w:r>
    </w:p>
    <w:p>
      <w:pPr>
        <w:pStyle w:val="FirstParagraph"/>
      </w:pPr>
      <w:r>
        <w:t xml:space="preserve">The Bengal Basin is one of the largest sediment-filled basins in the world. It lies between the Indian Platform, the Shillong Massif, and the Indo-Burman Ranges, and holds Cenozoic sediment shed from the Himalaya and the Indo-Burman orogen (Alam et al., 2003; Uddin and Lundberg, 1998). Alam et al. (2003) divide the basin into the Indian Platform, the Bengal Foredeep, the Sylhet Trough, and the Indo-Burman fold belt, and describe a basin fill that records collision of India with Eurasia and Burma.</w:t>
      </w:r>
    </w:p>
    <w:p>
      <w:pPr>
        <w:pStyle w:val="BodyText"/>
      </w:pPr>
      <w:r>
        <w:t xml:space="preserve">The Sylhet Trough, in the northeast, is the deepest part of the foredeep. Johnson and Alam (1991) showed that its subsidence was driven by loading from the Shillong Massif uplift and the Dauki Fault, with sediment thickness exceeding 10 km. Hiller and Elahi (1984) described the structural development of the Surma Basin and its fold belt, and the gas fields there sit on anticlines of the eastern fold belt. Khan (1991) and Reimann (1993) give the standard stratigraphic summaries of Bangladesh, including the Jaintia, Barail, Surma, Tipam and Dupi Tila successions. The Barail Group is regarded as Oligocene, deposited as the basin changed from a carbonate shelf (Jaintia Group) to a clastic-dominated, deltaic system. A recent grant-funded study abstract describes the Barail as exposed along the northern edge of the Sylhet Trough and roughly 800 to 1,600 m thick (</w:t>
      </w:r>
      <w:hyperlink r:id="rId23">
        <w:r>
          <w:rPr>
            <w:rStyle w:val="Hyperlink"/>
          </w:rPr>
          <w:t xml:space="preserve">AAPG Grants-in-Aid abstract, web source</w:t>
        </w:r>
      </w:hyperlink>
      <w:r>
        <w:t xml:space="preserve">).</w:t>
      </w:r>
    </w:p>
    <w:bookmarkEnd w:id="24"/>
    <w:bookmarkStart w:id="25" w:name="Xd4414697d2d7e226f7a77f1a4bdc7e416b9aa0b"/>
    <w:p>
      <w:pPr>
        <w:pStyle w:val="Heading3"/>
      </w:pPr>
      <w:r>
        <w:t xml:space="preserve">3.2 Petroleum systems of Bangladesh</w:t>
      </w:r>
    </w:p>
    <w:p>
      <w:pPr>
        <w:pStyle w:val="FirstParagraph"/>
      </w:pPr>
      <w:r>
        <w:t xml:space="preserve">Hydrocarbon exploration in Bangladesh has focused on the Surma Basin, where gas has been found in Miocene Surma Group sandstones at fields such as Kailashtila, Rashidpur, Habiganj, Bibiyana and Jalalabad (Imam and Hussain, 2002; Shamsuddin and Abdullah, 1997). Curiale et al. (2002) analysed oils, condensates and gases from Bangladesh and concluded that most were generated from terrestrial, land-plant-dominated organic matter in Tertiary sediments, which is consistent with a Tertiary deltaic source. Imam and Hussain (2002) reviewed the hydrocarbon habitat of Bangladesh and proposed that Paleogene and Neogene shales, deeply buried in the Sylhet Trough, charge the Surma reservoirs, while the Barail Group and deeper units are possible sources.</w:t>
      </w:r>
    </w:p>
    <w:p>
      <w:pPr>
        <w:pStyle w:val="BodyText"/>
      </w:pPr>
      <w:r>
        <w:t xml:space="preserve">The petroleum system concept (Magoon and Dow, 1994) requires a source rock, reservoir, seal, overburden, traps, and correct timing of generation and migration. For the Surma Basin, the weakest links in published work are the identity, richness and maturity of the source rocks, because few sample-based analyses are available.</w:t>
      </w:r>
    </w:p>
    <w:bookmarkEnd w:id="25"/>
    <w:bookmarkStart w:id="30" w:name="Xb00281e2bac61ba1ee8006c52b1ded954d3f12e"/>
    <w:p>
      <w:pPr>
        <w:pStyle w:val="Heading3"/>
      </w:pPr>
      <w:r>
        <w:t xml:space="preserve">3.3 Source rock studies in the Sylhet area and Bengal Basin</w:t>
      </w:r>
    </w:p>
    <w:p>
      <w:pPr>
        <w:pStyle w:val="FirstParagraph"/>
      </w:pPr>
      <w:r>
        <w:t xml:space="preserve">Published source rock data for the Bengal Basin are limited and scattered. Key findings from the sources found so far are:</w:t>
      </w:r>
    </w:p>
    <w:p>
      <w:pPr>
        <w:numPr>
          <w:ilvl w:val="0"/>
          <w:numId w:val="1002"/>
        </w:numPr>
        <w:pStyle w:val="Compact"/>
      </w:pPr>
      <w:r>
        <w:rPr>
          <w:bCs/>
          <w:b/>
        </w:rPr>
        <w:t xml:space="preserve">Barail Group (Jenum Shale).</w:t>
      </w:r>
      <w:r>
        <w:t xml:space="preserve"> </w:t>
      </w:r>
      <w:r>
        <w:t xml:space="preserve">A recent Bangladesh study identifies the Jenum Shale, part of the Barail Group, as the primary source rock of the Bengal Basin (</w:t>
      </w:r>
      <w:hyperlink r:id="rId26">
        <w:r>
          <w:rPr>
            <w:rStyle w:val="Hyperlink"/>
          </w:rPr>
          <w:t xml:space="preserve">Dhaka University Journal of Earth and Environmental Sciences, web source</w:t>
        </w:r>
      </w:hyperlink>
      <w:r>
        <w:t xml:space="preserve">). The original measurements behind this claim should be checked.</w:t>
      </w:r>
    </w:p>
    <w:p>
      <w:pPr>
        <w:numPr>
          <w:ilvl w:val="0"/>
          <w:numId w:val="1002"/>
        </w:numPr>
        <w:pStyle w:val="Compact"/>
      </w:pPr>
      <w:r>
        <w:rPr>
          <w:bCs/>
          <w:b/>
        </w:rPr>
        <w:t xml:space="preserve">Kopili Shale (late Eocene).</w:t>
      </w:r>
      <w:r>
        <w:t xml:space="preserve"> </w:t>
      </w:r>
      <w:r>
        <w:t xml:space="preserve">In the same area, the Kopili Shale shows the highest organic content among the units studied, with average TOC of about 0.65 to 0.7 % in Sylhet, and the northern Bengal Basin appears richer in organic matter than the south (same source). An Auburn University thesis on the Kopili Shale reports mean vitrinite reflectance of 0.86 to 1.32 % and mostly low TOC (below 0.6 %), concluding limited source potential (</w:t>
      </w:r>
      <w:hyperlink r:id="rId27">
        <w:r>
          <w:rPr>
            <w:rStyle w:val="Hyperlink"/>
          </w:rPr>
          <w:t xml:space="preserve">Auburn thesis, web source</w:t>
        </w:r>
      </w:hyperlink>
      <w:r>
        <w:t xml:space="preserve">).</w:t>
      </w:r>
    </w:p>
    <w:p>
      <w:pPr>
        <w:numPr>
          <w:ilvl w:val="0"/>
          <w:numId w:val="1002"/>
        </w:numPr>
        <w:pStyle w:val="Compact"/>
      </w:pPr>
      <w:r>
        <w:rPr>
          <w:bCs/>
          <w:b/>
        </w:rPr>
        <w:t xml:space="preserve">Surma Group (Bhuban and Boka Bil formations).</w:t>
      </w:r>
      <w:r>
        <w:t xml:space="preserve"> </w:t>
      </w:r>
      <w:r>
        <w:t xml:space="preserve">A University of Malaya thesis found these shales to be thermally immature to early mature, poor to fair in quality, and dominated by land-plant organic matter (</w:t>
      </w:r>
      <w:hyperlink r:id="rId28">
        <w:r>
          <w:rPr>
            <w:rStyle w:val="Hyperlink"/>
          </w:rPr>
          <w:t xml:space="preserve">University of Malaya thesis, web source</w:t>
        </w:r>
      </w:hyperlink>
      <w:r>
        <w:t xml:space="preserve">). A study of the Bhuban Formation in the Indian Surma equivalent section reports maturity from just before the oil window to mid-oil window, with mainly Type III and some Type II kerogen (</w:t>
      </w:r>
      <w:hyperlink r:id="rId29">
        <w:r>
          <w:rPr>
            <w:rStyle w:val="Hyperlink"/>
          </w:rPr>
          <w:t xml:space="preserve">Sains Malaysiana, 2015, web source</w:t>
        </w:r>
      </w:hyperlink>
      <w:r>
        <w:t xml:space="preserve">).</w:t>
      </w:r>
    </w:p>
    <w:p>
      <w:pPr>
        <w:pStyle w:val="FirstParagraph"/>
      </w:pPr>
      <w:r>
        <w:t xml:space="preserve">The common message is that Bengal Basin shales are mostly gas-prone, terrestrial in origin, and variable in richness. No study found so far reports a full set of TOC, Rock-Eval, vitrinite reflectance and burial-history data for the Barail Group in the Sylhet Trough.</w:t>
      </w:r>
    </w:p>
    <w:bookmarkEnd w:id="30"/>
    <w:bookmarkStart w:id="33" w:name="Xdc649808c482b20481557bb244b834a9e1151d6"/>
    <w:p>
      <w:pPr>
        <w:pStyle w:val="Heading3"/>
      </w:pPr>
      <w:r>
        <w:t xml:space="preserve">3.4 Analogue studies: the Barail Group in the Assam region</w:t>
      </w:r>
    </w:p>
    <w:p>
      <w:pPr>
        <w:pStyle w:val="FirstParagraph"/>
      </w:pPr>
      <w:r>
        <w:t xml:space="preserve">The Barail Group is better studied across the border in Assam, India, where it is a proven source and reservoir. Wandrey (2004) assessed the Sylhet-Kopili/Barail-Tipam Composite Total Petroleum System of the Assam Shelf, naming Barail coals and shales as sources. Total organic carbon is generally 0.5 to 1.8 %, with values up to about 9 % in Barail coaly shales, and maturity is low to moderate (Ro about 0.45 to 0.7 %), increasing toward the southeast (</w:t>
      </w:r>
      <w:hyperlink r:id="rId31">
        <w:r>
          <w:rPr>
            <w:rStyle w:val="Hyperlink"/>
          </w:rPr>
          <w:t xml:space="preserve">USGS Bulletin 2208-D</w:t>
        </w:r>
      </w:hyperlink>
      <w:r>
        <w:t xml:space="preserve">). A study of Barail coal and carbonaceous shale from the Upper Assam Basin reports TOC of 1.00 to 69.21 %, Tmax of 396 to 433 °C, and mixed Type II and III kerogen, interpreted as good in quality but immature to marginally mature (</w:t>
      </w:r>
      <w:hyperlink r:id="rId32">
        <w:r>
          <w:rPr>
            <w:rStyle w:val="Hyperlink"/>
          </w:rPr>
          <w:t xml:space="preserve">Inderscience, web source</w:t>
        </w:r>
      </w:hyperlink>
      <w:r>
        <w:t xml:space="preserve">).</w:t>
      </w:r>
    </w:p>
    <w:p>
      <w:pPr>
        <w:pStyle w:val="BodyText"/>
      </w:pPr>
      <w:r>
        <w:t xml:space="preserve">Coal and coaly shale can generate oil as well as gas when they contain enough hydrogen-rich liptinite (Wilkins and George, 2002; Petersen, 2006). This matters for the Barail Group, because its deltaic coals and shales may be oil-prone if liptinite content is high, even though Type III kerogen is usually thought of as gas-prone. These Assam results are analogues only. Burial depth and heating in the Sylhet Trough are much greater, so Barail maturity there is expected to be higher.</w:t>
      </w:r>
    </w:p>
    <w:bookmarkEnd w:id="33"/>
    <w:bookmarkStart w:id="34" w:name="X364373437d41af04b7af94b014a547eabea7e8f"/>
    <w:p>
      <w:pPr>
        <w:pStyle w:val="Heading3"/>
      </w:pPr>
      <w:r>
        <w:t xml:space="preserve">3.5 Source rock evaluation methods in the literature</w:t>
      </w:r>
    </w:p>
    <w:p>
      <w:pPr>
        <w:pStyle w:val="FirstParagraph"/>
      </w:pPr>
      <w:r>
        <w:t xml:space="preserve">Standard guidance on interpreting source rock data comes from Peters (1986), Peters and Cassa (1994), Hunt (1996) and Bordenave (1993). Rock-Eval pyrolysis was introduced by Espitalié et al. (1977), and Rock-Eval 6 is described by Lafargue et al. (1998) and Behar et al. (2001). Interpretation has well-known pitfalls:</w:t>
      </w:r>
    </w:p>
    <w:p>
      <w:pPr>
        <w:numPr>
          <w:ilvl w:val="0"/>
          <w:numId w:val="1003"/>
        </w:numPr>
        <w:pStyle w:val="Compact"/>
      </w:pPr>
      <w:r>
        <w:rPr>
          <w:bCs/>
          <w:b/>
        </w:rPr>
        <w:t xml:space="preserve">Mineral matrix effect.</w:t>
      </w:r>
      <w:r>
        <w:t xml:space="preserve"> </w:t>
      </w:r>
      <w:r>
        <w:t xml:space="preserve">Clay minerals can adsorb pyrolysed hydrocarbons and lower S2 in low-TOC rocks, which biases hydrogen index. Langford and Blanc-Valleron (1990) proposed plotting S2 against TOC to correct for this.</w:t>
      </w:r>
    </w:p>
    <w:p>
      <w:pPr>
        <w:numPr>
          <w:ilvl w:val="0"/>
          <w:numId w:val="1003"/>
        </w:numPr>
        <w:pStyle w:val="Compact"/>
      </w:pPr>
      <w:r>
        <w:rPr>
          <w:bCs/>
          <w:b/>
        </w:rPr>
        <w:t xml:space="preserve">Vitrinite reflectance suppression.</w:t>
      </w:r>
      <w:r>
        <w:t xml:space="preserve"> </w:t>
      </w:r>
      <w:r>
        <w:t xml:space="preserve">Hydrogen-rich organic matter can suppress vitrinite reflectance, causing underestimates of maturity (Carr, 2000). Reflectance should therefore be compared with Tmax and, where possible, biomarker maturity ratios (Peters et al., 2005).</w:t>
      </w:r>
    </w:p>
    <w:p>
      <w:pPr>
        <w:numPr>
          <w:ilvl w:val="0"/>
          <w:numId w:val="1003"/>
        </w:numPr>
        <w:pStyle w:val="Compact"/>
      </w:pPr>
      <w:r>
        <w:rPr>
          <w:bCs/>
          <w:b/>
        </w:rPr>
        <w:t xml:space="preserve">Coals are different from shales.</w:t>
      </w:r>
      <w:r>
        <w:t xml:space="preserve"> </w:t>
      </w:r>
      <w:r>
        <w:t xml:space="preserve">Standard TOC and S2 thresholds may not apply to coals. Petersen (2006) discusses effective oil windows for humic coals, and Wilkins and George (2002) review coal as an oil source.</w:t>
      </w:r>
    </w:p>
    <w:p>
      <w:pPr>
        <w:numPr>
          <w:ilvl w:val="0"/>
          <w:numId w:val="1003"/>
        </w:numPr>
        <w:pStyle w:val="Compact"/>
      </w:pPr>
      <w:r>
        <w:rPr>
          <w:bCs/>
          <w:b/>
        </w:rPr>
        <w:t xml:space="preserve">Contamination and weathering.</w:t>
      </w:r>
      <w:r>
        <w:t xml:space="preserve"> </w:t>
      </w:r>
      <w:r>
        <w:t xml:space="preserve">Drilling mud, oil-based additives and surface weathering can alter results, so sample selection and cleaning are critical.</w:t>
      </w:r>
    </w:p>
    <w:p>
      <w:pPr>
        <w:pStyle w:val="FirstParagraph"/>
      </w:pPr>
      <w:r>
        <w:t xml:space="preserve">For timing of generation, one-dimensional basin models using the Lopatin time-temperature index (Waples, 1980) or kinetic Easy%Ro (Sweeney and Burnham, 1990) are widely used, with theory and practice summarised by Hantschel and Kauerauf (2009).</w:t>
      </w:r>
    </w:p>
    <w:bookmarkEnd w:id="34"/>
    <w:bookmarkStart w:id="35" w:name="X77353e4d66700e37246e62577e9baa65342c066"/>
    <w:p>
      <w:pPr>
        <w:pStyle w:val="Heading3"/>
      </w:pPr>
      <w:r>
        <w:t xml:space="preserve">3.6 Research gaps and contribution of this study</w:t>
      </w:r>
    </w:p>
    <w:p>
      <w:pPr>
        <w:numPr>
          <w:ilvl w:val="0"/>
          <w:numId w:val="1004"/>
        </w:numPr>
        <w:pStyle w:val="Compact"/>
      </w:pPr>
      <w:r>
        <w:t xml:space="preserve">Measured TOC, Rock-Eval, kerogen type and vitrinite reflectance for the Barail Group in the Sylhet Trough are scarce, so its role as a source rock is largely inferred.</w:t>
      </w:r>
    </w:p>
    <w:p>
      <w:pPr>
        <w:numPr>
          <w:ilvl w:val="0"/>
          <w:numId w:val="1004"/>
        </w:numPr>
        <w:pStyle w:val="Compact"/>
      </w:pPr>
      <w:r>
        <w:t xml:space="preserve">Barail coals and carbonaceous shales have not been separately evaluated against criteria suited to coaly source rocks.</w:t>
      </w:r>
    </w:p>
    <w:p>
      <w:pPr>
        <w:numPr>
          <w:ilvl w:val="0"/>
          <w:numId w:val="1004"/>
        </w:numPr>
        <w:pStyle w:val="Compact"/>
      </w:pPr>
      <w:r>
        <w:t xml:space="preserve">Burial and thermal history models that tie Barail generation timing to trap formation in the Surma Basin are not available in the literature found.</w:t>
      </w:r>
    </w:p>
    <w:p>
      <w:pPr>
        <w:numPr>
          <w:ilvl w:val="0"/>
          <w:numId w:val="1004"/>
        </w:numPr>
        <w:pStyle w:val="Compact"/>
      </w:pPr>
      <w:r>
        <w:t xml:space="preserve">Analogue data from Assam suggest the Barail is organic-rich, but they cannot be applied directly to the more deeply buried Sylhet Trough.</w:t>
      </w:r>
    </w:p>
    <w:p>
      <w:pPr>
        <w:pStyle w:val="FirstParagraph"/>
      </w:pPr>
      <w:r>
        <w:t xml:space="preserve">This study addresses these gaps by combining sample-based geochemistry with burial-history modelling for the Barail Group in part of the Sylhet Basin.</w:t>
      </w:r>
    </w:p>
    <w:bookmarkEnd w:id="35"/>
    <w:bookmarkEnd w:id="36"/>
    <w:bookmarkStart w:id="37" w:name="Xd7e27067b046cb979d29dd37d8ebe8749a4eee5"/>
    <w:p>
      <w:pPr>
        <w:pStyle w:val="Heading2"/>
      </w:pPr>
      <w:r>
        <w:t xml:space="preserve">4. Problem statement and rationale</w:t>
      </w:r>
    </w:p>
    <w:p>
      <w:pPr>
        <w:pStyle w:val="FirstParagraph"/>
      </w:pPr>
      <w:r>
        <w:t xml:space="preserve">The Barail Group is often named as a source of Sylhet Trough gas, yet published organic-geochemical data for it are sparse and scattered across wells and outcrops. Without measured TOC, kerogen type and maturity, estimates of its generative capacity rest on assumption. A focused, sample-based assessment will help to decide whether the Barail Group is an effective source, which areas are mature enough to have generated hydrocarbons, and where further exploration is justified.</w:t>
      </w:r>
    </w:p>
    <w:bookmarkEnd w:id="37"/>
    <w:bookmarkStart w:id="38" w:name="X8d1ca08e4fd37045ba069952294d2d07187b2ce"/>
    <w:p>
      <w:pPr>
        <w:pStyle w:val="Heading2"/>
      </w:pPr>
      <w:r>
        <w:t xml:space="preserve">5. Aim and objectives</w:t>
      </w:r>
    </w:p>
    <w:p>
      <w:pPr>
        <w:pStyle w:val="FirstParagraph"/>
      </w:pPr>
      <w:r>
        <w:rPr>
          <w:bCs/>
          <w:b/>
        </w:rPr>
        <w:t xml:space="preserve">Aim:</w:t>
      </w:r>
      <w:r>
        <w:t xml:space="preserve"> </w:t>
      </w:r>
      <w:r>
        <w:t xml:space="preserve">to evaluate the source rock potential of the Barail Group in part of the Sylhet Basin.</w:t>
      </w:r>
    </w:p>
    <w:p>
      <w:pPr>
        <w:pStyle w:val="BodyText"/>
      </w:pPr>
      <w:r>
        <w:rPr>
          <w:bCs/>
          <w:b/>
        </w:rPr>
        <w:t xml:space="preserve">Specific objectives:</w:t>
      </w:r>
    </w:p>
    <w:p>
      <w:pPr>
        <w:numPr>
          <w:ilvl w:val="0"/>
          <w:numId w:val="1005"/>
        </w:numPr>
        <w:pStyle w:val="Compact"/>
      </w:pPr>
      <w:r>
        <w:t xml:space="preserve">To describe the lithology and organic-rich intervals of the Barail Group from outcrop and well data.</w:t>
      </w:r>
    </w:p>
    <w:p>
      <w:pPr>
        <w:numPr>
          <w:ilvl w:val="0"/>
          <w:numId w:val="1005"/>
        </w:numPr>
        <w:pStyle w:val="Compact"/>
      </w:pPr>
      <w:r>
        <w:t xml:space="preserve">To measure the quantity of organic matter (TOC) in the Barail shales and coals.</w:t>
      </w:r>
    </w:p>
    <w:p>
      <w:pPr>
        <w:numPr>
          <w:ilvl w:val="0"/>
          <w:numId w:val="1005"/>
        </w:numPr>
        <w:pStyle w:val="Compact"/>
      </w:pPr>
      <w:r>
        <w:t xml:space="preserve">To determine the kerogen type and hydrocarbon-generating quality using Rock-Eval pyrolysis and organic petrography.</w:t>
      </w:r>
    </w:p>
    <w:p>
      <w:pPr>
        <w:numPr>
          <w:ilvl w:val="0"/>
          <w:numId w:val="1005"/>
        </w:numPr>
        <w:pStyle w:val="Compact"/>
      </w:pPr>
      <w:r>
        <w:t xml:space="preserve">To assess thermal maturity using vitrinite reflectance and Tmax.</w:t>
      </w:r>
    </w:p>
    <w:p>
      <w:pPr>
        <w:numPr>
          <w:ilvl w:val="0"/>
          <w:numId w:val="1005"/>
        </w:numPr>
        <w:pStyle w:val="Compact"/>
      </w:pPr>
      <w:r>
        <w:t xml:space="preserve">To model burial history and the timing of hydrocarbon generation, and to interpret the Barail Group’s role in the regional petroleum system.</w:t>
      </w:r>
    </w:p>
    <w:bookmarkEnd w:id="38"/>
    <w:bookmarkStart w:id="43" w:name="X2baa9698e2c0fdb98ce8ebc23c2531dbbffab09"/>
    <w:p>
      <w:pPr>
        <w:pStyle w:val="Heading2"/>
      </w:pPr>
      <w:r>
        <w:t xml:space="preserve">6. Methodology</w:t>
      </w:r>
    </w:p>
    <w:p>
      <w:pPr>
        <w:pStyle w:val="FirstParagraph"/>
      </w:pPr>
      <w:r>
        <w:t xml:space="preserve">The methods below follow standard source rock evaluation workflows described in the petroleum geochemistry literature and used in earlier Bengal Basin studies. The work combines fieldwork, laboratory analysis and basin modelling.</w:t>
      </w:r>
    </w:p>
    <w:bookmarkStart w:id="39" w:name="X63e54ffc8e974bf9cda598fe0ddbc2540f5a4f9"/>
    <w:p>
      <w:pPr>
        <w:pStyle w:val="Heading3"/>
      </w:pPr>
      <w:r>
        <w:t xml:space="preserve">6.1 Workflow</w:t>
      </w:r>
    </w:p>
    <w:p>
      <w:pPr>
        <w:numPr>
          <w:ilvl w:val="0"/>
          <w:numId w:val="1006"/>
        </w:numPr>
        <w:pStyle w:val="Compact"/>
      </w:pPr>
      <w:r>
        <w:rPr>
          <w:bCs/>
          <w:b/>
        </w:rPr>
        <w:t xml:space="preserve">Literature and data review.</w:t>
      </w:r>
      <w:r>
        <w:t xml:space="preserve"> </w:t>
      </w:r>
      <w:r>
        <w:t xml:space="preserve">Collect published geology, well reports and geochemical data for the Sylhet Basin and the Barail Group (Google Scholar, Petrobangla and Bangladesh Petroleum Institute reports, university theses).</w:t>
      </w:r>
    </w:p>
    <w:p>
      <w:pPr>
        <w:numPr>
          <w:ilvl w:val="0"/>
          <w:numId w:val="1006"/>
        </w:numPr>
        <w:pStyle w:val="Compact"/>
      </w:pPr>
      <w:r>
        <w:rPr>
          <w:bCs/>
          <w:b/>
        </w:rPr>
        <w:t xml:space="preserve">Sampling.</w:t>
      </w:r>
      <w:r>
        <w:t xml:space="preserve"> </w:t>
      </w:r>
      <w:r>
        <w:t xml:space="preserve">Collect fresh shale, carbonaceous shale and coal samples from Barail outcrops, avoiding weathered surfaces, and obtain well cuttings or core samples from available wells. Record location, depth and lithology.</w:t>
      </w:r>
    </w:p>
    <w:p>
      <w:pPr>
        <w:numPr>
          <w:ilvl w:val="0"/>
          <w:numId w:val="1006"/>
        </w:numPr>
        <w:pStyle w:val="Compact"/>
      </w:pPr>
      <w:r>
        <w:rPr>
          <w:bCs/>
          <w:b/>
        </w:rPr>
        <w:t xml:space="preserve">Screening and sample preparation.</w:t>
      </w:r>
      <w:r>
        <w:t xml:space="preserve"> </w:t>
      </w:r>
      <w:r>
        <w:t xml:space="preserve">Crush, wash and homogenise samples, then select organic-rich samples for analysis.</w:t>
      </w:r>
    </w:p>
    <w:p>
      <w:pPr>
        <w:numPr>
          <w:ilvl w:val="0"/>
          <w:numId w:val="1006"/>
        </w:numPr>
        <w:pStyle w:val="Compact"/>
      </w:pPr>
      <w:r>
        <w:rPr>
          <w:bCs/>
          <w:b/>
        </w:rPr>
        <w:t xml:space="preserve">Laboratory geochemistry.</w:t>
      </w:r>
      <w:r>
        <w:t xml:space="preserve"> </w:t>
      </w:r>
      <w:r>
        <w:t xml:space="preserve">Run the analyses in the table below.</w:t>
      </w:r>
    </w:p>
    <w:p>
      <w:pPr>
        <w:numPr>
          <w:ilvl w:val="0"/>
          <w:numId w:val="1006"/>
        </w:numPr>
        <w:pStyle w:val="Compact"/>
      </w:pPr>
      <w:r>
        <w:rPr>
          <w:bCs/>
          <w:b/>
        </w:rPr>
        <w:t xml:space="preserve">Basin modelling.</w:t>
      </w:r>
      <w:r>
        <w:t xml:space="preserve"> </w:t>
      </w:r>
      <w:r>
        <w:t xml:space="preserve">Build 1D burial and thermal history models for selected wells.</w:t>
      </w:r>
    </w:p>
    <w:p>
      <w:pPr>
        <w:numPr>
          <w:ilvl w:val="0"/>
          <w:numId w:val="1006"/>
        </w:numPr>
        <w:pStyle w:val="Compact"/>
      </w:pPr>
      <w:r>
        <w:rPr>
          <w:bCs/>
          <w:b/>
        </w:rPr>
        <w:t xml:space="preserve">Integration.</w:t>
      </w:r>
      <w:r>
        <w:t xml:space="preserve"> </w:t>
      </w:r>
      <w:r>
        <w:t xml:space="preserve">Compare results with standard source rock classification charts and write the interpretation.</w:t>
      </w:r>
    </w:p>
    <w:bookmarkEnd w:id="39"/>
    <w:bookmarkStart w:id="40" w:name="X940ee0508614f1c7f540029185930544d60d44b"/>
    <w:p>
      <w:pPr>
        <w:pStyle w:val="Heading3"/>
      </w:pPr>
      <w:r>
        <w:t xml:space="preserve">6.2 Analytical methods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Method</w:t>
            </w:r>
          </w:p>
        </w:tc>
        <w:tc>
          <w:tcPr/>
          <w:p>
            <w:pPr>
              <w:pStyle w:val="Compact"/>
              <w:jc w:val="left"/>
            </w:pPr>
            <w:r>
              <w:t xml:space="preserve">What it shows</w:t>
            </w:r>
          </w:p>
        </w:tc>
        <w:tc>
          <w:tcPr/>
          <w:p>
            <w:pPr>
              <w:pStyle w:val="Compact"/>
              <w:jc w:val="left"/>
            </w:pPr>
            <w:r>
              <w:t xml:space="preserve">Basis</w:t>
            </w:r>
          </w:p>
        </w:tc>
      </w:tr>
      <w:tr>
        <w:tc>
          <w:tcPr/>
          <w:p>
            <w:pPr>
              <w:pStyle w:val="Compact"/>
              <w:jc w:val="left"/>
            </w:pPr>
            <w:r>
              <w:t xml:space="preserve">Organic richness</w:t>
            </w:r>
          </w:p>
        </w:tc>
        <w:tc>
          <w:tcPr/>
          <w:p>
            <w:pPr>
              <w:pStyle w:val="Compact"/>
              <w:jc w:val="left"/>
            </w:pPr>
            <w:r>
              <w:t xml:space="preserve">TOC by LECO combustion after removing carbonate with HCl</w:t>
            </w:r>
          </w:p>
        </w:tc>
        <w:tc>
          <w:tcPr/>
          <w:p>
            <w:pPr>
              <w:pStyle w:val="Compact"/>
              <w:jc w:val="left"/>
            </w:pPr>
            <w:r>
              <w:t xml:space="preserve">Quantity of organic matter</w:t>
            </w:r>
          </w:p>
        </w:tc>
        <w:tc>
          <w:tcPr/>
          <w:p>
            <w:pPr>
              <w:pStyle w:val="Compact"/>
              <w:jc w:val="left"/>
            </w:pPr>
            <w:r>
              <w:t xml:space="preserve">Peters (1986); Peters and Cassa (1994)</w:t>
            </w:r>
          </w:p>
        </w:tc>
      </w:tr>
      <w:tr>
        <w:tc>
          <w:tcPr/>
          <w:p>
            <w:pPr>
              <w:pStyle w:val="Compact"/>
              <w:jc w:val="left"/>
            </w:pPr>
            <w:r>
              <w:t xml:space="preserve">Generative potential and type</w:t>
            </w:r>
          </w:p>
        </w:tc>
        <w:tc>
          <w:tcPr/>
          <w:p>
            <w:pPr>
              <w:pStyle w:val="Compact"/>
              <w:jc w:val="left"/>
            </w:pPr>
            <w:r>
              <w:t xml:space="preserve">Rock-Eval pyrolysis (S1, S2, S3, Tmax, hydrogen index, oxygen index)</w:t>
            </w:r>
          </w:p>
        </w:tc>
        <w:tc>
          <w:tcPr/>
          <w:p>
            <w:pPr>
              <w:pStyle w:val="Compact"/>
              <w:jc w:val="left"/>
            </w:pPr>
            <w:r>
              <w:t xml:space="preserve">Kerogen type and remaining generative potential</w:t>
            </w:r>
          </w:p>
        </w:tc>
        <w:tc>
          <w:tcPr/>
          <w:p>
            <w:pPr>
              <w:pStyle w:val="Compact"/>
              <w:jc w:val="left"/>
            </w:pPr>
            <w:r>
              <w:t xml:space="preserve">Espitalié et al. (1977); Peters (1986)</w:t>
            </w:r>
          </w:p>
        </w:tc>
      </w:tr>
      <w:tr>
        <w:tc>
          <w:tcPr/>
          <w:p>
            <w:pPr>
              <w:pStyle w:val="Compact"/>
              <w:jc w:val="left"/>
            </w:pPr>
            <w:r>
              <w:t xml:space="preserve">Kerogen type</w:t>
            </w:r>
          </w:p>
        </w:tc>
        <w:tc>
          <w:tcPr/>
          <w:p>
            <w:pPr>
              <w:pStyle w:val="Compact"/>
              <w:jc w:val="left"/>
            </w:pPr>
            <w:r>
              <w:t xml:space="preserve">Modified van Krevelen diagram (HI vs OI) and HI vs Tmax plot</w:t>
            </w:r>
          </w:p>
        </w:tc>
        <w:tc>
          <w:tcPr/>
          <w:p>
            <w:pPr>
              <w:pStyle w:val="Compact"/>
              <w:jc w:val="left"/>
            </w:pPr>
            <w:r>
              <w:t xml:space="preserve">Type I, II, III or IV kerogen</w:t>
            </w:r>
          </w:p>
        </w:tc>
        <w:tc>
          <w:tcPr/>
          <w:p>
            <w:pPr>
              <w:pStyle w:val="Compact"/>
              <w:jc w:val="left"/>
            </w:pPr>
            <w:r>
              <w:t xml:space="preserve">Tissot and Welte (1984)</w:t>
            </w:r>
          </w:p>
        </w:tc>
      </w:tr>
      <w:tr>
        <w:tc>
          <w:tcPr/>
          <w:p>
            <w:pPr>
              <w:pStyle w:val="Compact"/>
              <w:jc w:val="left"/>
            </w:pPr>
            <w:r>
              <w:t xml:space="preserve">Thermal maturity</w:t>
            </w:r>
          </w:p>
        </w:tc>
        <w:tc>
          <w:tcPr/>
          <w:p>
            <w:pPr>
              <w:pStyle w:val="Compact"/>
              <w:jc w:val="left"/>
            </w:pPr>
            <w:r>
              <w:t xml:space="preserve">Vitrinite reflectance (Ro %) and Rock-Eval Tmax</w:t>
            </w:r>
          </w:p>
        </w:tc>
        <w:tc>
          <w:tcPr/>
          <w:p>
            <w:pPr>
              <w:pStyle w:val="Compact"/>
              <w:jc w:val="left"/>
            </w:pPr>
            <w:r>
              <w:t xml:space="preserve">Immature, oil window or gas window</w:t>
            </w:r>
          </w:p>
        </w:tc>
        <w:tc>
          <w:tcPr/>
          <w:p>
            <w:pPr>
              <w:pStyle w:val="Compact"/>
              <w:jc w:val="left"/>
            </w:pPr>
            <w:r>
              <w:t xml:space="preserve">Dow (1977); Peters and Cassa (1994)</w:t>
            </w:r>
          </w:p>
        </w:tc>
      </w:tr>
      <w:tr>
        <w:tc>
          <w:tcPr/>
          <w:p>
            <w:pPr>
              <w:pStyle w:val="Compact"/>
              <w:jc w:val="left"/>
            </w:pPr>
            <w:r>
              <w:t xml:space="preserve">Organic petrography</w:t>
            </w:r>
          </w:p>
        </w:tc>
        <w:tc>
          <w:tcPr/>
          <w:p>
            <w:pPr>
              <w:pStyle w:val="Compact"/>
              <w:jc w:val="left"/>
            </w:pPr>
            <w:r>
              <w:t xml:space="preserve">Maceral analysis in reflected and fluorescent light</w:t>
            </w:r>
          </w:p>
        </w:tc>
        <w:tc>
          <w:tcPr/>
          <w:p>
            <w:pPr>
              <w:pStyle w:val="Compact"/>
              <w:jc w:val="left"/>
            </w:pPr>
            <w:r>
              <w:t xml:space="preserve">Vitrinite, liptinite and inertinite content</w:t>
            </w:r>
          </w:p>
        </w:tc>
        <w:tc>
          <w:tcPr/>
          <w:p>
            <w:pPr>
              <w:pStyle w:val="Compact"/>
              <w:jc w:val="left"/>
            </w:pPr>
            <w:r>
              <w:t xml:space="preserve">ICCP (1998, 2001)</w:t>
            </w:r>
          </w:p>
        </w:tc>
      </w:tr>
      <w:tr>
        <w:tc>
          <w:tcPr/>
          <w:p>
            <w:pPr>
              <w:pStyle w:val="Compact"/>
              <w:jc w:val="left"/>
            </w:pPr>
            <w:r>
              <w:t xml:space="preserve">Biomarkers (optional, if facilities allow)</w:t>
            </w:r>
          </w:p>
        </w:tc>
        <w:tc>
          <w:tcPr/>
          <w:p>
            <w:pPr>
              <w:pStyle w:val="Compact"/>
              <w:jc w:val="left"/>
            </w:pPr>
            <w:r>
              <w:t xml:space="preserve">Gas chromatography–mass spectrometry of extracts (hopanes, steranes, Pr/Ph)</w:t>
            </w:r>
          </w:p>
        </w:tc>
        <w:tc>
          <w:tcPr/>
          <w:p>
            <w:pPr>
              <w:pStyle w:val="Compact"/>
              <w:jc w:val="left"/>
            </w:pPr>
            <w:r>
              <w:t xml:space="preserve">Depositional environment and organic input</w:t>
            </w:r>
          </w:p>
        </w:tc>
        <w:tc>
          <w:tcPr/>
          <w:p>
            <w:pPr>
              <w:pStyle w:val="Compact"/>
              <w:jc w:val="left"/>
            </w:pPr>
            <w:r>
              <w:t xml:space="preserve">Peters et al. (2005)</w:t>
            </w:r>
          </w:p>
        </w:tc>
      </w:tr>
      <w:tr>
        <w:tc>
          <w:tcPr/>
          <w:p>
            <w:pPr>
              <w:pStyle w:val="Compact"/>
              <w:jc w:val="left"/>
            </w:pPr>
            <w:r>
              <w:t xml:space="preserve">Burial and thermal history</w:t>
            </w:r>
          </w:p>
        </w:tc>
        <w:tc>
          <w:tcPr/>
          <w:p>
            <w:pPr>
              <w:pStyle w:val="Compact"/>
              <w:jc w:val="left"/>
            </w:pPr>
            <w:r>
              <w:t xml:space="preserve">1D modelling (for example PetroMod) with Easy%Ro or Lopatin TTI</w:t>
            </w:r>
          </w:p>
        </w:tc>
        <w:tc>
          <w:tcPr/>
          <w:p>
            <w:pPr>
              <w:pStyle w:val="Compact"/>
              <w:jc w:val="left"/>
            </w:pPr>
            <w:r>
              <w:t xml:space="preserve">Timing of generation and expulsion</w:t>
            </w:r>
          </w:p>
        </w:tc>
        <w:tc>
          <w:tcPr/>
          <w:p>
            <w:pPr>
              <w:pStyle w:val="Compact"/>
              <w:jc w:val="left"/>
            </w:pPr>
            <w:r>
              <w:t xml:space="preserve">Waples (1980); Sweeney and Burnham (1990); Hantschel and Kauerauf (2009)</w:t>
            </w:r>
          </w:p>
        </w:tc>
      </w:tr>
    </w:tbl>
    <w:bookmarkEnd w:id="40"/>
    <w:bookmarkStart w:id="41" w:name="X69ad909dd42d7b2da3ee524aef309969555306d"/>
    <w:p>
      <w:pPr>
        <w:pStyle w:val="Heading3"/>
      </w:pPr>
      <w:r>
        <w:t xml:space="preserve">6.3 Interpretation criteria</w:t>
      </w:r>
    </w:p>
    <w:p>
      <w:pPr>
        <w:pStyle w:val="FirstParagraph"/>
      </w:pPr>
      <w:r>
        <w:t xml:space="preserve">Results will be judged against widely used thresholds from Peters and Cassa (1994), summarised here: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Parameter</w:t>
            </w:r>
          </w:p>
        </w:tc>
        <w:tc>
          <w:tcPr/>
          <w:p>
            <w:pPr>
              <w:pStyle w:val="Compact"/>
              <w:jc w:val="left"/>
            </w:pPr>
            <w:r>
              <w:t xml:space="preserve">Poor</w:t>
            </w:r>
          </w:p>
        </w:tc>
        <w:tc>
          <w:tcPr/>
          <w:p>
            <w:pPr>
              <w:pStyle w:val="Compact"/>
              <w:jc w:val="left"/>
            </w:pPr>
            <w:r>
              <w:t xml:space="preserve">Fair</w:t>
            </w:r>
          </w:p>
        </w:tc>
        <w:tc>
          <w:tcPr/>
          <w:p>
            <w:pPr>
              <w:pStyle w:val="Compact"/>
              <w:jc w:val="left"/>
            </w:pPr>
            <w:r>
              <w:t xml:space="preserve">Good</w:t>
            </w:r>
          </w:p>
        </w:tc>
        <w:tc>
          <w:tcPr/>
          <w:p>
            <w:pPr>
              <w:pStyle w:val="Compact"/>
              <w:jc w:val="left"/>
            </w:pPr>
            <w:r>
              <w:t xml:space="preserve">Very good</w:t>
            </w:r>
          </w:p>
        </w:tc>
      </w:tr>
      <w:tr>
        <w:tc>
          <w:tcPr/>
          <w:p>
            <w:pPr>
              <w:pStyle w:val="Compact"/>
              <w:jc w:val="left"/>
            </w:pPr>
            <w:r>
              <w:t xml:space="preserve">TOC (wt %)</w:t>
            </w:r>
          </w:p>
        </w:tc>
        <w:tc>
          <w:tcPr/>
          <w:p>
            <w:pPr>
              <w:pStyle w:val="Compact"/>
              <w:jc w:val="left"/>
            </w:pPr>
            <w:r>
              <w:t xml:space="preserve">0 to 0.5</w:t>
            </w:r>
          </w:p>
        </w:tc>
        <w:tc>
          <w:tcPr/>
          <w:p>
            <w:pPr>
              <w:pStyle w:val="Compact"/>
              <w:jc w:val="left"/>
            </w:pPr>
            <w:r>
              <w:t xml:space="preserve">0.5 to 1</w:t>
            </w:r>
          </w:p>
        </w:tc>
        <w:tc>
          <w:tcPr/>
          <w:p>
            <w:pPr>
              <w:pStyle w:val="Compact"/>
              <w:jc w:val="left"/>
            </w:pPr>
            <w:r>
              <w:t xml:space="preserve">1 to 2</w:t>
            </w:r>
          </w:p>
        </w:tc>
        <w:tc>
          <w:tcPr/>
          <w:p>
            <w:pPr>
              <w:pStyle w:val="Compact"/>
              <w:jc w:val="left"/>
            </w:pPr>
            <w:r>
              <w:t xml:space="preserve">2 to 4</w:t>
            </w:r>
          </w:p>
        </w:tc>
      </w:tr>
      <w:tr>
        <w:tc>
          <w:tcPr/>
          <w:p>
            <w:pPr>
              <w:pStyle w:val="Compact"/>
              <w:jc w:val="left"/>
            </w:pPr>
            <w:r>
              <w:t xml:space="preserve">S2 (mg HC/g rock)</w:t>
            </w:r>
          </w:p>
        </w:tc>
        <w:tc>
          <w:tcPr/>
          <w:p>
            <w:pPr>
              <w:pStyle w:val="Compact"/>
              <w:jc w:val="left"/>
            </w:pPr>
            <w:r>
              <w:t xml:space="preserve">0 to 2.5</w:t>
            </w:r>
          </w:p>
        </w:tc>
        <w:tc>
          <w:tcPr/>
          <w:p>
            <w:pPr>
              <w:pStyle w:val="Compact"/>
              <w:jc w:val="left"/>
            </w:pPr>
            <w:r>
              <w:t xml:space="preserve">2.5 to 5</w:t>
            </w:r>
          </w:p>
        </w:tc>
        <w:tc>
          <w:tcPr/>
          <w:p>
            <w:pPr>
              <w:pStyle w:val="Compact"/>
              <w:jc w:val="left"/>
            </w:pPr>
            <w:r>
              <w:t xml:space="preserve">5 to 10</w:t>
            </w:r>
          </w:p>
        </w:tc>
        <w:tc>
          <w:tcPr/>
          <w:p>
            <w:pPr>
              <w:pStyle w:val="Compact"/>
              <w:jc w:val="left"/>
            </w:pPr>
            <w:r>
              <w:t xml:space="preserve">10 to 20</w:t>
            </w:r>
          </w:p>
        </w:tc>
      </w:tr>
    </w:tbl>
    <w:p>
      <w:pPr>
        <w:pStyle w:val="BodyText"/>
      </w:pPr>
      <w:r>
        <w:t xml:space="preserve">Tmax of about 435 to 465 °C and Ro of about 0.6 to 1.3 % mark the oil window. Higher values point to the gas window. Hydrogen index above about 300 mg HC/g TOC suggests oil-prone kerogen, 150 to 300 mixed oil and gas-prone, and below 150 gas-prone, which is typical of the terrestrial, coaly organic matter expected in a deltaic setting.</w:t>
      </w:r>
    </w:p>
    <w:bookmarkEnd w:id="41"/>
    <w:bookmarkStart w:id="42" w:name="Xad05d2c17ac4c8b5dd2c56a936b0da77cb13187"/>
    <w:p>
      <w:pPr>
        <w:pStyle w:val="Heading3"/>
      </w:pPr>
      <w:r>
        <w:t xml:space="preserve">6.4 Data analysis</w:t>
      </w:r>
    </w:p>
    <w:p>
      <w:pPr>
        <w:pStyle w:val="FirstParagraph"/>
      </w:pPr>
      <w:r>
        <w:t xml:space="preserve">Results will be tabulated by sample and formation, plotted on cross-plots (TOC vs S2, HI vs Tmax, HI vs OI) and mapped or plotted against depth to show vertical and lateral change. Basic descriptive statistics will summarise each parameter.</w:t>
      </w:r>
    </w:p>
    <w:bookmarkEnd w:id="42"/>
    <w:bookmarkEnd w:id="43"/>
    <w:bookmarkStart w:id="44" w:name="X5da11e6f9e5b32ccdcc4c29c2190f04e1aee648"/>
    <w:p>
      <w:pPr>
        <w:pStyle w:val="Heading2"/>
      </w:pPr>
      <w:r>
        <w:t xml:space="preserve">7. Expected outcomes</w:t>
      </w:r>
    </w:p>
    <w:p>
      <w:pPr>
        <w:numPr>
          <w:ilvl w:val="0"/>
          <w:numId w:val="1007"/>
        </w:numPr>
        <w:pStyle w:val="Compact"/>
      </w:pPr>
      <w:r>
        <w:t xml:space="preserve">A ranked assessment of Barail Group source rock quality: poor, fair, good or very good, by TOC and S2.</w:t>
      </w:r>
    </w:p>
    <w:p>
      <w:pPr>
        <w:numPr>
          <w:ilvl w:val="0"/>
          <w:numId w:val="1007"/>
        </w:numPr>
        <w:pStyle w:val="Compact"/>
      </w:pPr>
      <w:r>
        <w:t xml:space="preserve">Identification of kerogen type and the likely product (oil, gas or both).</w:t>
      </w:r>
    </w:p>
    <w:p>
      <w:pPr>
        <w:numPr>
          <w:ilvl w:val="0"/>
          <w:numId w:val="1007"/>
        </w:numPr>
        <w:pStyle w:val="Compact"/>
      </w:pPr>
      <w:r>
        <w:t xml:space="preserve">A maturity profile showing which parts of the study area lie in the oil or gas window.</w:t>
      </w:r>
    </w:p>
    <w:p>
      <w:pPr>
        <w:numPr>
          <w:ilvl w:val="0"/>
          <w:numId w:val="1007"/>
        </w:numPr>
        <w:pStyle w:val="Compact"/>
      </w:pPr>
      <w:r>
        <w:t xml:space="preserve">A burial-history model estimating when the Barail Group started generating hydrocarbons relative to trap formation.</w:t>
      </w:r>
    </w:p>
    <w:p>
      <w:pPr>
        <w:numPr>
          <w:ilvl w:val="0"/>
          <w:numId w:val="1007"/>
        </w:numPr>
        <w:pStyle w:val="Compact"/>
      </w:pPr>
      <w:r>
        <w:t xml:space="preserve">A short interpretation of the Barail Group’s contribution to the Sylhet Basin petroleum system, with recommendations for further work.</w:t>
      </w:r>
    </w:p>
    <w:bookmarkEnd w:id="44"/>
    <w:bookmarkStart w:id="45" w:name="Xff68836fd6338b1e475ce903f71a94c825ab87e"/>
    <w:p>
      <w:pPr>
        <w:pStyle w:val="Heading2"/>
      </w:pPr>
      <w:r>
        <w:t xml:space="preserve">8. Limitations</w:t>
      </w:r>
    </w:p>
    <w:p>
      <w:pPr>
        <w:numPr>
          <w:ilvl w:val="0"/>
          <w:numId w:val="1008"/>
        </w:numPr>
        <w:pStyle w:val="Compact"/>
      </w:pPr>
      <w:r>
        <w:t xml:space="preserve">Access to well cuttings, cores and laboratory equipment (Rock-Eval, vitrinite reflectance, GC-MS) may limit sample numbers. Analyses can be outsourced to or shared with a laboratory such as the Bangladesh Petroleum Institute or a university partner, or the study can rely on published and company data for the unavailable parameters.</w:t>
      </w:r>
    </w:p>
    <w:p>
      <w:pPr>
        <w:numPr>
          <w:ilvl w:val="0"/>
          <w:numId w:val="1008"/>
        </w:numPr>
        <w:pStyle w:val="Compact"/>
      </w:pPr>
      <w:r>
        <w:t xml:space="preserve">Outcrop samples may be weathered, which lowers TOC and hydrogen index. Fresh, trenched samples will be used where possible.</w:t>
      </w:r>
    </w:p>
    <w:p>
      <w:pPr>
        <w:numPr>
          <w:ilvl w:val="0"/>
          <w:numId w:val="1008"/>
        </w:numPr>
        <w:pStyle w:val="Compact"/>
      </w:pPr>
      <w:r>
        <w:t xml:space="preserve">The Barail Group is deeply buried across much of the trough, so subsurface coverage depends on available wells.</w:t>
      </w:r>
    </w:p>
    <w:bookmarkEnd w:id="45"/>
    <w:bookmarkStart w:id="46" w:name="references"/>
    <w:p>
      <w:pPr>
        <w:pStyle w:val="Heading2"/>
      </w:pPr>
      <w:r>
        <w:t xml:space="preserve">References</w:t>
      </w:r>
    </w:p>
    <w:p>
      <w:pPr>
        <w:pStyle w:val="FirstParagraph"/>
      </w:pPr>
      <w:r>
        <w:t xml:space="preserve">These are standard sources in source rock evaluation and Bengal Basin geology. Most were cited from memory and the web sources linked in Section 3 give no full citation, so they should be checked against the originals and formatted to the department’s citation style before submission.</w:t>
      </w:r>
    </w:p>
    <w:p>
      <w:pPr>
        <w:numPr>
          <w:ilvl w:val="0"/>
          <w:numId w:val="1009"/>
        </w:numPr>
        <w:pStyle w:val="Compact"/>
      </w:pPr>
      <w:r>
        <w:t xml:space="preserve">Alam, M., Alam, M. M., Curray, J. R., Chowdhury, M. L. R., and Gani, M. R., 2003. An overview of the sedimentary geology of the Bengal Basin in relation to the regional tectonic framework and basin-fill history.</w:t>
      </w:r>
      <w:r>
        <w:t xml:space="preserve"> </w:t>
      </w:r>
      <w:r>
        <w:rPr>
          <w:iCs/>
          <w:i/>
        </w:rPr>
        <w:t xml:space="preserve">Sedimentary Geology</w:t>
      </w:r>
      <w:r>
        <w:t xml:space="preserve">, 155, 179–208.</w:t>
      </w:r>
    </w:p>
    <w:p>
      <w:pPr>
        <w:numPr>
          <w:ilvl w:val="0"/>
          <w:numId w:val="1009"/>
        </w:numPr>
        <w:pStyle w:val="Compact"/>
      </w:pPr>
      <w:r>
        <w:t xml:space="preserve">Behar, F., Beaumont, V., and Penteado, H. L. De B., 2001. Rock-Eval 6 technology: performances and developments.</w:t>
      </w:r>
      <w:r>
        <w:t xml:space="preserve"> </w:t>
      </w:r>
      <w:r>
        <w:rPr>
          <w:iCs/>
          <w:i/>
        </w:rPr>
        <w:t xml:space="preserve">Oil &amp; Gas Science and Technology – Revue de l'IFP</w:t>
      </w:r>
      <w:r>
        <w:t xml:space="preserve">, 56(2), 111–134.</w:t>
      </w:r>
    </w:p>
    <w:p>
      <w:pPr>
        <w:numPr>
          <w:ilvl w:val="0"/>
          <w:numId w:val="1009"/>
        </w:numPr>
        <w:pStyle w:val="Compact"/>
      </w:pPr>
      <w:r>
        <w:t xml:space="preserve">Bordenave, M. L. (ed.), 1993.</w:t>
      </w:r>
      <w:r>
        <w:t xml:space="preserve"> </w:t>
      </w:r>
      <w:r>
        <w:rPr>
          <w:iCs/>
          <w:i/>
        </w:rPr>
        <w:t xml:space="preserve">Applied Petroleum Geochemistry</w:t>
      </w:r>
      <w:r>
        <w:t xml:space="preserve">. Editions Technip, Paris.</w:t>
      </w:r>
    </w:p>
    <w:p>
      <w:pPr>
        <w:numPr>
          <w:ilvl w:val="0"/>
          <w:numId w:val="1009"/>
        </w:numPr>
        <w:pStyle w:val="Compact"/>
      </w:pPr>
      <w:r>
        <w:t xml:space="preserve">Carr, A. D., 2000. Suppression and retardation of vitrinite reflectance, Part 1: formation and significance for hydrocarbon generation.</w:t>
      </w:r>
      <w:r>
        <w:t xml:space="preserve"> </w:t>
      </w:r>
      <w:r>
        <w:rPr>
          <w:iCs/>
          <w:i/>
        </w:rPr>
        <w:t xml:space="preserve">Journal of Petroleum Geology</w:t>
      </w:r>
      <w:r>
        <w:t xml:space="preserve">, 23(3), 313–343.</w:t>
      </w:r>
    </w:p>
    <w:p>
      <w:pPr>
        <w:numPr>
          <w:ilvl w:val="0"/>
          <w:numId w:val="1009"/>
        </w:numPr>
        <w:pStyle w:val="Compact"/>
      </w:pPr>
      <w:r>
        <w:t xml:space="preserve">Curiale, J. A., Covington, G. H., Shamsuddin, A. H. M., Morelos, J. A., and Shamsuddin, A. K. M., 2002. Origin of petroleum in Bangladesh.</w:t>
      </w:r>
      <w:r>
        <w:t xml:space="preserve"> </w:t>
      </w:r>
      <w:r>
        <w:rPr>
          <w:iCs/>
          <w:i/>
        </w:rPr>
        <w:t xml:space="preserve">AAPG Bulletin</w:t>
      </w:r>
      <w:r>
        <w:t xml:space="preserve">, 86(4), 625–652.</w:t>
      </w:r>
    </w:p>
    <w:p>
      <w:pPr>
        <w:numPr>
          <w:ilvl w:val="0"/>
          <w:numId w:val="1009"/>
        </w:numPr>
        <w:pStyle w:val="Compact"/>
      </w:pPr>
      <w:r>
        <w:t xml:space="preserve">Dow, W. G., 1977. Kerogen studies and geological interpretations.</w:t>
      </w:r>
      <w:r>
        <w:t xml:space="preserve"> </w:t>
      </w:r>
      <w:r>
        <w:rPr>
          <w:iCs/>
          <w:i/>
        </w:rPr>
        <w:t xml:space="preserve">Journal of Geochemical Exploration</w:t>
      </w:r>
      <w:r>
        <w:t xml:space="preserve">, 7, 79–99.</w:t>
      </w:r>
    </w:p>
    <w:p>
      <w:pPr>
        <w:numPr>
          <w:ilvl w:val="0"/>
          <w:numId w:val="1009"/>
        </w:numPr>
        <w:pStyle w:val="Compact"/>
      </w:pPr>
      <w:r>
        <w:t xml:space="preserve">Espitalié, J., Madec, M., Tissot, B., Mennig, J. J., and Leplat, P., 1977. Source rock characterization method for petroleum exploration.</w:t>
      </w:r>
      <w:r>
        <w:t xml:space="preserve"> </w:t>
      </w:r>
      <w:r>
        <w:rPr>
          <w:iCs/>
          <w:i/>
        </w:rPr>
        <w:t xml:space="preserve">Offshore Technology Conference</w:t>
      </w:r>
      <w:r>
        <w:t xml:space="preserve">, OTC 2935.</w:t>
      </w:r>
    </w:p>
    <w:p>
      <w:pPr>
        <w:numPr>
          <w:ilvl w:val="0"/>
          <w:numId w:val="1009"/>
        </w:numPr>
        <w:pStyle w:val="Compact"/>
      </w:pPr>
      <w:r>
        <w:t xml:space="preserve">Hantschel, T., and Kauerauf, A. I., 2009.</w:t>
      </w:r>
      <w:r>
        <w:t xml:space="preserve"> </w:t>
      </w:r>
      <w:r>
        <w:rPr>
          <w:iCs/>
          <w:i/>
        </w:rPr>
        <w:t xml:space="preserve">Fundamentals of Basin and Petroleum Systems Modeling</w:t>
      </w:r>
      <w:r>
        <w:t xml:space="preserve">. Springer.</w:t>
      </w:r>
    </w:p>
    <w:p>
      <w:pPr>
        <w:numPr>
          <w:ilvl w:val="0"/>
          <w:numId w:val="1009"/>
        </w:numPr>
        <w:pStyle w:val="Compact"/>
      </w:pPr>
      <w:r>
        <w:t xml:space="preserve">Hiller, K., and Elahi, M., 1984. Structural development and hydrocarbon entrapment in the Surma Basin, Bangladesh (northwest Indo-Burman fold belt).</w:t>
      </w:r>
      <w:r>
        <w:t xml:space="preserve"> </w:t>
      </w:r>
      <w:r>
        <w:rPr>
          <w:iCs/>
          <w:i/>
        </w:rPr>
        <w:t xml:space="preserve">Proceedings of the Indonesian Petroleum Association</w:t>
      </w:r>
      <w:r>
        <w:t xml:space="preserve">, 13th Annual Convention, 657–669.</w:t>
      </w:r>
    </w:p>
    <w:p>
      <w:pPr>
        <w:numPr>
          <w:ilvl w:val="0"/>
          <w:numId w:val="1009"/>
        </w:numPr>
        <w:pStyle w:val="Compact"/>
      </w:pPr>
      <w:r>
        <w:t xml:space="preserve">Hunt, J. M., 1996.</w:t>
      </w:r>
      <w:r>
        <w:t xml:space="preserve"> </w:t>
      </w:r>
      <w:r>
        <w:rPr>
          <w:iCs/>
          <w:i/>
        </w:rPr>
        <w:t xml:space="preserve">Petroleum Geochemistry and Geology</w:t>
      </w:r>
      <w:r>
        <w:t xml:space="preserve"> </w:t>
      </w:r>
      <w:r>
        <w:t xml:space="preserve">(2nd ed.). W. H. Freeman.</w:t>
      </w:r>
    </w:p>
    <w:p>
      <w:pPr>
        <w:numPr>
          <w:ilvl w:val="0"/>
          <w:numId w:val="1009"/>
        </w:numPr>
        <w:pStyle w:val="Compact"/>
      </w:pPr>
      <w:r>
        <w:t xml:space="preserve">International Committee for Coal and Organic Petrology (ICCP), 1998. The new vitrinite classification (ICCP System 1994).</w:t>
      </w:r>
      <w:r>
        <w:t xml:space="preserve"> </w:t>
      </w:r>
      <w:r>
        <w:rPr>
          <w:iCs/>
          <w:i/>
        </w:rPr>
        <w:t xml:space="preserve">Fuel</w:t>
      </w:r>
      <w:r>
        <w:t xml:space="preserve">, 77, 349–358.</w:t>
      </w:r>
    </w:p>
    <w:p>
      <w:pPr>
        <w:numPr>
          <w:ilvl w:val="0"/>
          <w:numId w:val="1009"/>
        </w:numPr>
        <w:pStyle w:val="Compact"/>
      </w:pPr>
      <w:r>
        <w:t xml:space="preserve">ICCP, 2001. The new inertinite classification (ICCP System 1994).</w:t>
      </w:r>
      <w:r>
        <w:t xml:space="preserve"> </w:t>
      </w:r>
      <w:r>
        <w:rPr>
          <w:iCs/>
          <w:i/>
        </w:rPr>
        <w:t xml:space="preserve">Fuel</w:t>
      </w:r>
      <w:r>
        <w:t xml:space="preserve">, 80, 459–471.</w:t>
      </w:r>
    </w:p>
    <w:p>
      <w:pPr>
        <w:numPr>
          <w:ilvl w:val="0"/>
          <w:numId w:val="1009"/>
        </w:numPr>
        <w:pStyle w:val="Compact"/>
      </w:pPr>
      <w:r>
        <w:t xml:space="preserve">Imam, M. B., and Hussain, M., 2002. A review of hydrocarbon habitat in Bangladesh.</w:t>
      </w:r>
      <w:r>
        <w:t xml:space="preserve"> </w:t>
      </w:r>
      <w:r>
        <w:rPr>
          <w:iCs/>
          <w:i/>
        </w:rPr>
        <w:t xml:space="preserve">Journal of Petroleum Geology</w:t>
      </w:r>
      <w:r>
        <w:t xml:space="preserve">, 25(2), 221–236.</w:t>
      </w:r>
    </w:p>
    <w:p>
      <w:pPr>
        <w:numPr>
          <w:ilvl w:val="0"/>
          <w:numId w:val="1009"/>
        </w:numPr>
        <w:pStyle w:val="Compact"/>
      </w:pPr>
      <w:r>
        <w:t xml:space="preserve">Johnson, S. Y., and Alam, A. M. N., 1991. Sedimentation and tectonics of the Sylhet trough, Bangladesh.</w:t>
      </w:r>
      <w:r>
        <w:t xml:space="preserve"> </w:t>
      </w:r>
      <w:r>
        <w:rPr>
          <w:iCs/>
          <w:i/>
        </w:rPr>
        <w:t xml:space="preserve">Geological Society of America Bulletin</w:t>
      </w:r>
      <w:r>
        <w:t xml:space="preserve">, 103, 1513–1527.</w:t>
      </w:r>
    </w:p>
    <w:p>
      <w:pPr>
        <w:numPr>
          <w:ilvl w:val="0"/>
          <w:numId w:val="1009"/>
        </w:numPr>
        <w:pStyle w:val="Compact"/>
      </w:pPr>
      <w:r>
        <w:t xml:space="preserve">Khan, F. H., 1991.</w:t>
      </w:r>
      <w:r>
        <w:t xml:space="preserve"> </w:t>
      </w:r>
      <w:r>
        <w:rPr>
          <w:iCs/>
          <w:i/>
        </w:rPr>
        <w:t xml:space="preserve">Geology of Bangladesh</w:t>
      </w:r>
      <w:r>
        <w:t xml:space="preserve">. The University Press Limited, Dhaka.</w:t>
      </w:r>
    </w:p>
    <w:p>
      <w:pPr>
        <w:numPr>
          <w:ilvl w:val="0"/>
          <w:numId w:val="1009"/>
        </w:numPr>
        <w:pStyle w:val="Compact"/>
      </w:pPr>
      <w:r>
        <w:t xml:space="preserve">Lafargue, E., Marquis, F., and Pillot, D., 1998. Rock-Eval 6 applications in hydrocarbon exploration, production, and soil contamination studies.</w:t>
      </w:r>
      <w:r>
        <w:t xml:space="preserve"> </w:t>
      </w:r>
      <w:r>
        <w:rPr>
          <w:iCs/>
          <w:i/>
        </w:rPr>
        <w:t xml:space="preserve">Revue de l'Institut Français du Pétrole</w:t>
      </w:r>
      <w:r>
        <w:t xml:space="preserve">, 53(4), 421–437.</w:t>
      </w:r>
    </w:p>
    <w:p>
      <w:pPr>
        <w:numPr>
          <w:ilvl w:val="0"/>
          <w:numId w:val="1009"/>
        </w:numPr>
        <w:pStyle w:val="Compact"/>
      </w:pPr>
      <w:r>
        <w:t xml:space="preserve">Langford, F. F., and Blanc-Valleron, M.-M., 1990. Interpreting Rock-Eval pyrolysis data using graphs of pyrolizable hydrocarbons vs. total organic carbon.</w:t>
      </w:r>
      <w:r>
        <w:t xml:space="preserve"> </w:t>
      </w:r>
      <w:r>
        <w:rPr>
          <w:iCs/>
          <w:i/>
        </w:rPr>
        <w:t xml:space="preserve">AAPG Bulletin</w:t>
      </w:r>
      <w:r>
        <w:t xml:space="preserve">, 74(6), 799–804.</w:t>
      </w:r>
    </w:p>
    <w:p>
      <w:pPr>
        <w:numPr>
          <w:ilvl w:val="0"/>
          <w:numId w:val="1009"/>
        </w:numPr>
        <w:pStyle w:val="Compact"/>
      </w:pPr>
      <w:r>
        <w:t xml:space="preserve">Magoon, L. B., and Dow, W. G. (eds), 1994.</w:t>
      </w:r>
      <w:r>
        <w:t xml:space="preserve"> </w:t>
      </w:r>
      <w:r>
        <w:rPr>
          <w:iCs/>
          <w:i/>
        </w:rPr>
        <w:t xml:space="preserve">The Petroleum System: From Source to Trap</w:t>
      </w:r>
      <w:r>
        <w:t xml:space="preserve">. AAPG Memoir 60.</w:t>
      </w:r>
    </w:p>
    <w:p>
      <w:pPr>
        <w:numPr>
          <w:ilvl w:val="0"/>
          <w:numId w:val="1009"/>
        </w:numPr>
        <w:pStyle w:val="Compact"/>
      </w:pPr>
      <w:r>
        <w:t xml:space="preserve">Peters, K. E., 1986. Guidelines for evaluating petroleum source rock using programmed pyrolysis.</w:t>
      </w:r>
      <w:r>
        <w:t xml:space="preserve"> </w:t>
      </w:r>
      <w:r>
        <w:rPr>
          <w:iCs/>
          <w:i/>
        </w:rPr>
        <w:t xml:space="preserve">AAPG Bulletin</w:t>
      </w:r>
      <w:r>
        <w:t xml:space="preserve">, 70(3), 318–329.</w:t>
      </w:r>
    </w:p>
    <w:p>
      <w:pPr>
        <w:numPr>
          <w:ilvl w:val="0"/>
          <w:numId w:val="1009"/>
        </w:numPr>
        <w:pStyle w:val="Compact"/>
      </w:pPr>
      <w:r>
        <w:t xml:space="preserve">Peters, K. E., and Cassa, M. R., 1994. Applied source rock geochemistry. In: Magoon, L. B., and Dow, W. G. (eds),</w:t>
      </w:r>
      <w:r>
        <w:t xml:space="preserve"> </w:t>
      </w:r>
      <w:r>
        <w:rPr>
          <w:iCs/>
          <w:i/>
        </w:rPr>
        <w:t xml:space="preserve">The Petroleum System: From Source to Trap</w:t>
      </w:r>
      <w:r>
        <w:t xml:space="preserve">. AAPG Memoir 60, 93–120.</w:t>
      </w:r>
    </w:p>
    <w:p>
      <w:pPr>
        <w:numPr>
          <w:ilvl w:val="0"/>
          <w:numId w:val="1009"/>
        </w:numPr>
        <w:pStyle w:val="Compact"/>
      </w:pPr>
      <w:r>
        <w:t xml:space="preserve">Peters, K. E., Walters, C. C., and Moldowan, J. M., 2005.</w:t>
      </w:r>
      <w:r>
        <w:t xml:space="preserve"> </w:t>
      </w:r>
      <w:r>
        <w:rPr>
          <w:iCs/>
          <w:i/>
        </w:rPr>
        <w:t xml:space="preserve">The Biomarker Guide</w:t>
      </w:r>
      <w:r>
        <w:t xml:space="preserve"> </w:t>
      </w:r>
      <w:r>
        <w:t xml:space="preserve">(2nd ed.). Cambridge University Press.</w:t>
      </w:r>
    </w:p>
    <w:p>
      <w:pPr>
        <w:numPr>
          <w:ilvl w:val="0"/>
          <w:numId w:val="1009"/>
        </w:numPr>
        <w:pStyle w:val="Compact"/>
      </w:pPr>
      <w:r>
        <w:t xml:space="preserve">Petersen, H. I., 2006. The petroleum generation potential and effective oil window of humic coals related to coal composition and age.</w:t>
      </w:r>
      <w:r>
        <w:t xml:space="preserve"> </w:t>
      </w:r>
      <w:r>
        <w:rPr>
          <w:iCs/>
          <w:i/>
        </w:rPr>
        <w:t xml:space="preserve">International Journal of Coal Geology</w:t>
      </w:r>
      <w:r>
        <w:t xml:space="preserve">, 67, 221–248.</w:t>
      </w:r>
    </w:p>
    <w:p>
      <w:pPr>
        <w:numPr>
          <w:ilvl w:val="0"/>
          <w:numId w:val="1009"/>
        </w:numPr>
        <w:pStyle w:val="Compact"/>
      </w:pPr>
      <w:r>
        <w:t xml:space="preserve">Reimann, K.-U., 1993.</w:t>
      </w:r>
      <w:r>
        <w:t xml:space="preserve"> </w:t>
      </w:r>
      <w:r>
        <w:rPr>
          <w:iCs/>
          <w:i/>
        </w:rPr>
        <w:t xml:space="preserve">Geology of Bangladesh</w:t>
      </w:r>
      <w:r>
        <w:t xml:space="preserve">. Gebrüder Borntraeger, Berlin.</w:t>
      </w:r>
    </w:p>
    <w:p>
      <w:pPr>
        <w:numPr>
          <w:ilvl w:val="0"/>
          <w:numId w:val="1009"/>
        </w:numPr>
        <w:pStyle w:val="Compact"/>
      </w:pPr>
      <w:r>
        <w:t xml:space="preserve">Shamsuddin, A. H. M., and Abdullah, S. K. M., 1997. Geologic evolution of the Bengal Basin and its implication in hydrocarbon exploration in Bangladesh.</w:t>
      </w:r>
      <w:r>
        <w:t xml:space="preserve"> </w:t>
      </w:r>
      <w:r>
        <w:rPr>
          <w:iCs/>
          <w:i/>
        </w:rPr>
        <w:t xml:space="preserve">Indian Journal of Geology</w:t>
      </w:r>
      <w:r>
        <w:t xml:space="preserve">, 69(2), 93–121.</w:t>
      </w:r>
    </w:p>
    <w:p>
      <w:pPr>
        <w:numPr>
          <w:ilvl w:val="0"/>
          <w:numId w:val="1009"/>
        </w:numPr>
        <w:pStyle w:val="Compact"/>
      </w:pPr>
      <w:r>
        <w:t xml:space="preserve">Sweeney, J. J., and Burnham, A. K., 1990. Evaluation of a simple model of vitrinite reflectance based on chemical kinetics.</w:t>
      </w:r>
      <w:r>
        <w:t xml:space="preserve"> </w:t>
      </w:r>
      <w:r>
        <w:rPr>
          <w:iCs/>
          <w:i/>
        </w:rPr>
        <w:t xml:space="preserve">AAPG Bulletin</w:t>
      </w:r>
      <w:r>
        <w:t xml:space="preserve">, 74(10), 1559–1570.</w:t>
      </w:r>
    </w:p>
    <w:p>
      <w:pPr>
        <w:numPr>
          <w:ilvl w:val="0"/>
          <w:numId w:val="1009"/>
        </w:numPr>
        <w:pStyle w:val="Compact"/>
      </w:pPr>
      <w:r>
        <w:t xml:space="preserve">Tissot, B. P., and Welte, D. H., 1984.</w:t>
      </w:r>
      <w:r>
        <w:t xml:space="preserve"> </w:t>
      </w:r>
      <w:r>
        <w:rPr>
          <w:iCs/>
          <w:i/>
        </w:rPr>
        <w:t xml:space="preserve">Petroleum Formation and Occurrence</w:t>
      </w:r>
      <w:r>
        <w:t xml:space="preserve"> </w:t>
      </w:r>
      <w:r>
        <w:t xml:space="preserve">(2nd ed.). Springer-Verlag.</w:t>
      </w:r>
    </w:p>
    <w:p>
      <w:pPr>
        <w:numPr>
          <w:ilvl w:val="0"/>
          <w:numId w:val="1009"/>
        </w:numPr>
        <w:pStyle w:val="Compact"/>
      </w:pPr>
      <w:r>
        <w:t xml:space="preserve">Uddin, A., and Lundberg, N., 1998. Unroofing history of the eastern Himalaya and the Indo-Burman ranges: heavy-mineral study of Cenozoic sediments from the Bengal Basin, Bangladesh.</w:t>
      </w:r>
      <w:r>
        <w:t xml:space="preserve"> </w:t>
      </w:r>
      <w:r>
        <w:rPr>
          <w:iCs/>
          <w:i/>
        </w:rPr>
        <w:t xml:space="preserve">Journal of Sedimentary Research</w:t>
      </w:r>
      <w:r>
        <w:t xml:space="preserve">, 68(3), 465–472.</w:t>
      </w:r>
    </w:p>
    <w:p>
      <w:pPr>
        <w:numPr>
          <w:ilvl w:val="0"/>
          <w:numId w:val="1009"/>
        </w:numPr>
        <w:pStyle w:val="Compact"/>
      </w:pPr>
      <w:r>
        <w:t xml:space="preserve">Wandrey, C. J., 2004. Sylhet-Kopili/Barail-Tipam composite total petroleum system, Assam Geologic Province, India.</w:t>
      </w:r>
      <w:r>
        <w:t xml:space="preserve"> </w:t>
      </w:r>
      <w:r>
        <w:rPr>
          <w:iCs/>
          <w:i/>
        </w:rPr>
        <w:t xml:space="preserve">USGS Bulletin</w:t>
      </w:r>
      <w:r>
        <w:t xml:space="preserve"> </w:t>
      </w:r>
      <w:r>
        <w:t xml:space="preserve">2208-D.</w:t>
      </w:r>
    </w:p>
    <w:p>
      <w:pPr>
        <w:numPr>
          <w:ilvl w:val="0"/>
          <w:numId w:val="1009"/>
        </w:numPr>
        <w:pStyle w:val="Compact"/>
      </w:pPr>
      <w:r>
        <w:t xml:space="preserve">Waples, D. W., 1980. Time and temperature in petroleum formation: application of Lopatin’s method to petroleum exploration.</w:t>
      </w:r>
      <w:r>
        <w:t xml:space="preserve"> </w:t>
      </w:r>
      <w:r>
        <w:rPr>
          <w:iCs/>
          <w:i/>
        </w:rPr>
        <w:t xml:space="preserve">AAPG Bulletin</w:t>
      </w:r>
      <w:r>
        <w:t xml:space="preserve">, 64(6), 916–926.</w:t>
      </w:r>
    </w:p>
    <w:p>
      <w:pPr>
        <w:numPr>
          <w:ilvl w:val="0"/>
          <w:numId w:val="1009"/>
        </w:numPr>
        <w:pStyle w:val="Compact"/>
      </w:pPr>
      <w:r>
        <w:t xml:space="preserve">Wilkins, R. W. T., and George, S. C., 2002. Coal as a source rock for oil: a review.</w:t>
      </w:r>
      <w:r>
        <w:t xml:space="preserve"> </w:t>
      </w:r>
      <w:r>
        <w:rPr>
          <w:iCs/>
          <w:i/>
        </w:rPr>
        <w:t xml:space="preserve">International Journal of Coal Geology</w:t>
      </w:r>
      <w:r>
        <w:t xml:space="preserve">, 50, 317–361.</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etd.auburn.edu/handle/10415/5386" TargetMode="External" /><Relationship Type="http://schemas.openxmlformats.org/officeDocument/2006/relationships/hyperlink" Id="rId28" Target="https://knova.um.edu.my/student_works_2010s/1607/" TargetMode="External" /><Relationship Type="http://schemas.openxmlformats.org/officeDocument/2006/relationships/hyperlink" Id="rId31" Target="https://pubs.usgs.gov/publication/b2208D" TargetMode="External" /><Relationship Type="http://schemas.openxmlformats.org/officeDocument/2006/relationships/hyperlink" Id="rId29" Target="https://ukm.my/jsm/english_journals/vol44num4_2015/vol44num4_2015p571-579.html" TargetMode="External" /><Relationship Type="http://schemas.openxmlformats.org/officeDocument/2006/relationships/hyperlink" Id="rId26" Target="https://www.banglajol.info/index.php/DUJEES/article/download/79462/52376/219494" TargetMode="External" /><Relationship Type="http://schemas.openxmlformats.org/officeDocument/2006/relationships/hyperlink" Id="rId32" Target="https://www.inderscience.com/offer.php?id=95557" TargetMode="External" /><Relationship Type="http://schemas.openxmlformats.org/officeDocument/2006/relationships/hyperlink" Id="rId23" Target="https://www.searchanddiscovery.com/abstracts/html/2019/grants-in-aid-90351/abstracts/2123.html" TargetMode="External" /></Relationships>
</file>

<file path=word/_rels/footnotes.xml.rels><?xml version="1.0" encoding="UTF-8"?><Relationships xmlns="http://schemas.openxmlformats.org/package/2006/relationships"><Relationship Type="http://schemas.openxmlformats.org/officeDocument/2006/relationships/hyperlink" Id="rId27" Target="https://etd.auburn.edu/handle/10415/5386" TargetMode="External" /><Relationship Type="http://schemas.openxmlformats.org/officeDocument/2006/relationships/hyperlink" Id="rId28" Target="https://knova.um.edu.my/student_works_2010s/1607/" TargetMode="External" /><Relationship Type="http://schemas.openxmlformats.org/officeDocument/2006/relationships/hyperlink" Id="rId31" Target="https://pubs.usgs.gov/publication/b2208D" TargetMode="External" /><Relationship Type="http://schemas.openxmlformats.org/officeDocument/2006/relationships/hyperlink" Id="rId29" Target="https://ukm.my/jsm/english_journals/vol44num4_2015/vol44num4_2015p571-579.html" TargetMode="External" /><Relationship Type="http://schemas.openxmlformats.org/officeDocument/2006/relationships/hyperlink" Id="rId26" Target="https://www.banglajol.info/index.php/DUJEES/article/download/79462/52376/219494" TargetMode="External" /><Relationship Type="http://schemas.openxmlformats.org/officeDocument/2006/relationships/hyperlink" Id="rId32" Target="https://www.inderscience.com/offer.php?id=95557" TargetMode="External" /><Relationship Type="http://schemas.openxmlformats.org/officeDocument/2006/relationships/hyperlink" Id="rId23" Target="https://www.searchanddiscovery.com/abstracts/html/2019/grants-in-aid-90351/abstracts/212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2026-10-08T02:32:20Z</dcterms:created>
  <dcterms:modified xsi:type="dcterms:W3CDTF">2026-10-08T02:32:20Z</dcterms:modified>
</cp:coreProperties>
</file>

<file path=docProps/custom.xml><?xml version="1.0" encoding="utf-8"?>
<Properties xmlns="http://schemas.openxmlformats.org/officeDocument/2006/custom-properties" xmlns:vt="http://schemas.openxmlformats.org/officeDocument/2006/docPropsVTypes"/>
</file>