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Propuesta de arquitectura para la gestión de áreas verdes del campus PUCP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Proyecto DP2 · Grupo 12 · Versión 0.2 · 22 de septiembre de 2026</w:t>
      </w:r>
    </w:p>
    <w:p w:rsidR="00000000" w:rsidDel="00000000" w:rsidP="00000000" w:rsidRDefault="00000000" w:rsidRPr="00000000" w14:paraId="00000003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1 Decisión de arquitectura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Se propone una aplicación web progresiva (PWA) para campo y oficina, un backend monolítico modular en Go con Gin y GORM, PostgreSQL y almacenamiento privado de objetos. Una sola aplicación concentra las reglas de negocio y se despliega en la nube. La PWA conserva labores, riego y fotos sin conexión y los sincroniza al recuperar la conectividad.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La solución centraliza información hoy dispersa en Excel, Drive, correo y WhatsApp. El MVP comienza con tres capataces y los perfiles de oficina; los operarios figuran como participantes sin cuenta obligatoria. Campus Pando es el ámbito principal: las ubicaciones se parametrizan sin incorporar gestión multicampus. [F2; F5; F6; F7, CC-002 y CC-006]</w:t>
      </w:r>
    </w:p>
    <w:p w:rsidR="00000000" w:rsidDel="00000000" w:rsidP="00000000" w:rsidRDefault="00000000" w:rsidRPr="00000000" w14:paraId="00000006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Alcance funcional</w:t>
      </w:r>
    </w:p>
    <w:p w:rsidR="00000000" w:rsidDel="00000000" w:rsidP="00000000" w:rsidRDefault="00000000" w:rsidRPr="00000000" w14:paraId="00000007">
      <w:pPr>
        <w:jc w:val="left"/>
        <w:rPr/>
      </w:pPr>
      <w:sdt>
        <w:sdtPr>
          <w:id w:val="1216880336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Las cuatro actividades iniciales son ejes generales. Clase y tipo de actividad serán configurables e incluirán riego, propagación, plantación, rehabilitación y residuos vegetales asociados a las labores. Se incorporan solicitudes e incidencias, ejecución propia o tercerizada, avances de varios días, consumos, evidencias y reportes. El riego por sector, turno y ciclo forma parte del MVP. [F3; F5; F8, RF-08–12 y RF-26]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sdt>
        <w:sdtPr>
          <w:id w:val="2025625840"/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  <w:t xml:space="preserve">La sección registra solicitudes de Centuria, matrices OSG y correo; conserva sus códigos externos sin generarlos. Si se requiere tercerización, la atención sigue En proceso durante la contratación y espera de ejecución. Solo se cierra tras ejecutar y validar la atención. Logística tramita las órdenes; la sección carga documentos y conformidades. Acceso de proveedores: evolución. [F7, CC-003–005; F8, RF-16, 27–28]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Límites que mantienen simple la solución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  <w:t xml:space="preserve">Se propone resolver el seguimiento mediante consultas periódicas del panel y los reportes mediante consultas a PostgreSQL. No se justifican inicialmente microservicios, Kubernetes, Redis, un bus de eventos o una plataforma BI separada. La división en módulos permite ordenar el código sin añadir despliegues.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  <w:t xml:space="preserve">Riego y rehabilitación reutilizan el registro de actividades. Los residuos se registran cuando forman parte de una intervención; quedan fuera la gestión integral de residuos y el zoocriadero. La solución no controla válvulas ni requiere IoT. IA, mapas e identidad institucional mantienen sus decisiones de integración pendientes. [F5; F6; F8]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2 Diagrama de arquitectura</w:t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  <w:t xml:space="preserve">Vista de contenedores C4 coherente con las cuatro vistas del archivo Arquitectura_C4_Areas_Verdes_PUCP.drawio. Las reglas y módulos comparten un único backend; PostgreSQL y los objetos privados persisten fuera del proceso de aplicación. [T1]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6400800" cy="4544414"/>
            <wp:effectExtent b="0" l="0" r="0" t="0"/>
            <wp:docPr descr="Vista de contenedores: usuarios, PWA React, IndexedDB, backend Go Gin GORM, PostgreSQL y archivos privados." id="2" name="image1.png"/>
            <a:graphic>
              <a:graphicData uri="http://schemas.openxmlformats.org/drawingml/2006/picture">
                <pic:pic>
                  <pic:nvPicPr>
                    <pic:cNvPr descr="Vista de contenedores: usuarios, PWA React, IndexedDB, backend Go Gin GORM, PostgreSQL y archivos privados.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44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Figura 1. Vista resumida de contenedores con Go, Gin y GORM. Flechas: uso o acceso; respuestas omitidas. Elaboración propia a partir de F2, F4, F5 y F8.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  <w:t xml:space="preserve">Frontend y API se publican bajo el mismo dominio. La API valida permisos y accede a los datos centrales. IndexedDB conserva registros, catálogos y fotos locales; PostgreSQL guarda los registros confirmados. El almacén de objetos puede implementarse con un bucket privado de Amazon S3, sujeto a la elección de infraestructura.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  <w:t xml:space="preserve">Integraciones pendientes: IA con caso de uso por validar. Centuria, correo, matrices y documentos de proveedores se ingresan manualmente. Ninguna integración externa es necesaria para guardar una labor offline.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3 Módulos y organización de datos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  <w:t xml:space="preserve">El backend organiza handlers y middleware Gin, servicios de aplicación por módulo y acceso a PostgreSQL con GORM. Los servicios contienen las reglas; los handlers validan y traducen HTTP. Las llamadas son internas al proceso y las operaciones relacionadas usan una transacción explícita. RNF-08 se resuelve mediante paquetes, sin añadir despliegues. [F8; T4; T5]</w:t>
      </w:r>
    </w:p>
    <w:tbl>
      <w:tblPr>
        <w:tblStyle w:val="Table1"/>
        <w:tblW w:w="1008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016"/>
        <w:gridCol w:w="5616"/>
        <w:gridCol w:w="2448"/>
        <w:tblGridChange w:id="0">
          <w:tblGrid>
            <w:gridCol w:w="2016"/>
            <w:gridCol w:w="5616"/>
            <w:gridCol w:w="2448"/>
          </w:tblGrid>
        </w:tblGridChange>
      </w:tblGrid>
      <w:tr>
        <w:trPr>
          <w:cantSplit w:val="1"/>
          <w:tblHeader w:val="1"/>
        </w:trPr>
        <w:tc>
          <w:tcPr>
            <w:shd w:fill="29465b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0" w:before="40" w:line="245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9465b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0" w:before="40" w:line="245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9465b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0" w:before="40" w:line="245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Accesos y catálogos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Usuarios, roles, permisos, clase/tipo de actividad, zonas, prioridades, estados y frecuencias.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RF-01–03, 06, 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6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Catastro e inventario</w:t>
            </w:r>
          </w:p>
        </w:tc>
        <w:tc>
          <w:tcPr>
            <w:shd w:fill="f3f5f6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Áreas y ejemplares progresivos, recodificación, coordenadas cuando existan e intercambio Excel.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6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RF-04–07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Operación y atención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Solicitudes, códigos externos, labores, avances, personal, consumos, riego, estados, evidencias y sincronización.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RF-08–12, 16, 19, 26, 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6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Servicios tercerizados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6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Proveedor, referencia de orden, periodo, ejecución, reporte y conformidad; carga por personal de la sección.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6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RF-13–15, 19</w:t>
              <w:br w:type="textWrapping"/>
              <w:t xml:space="preserve">RF-27 futuro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Seguimiento y reportes</w:t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Histórico, cobertura, personal, riego, solicitudes, desempeño y exportación. Caso de IA por validar.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RF-17–18, 20–23</w:t>
              <w:br w:type="textWrapping"/>
              <w:t xml:space="preserve">RF-25 por validar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Modelo relacional mínimo</w:t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  <w:t xml:space="preserve">Las ubicaciones, sectores y áreas organizan el catastro progresivo. Una solicitud conserva origen, referencias externas, prioridad, cantidades y estado; puede originar intervenciones propias o tercerizadas. Cada intervención usa un tipo de actividad y reúne avances por fecha, personal, consumos y evidencias. El riego añade sector, turno y ciclo; el servicio conserva proveedor, orden y conformidad. [F4; F5; F8]</w:t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  <w:t xml:space="preserve">Se propone separar Personal de Usuario: los operarios pueden figurar como participantes sin tener cuenta. Un identificador interno estable identifica al ejemplar; el código visible puede cambiar y su historial conserva los códigos anteriores. Así, recodificar no rompe la consulta histórica.</w:t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  <w:t xml:space="preserve">PostgreSQL guarda relaciones, metadatos y claves de objetos; el almacén privado guarda los archivos. La zona o lugar permite registrar sin coordenadas; el ejemplar y su georreferencia se completan progresivamente. El visor mostrará los datos disponibles. Mapas OSG, capas y ortofoto requieren acordar formatos y permisos; no se presupone un servidor GIS. [F6; F8, RNF-11]</w:t>
      </w:r>
    </w:p>
    <w:p w:rsidR="00000000" w:rsidDel="00000000" w:rsidP="00000000" w:rsidRDefault="00000000" w:rsidRPr="00000000" w14:paraId="0000002F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Reglas de integridad</w:t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  <w:t xml:space="preserve">Conservar códigos externos y el histórico de estados; registrar cantidades con unidad; separar fecha de ejecución y sincronización. Desactivar catálogos referenciados en vez de borrarlos. Las transiciones son configurables, pero el backend impide cerrar una atención sin ejecución completa: una orden de compra no equivale a trabajo realizado. La ficha de seguridad de poda se adjunta cuando corresponda.</w:t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4 Registro offline y sincronización</w:t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  <w:t xml:space="preserve">El modo offline cubre encargos y catálogos descargados, avances de labores, turnos de riego y fotografías. La gestión de solicitudes de oficina, administración, importación, conformidad y generación de reportes requieren conexión. Los pendientes y la última sincronización son visibles. [F2; F5; F8, RF-12 y RF-26]</w:t>
      </w:r>
    </w:p>
    <w:tbl>
      <w:tblPr>
        <w:tblStyle w:val="Table2"/>
        <w:tblW w:w="1008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72"/>
        <w:gridCol w:w="8208"/>
        <w:tblGridChange w:id="0">
          <w:tblGrid>
            <w:gridCol w:w="1872"/>
            <w:gridCol w:w="8208"/>
          </w:tblGrid>
        </w:tblGridChange>
      </w:tblGrid>
      <w:tr>
        <w:trPr>
          <w:cantSplit w:val="1"/>
          <w:tblHeader w:val="1"/>
        </w:trPr>
        <w:tc>
          <w:tcPr>
            <w:shd w:fill="29465b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="245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9465b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="245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Comportamiento propuesto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="245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Preparar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="245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Primer acceso conectado: autenticar, descargar interfaz, catálogos y tareas del usuario. Registrar la fecha de actualización local.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6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="245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Guardar localmente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6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="245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un UUID para la operación y otro por evidencia. Guardar formulario y fotos en IndexedDB; confirmar “Guardado en este equipo” solo tras completar la escritura.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="245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Enviar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="245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Reintentar al abrir la PWA, recuperar conexión o pulsar Sincronizar. Usar Background Sync cuando esté disponible. Mostrar pendientes y errores por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6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="245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Confirmar en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6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API valida identidad, permisos y datos. En una transacción GORM guarda el avance y el resultado de la operación. UNIQUE(usuario, operación) impide duplicados; el mismo UUID y contenido devuelve el resultado confirmado.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="245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Completar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="245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Enviar cada foto con su identificador y reintentar solo las pendientes. El registro puede indicar “Evidencias pendientes”; la interfaz muestra sincronización completa cuando todo está confirmado.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Conflictos y recuperación</w:t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  <w:t xml:space="preserve">Se priorizan altas de avances. Los catálogos se editan online. Al corregir un registro, el cliente envía su versión; si cambió, la API rechaza la sobrescritura y solicita revisión. Un UUID repetido con contenido distinto se rechaza. Los errores conservan el pendiente; una sesión vencida pausa el envío hasta autenticar al mismo usuario.</w:t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  <w:t xml:space="preserve">La consulta de datos usa network-first con copia local y fecha visible; las escrituras se guardan primero en IndexedDB. La interfaz instalada se conserva en caché. Background Sync es una ayuda, pues su disponibilidad depende del navegador; no debe ser el único mecanismo de envío. [T2]</w:t>
      </w:r>
    </w:p>
    <w:p w:rsidR="00000000" w:rsidDel="00000000" w:rsidP="00000000" w:rsidRDefault="00000000" w:rsidRPr="00000000" w14:paraId="00000044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Límite verificable de la promesa de conservación</w:t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  <w:t xml:space="preserve">RNF-01 y HU-07 deben verificarse ante cortes, reapertura, pérdida de respuesta y reintentos. IndexedDB no garantiza recuperación tras perder el celular o borrar sus datos. Se propone solicitar almacenamiento persistente, controlar espacio y tamaño de fotos y sincronizar al cierre de jornada. Un fallo local debe impedir mostrar el registro como guardado. [F3; F8; T3]</w:t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  <w:t xml:space="preserve">Los pendientes se separan por usuario en el dispositivo y no se eliminan automáticamente al cerrar sesión. Tras sincronizar, se purgan las copias locales conforme a la retención acordada; se evita mantener históricos completos en los celulares.</w:t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5 </w:t>
      </w:r>
      <w:r w:rsidDel="00000000" w:rsidR="00000000" w:rsidRPr="00000000">
        <w:rPr>
          <w:rtl w:val="0"/>
        </w:rPr>
        <w:t xml:space="preserve">Tecnología </w:t>
      </w:r>
      <w:r w:rsidDel="00000000" w:rsidR="00000000" w:rsidRPr="00000000">
        <w:rPr>
          <w:rtl w:val="0"/>
        </w:rPr>
        <w:t xml:space="preserve">y despliegue mínimo</w:t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  <w:t xml:space="preserve">El backend Go con Gin y GORM es una decisión confirmada del equipo. React y TypeScript se mantienen como propuesta para la PWA. El proveedor de hosting y almacenamiento se acordará con TI; elegir S3 no obliga a añadir otros servicios AWS.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584"/>
        <w:gridCol w:w="3456"/>
        <w:gridCol w:w="5040"/>
        <w:tblGridChange w:id="0">
          <w:tblGrid>
            <w:gridCol w:w="1584"/>
            <w:gridCol w:w="3456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9465b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="245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9465b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="245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Elección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9465b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="245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 y TypeScript como 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 interfaz para Android y oficina; captura simple, en español y sin 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6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6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 con Gin y GORM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6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Stack confirmado: handlers y middleware Gin, reglas por módulo y persistencia GORM.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Relaciones, restricciones y transacciones; histórico y códigos externos.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6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6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Objetos privados; Bucket S3 como 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6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Archivos independientes del despliegue; proveedor aún por confirmar.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backend en la nube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despliegue inicial; PostgreSQL y objetos persistentes. Alojamiento por acordar.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rtl w:val="0"/>
        </w:rPr>
        <w:t xml:space="preserve">Gin resuelve rutas, handlers y middleware; GORM gestiona la persistencia. El equipo debe implementar autenticación, permisos, auditoría y formularios de administración; no se presupone un panel administrativo generado. Las migraciones serán versionadas y las operaciones compuestas usarán transacciones explícitas de GORM. [T4; T5]</w:t>
      </w:r>
    </w:p>
    <w:p w:rsidR="00000000" w:rsidDel="00000000" w:rsidP="00000000" w:rsidRDefault="00000000" w:rsidRPr="00000000" w14:paraId="0000005E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Operación y seguridad</w:t>
      </w:r>
    </w:p>
    <w:p w:rsidR="00000000" w:rsidDel="00000000" w:rsidP="00000000" w:rsidRDefault="00000000" w:rsidRPr="00000000" w14:paraId="0000005F">
      <w:pPr>
        <w:jc w:val="left"/>
        <w:rPr/>
      </w:pPr>
      <w:r w:rsidDel="00000000" w:rsidR="00000000" w:rsidRPr="00000000">
        <w:rPr>
          <w:rtl w:val="0"/>
        </w:rPr>
        <w:t xml:space="preserve">Publicar frontend y API con HTTPS y mantener PostgreSQL sin acceso público. Validar permisos en cada operación. Se proponen sesiones con cookies Secure, HttpOnly y SameSite, protección CSRF y secretos fuera del código. El mecanismo final se acordará con TI; el MVP admite cuentas propias y deja SSO pendiente. [F8, RNF-03–04]</w:t>
      </w:r>
    </w:p>
    <w:p w:rsidR="00000000" w:rsidDel="00000000" w:rsidP="00000000" w:rsidRDefault="00000000" w:rsidRPr="00000000" w14:paraId="00000060">
      <w:pPr>
        <w:jc w:val="left"/>
        <w:rPr/>
      </w:pPr>
      <w:r w:rsidDel="00000000" w:rsidR="00000000" w:rsidRPr="00000000">
        <w:rPr>
          <w:rtl w:val="0"/>
        </w:rPr>
        <w:t xml:space="preserve">Validar tipo y tamaño de archivos, autorizar cargas y descargas y registrar las correcciones. Si se elige S3, usar un bucket privado con acceso público bloqueado y permisos mínimos; PostgreSQL conserva la clave, no el archivo. El MVP puede transferir archivos a través del backend; las URLs prefirmadas son una alternativa. Separar pruebas y producción. [T6]</w:t>
      </w:r>
    </w:p>
    <w:p w:rsidR="00000000" w:rsidDel="00000000" w:rsidP="00000000" w:rsidRDefault="00000000" w:rsidRPr="00000000" w14:paraId="00000061">
      <w:pPr>
        <w:jc w:val="left"/>
        <w:rPr/>
      </w:pPr>
      <w:r w:rsidDel="00000000" w:rsidR="00000000" w:rsidRPr="00000000">
        <w:rPr>
          <w:rtl w:val="0"/>
        </w:rPr>
        <w:t xml:space="preserve">Propuesta de recuperación: respaldo diario de PostgreSQL, protección/versionado de archivos y prueba de restauración antes del piloto. Esto puede implicar hasta un día de pérdida ante desastre; jefatura y TI deben acordar RPO y RTO. Designar responsable de hosting, copias, incidencias y entrega del sistema al finalizar el curso.</w:t>
      </w:r>
    </w:p>
    <w:p w:rsidR="00000000" w:rsidDel="00000000" w:rsidP="00000000" w:rsidRDefault="00000000" w:rsidRPr="00000000" w14:paraId="00000062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Rendimiento suficiente para el piloto</w:t>
      </w:r>
    </w:p>
    <w:p w:rsidR="00000000" w:rsidDel="00000000" w:rsidP="00000000" w:rsidRDefault="00000000" w:rsidRPr="00000000" w14:paraId="00000063">
      <w:pPr>
        <w:jc w:val="left"/>
        <w:rPr/>
      </w:pPr>
      <w:r w:rsidDel="00000000" w:rsidR="00000000" w:rsidRPr="00000000">
        <w:rPr>
          <w:rtl w:val="0"/>
        </w:rPr>
        <w:t xml:space="preserve">Se propone refrescar el panel cada 60 segundos mientras esté visible, con botón Actualizar y fecha de sincronización. Mostrar solo datos confirmados; usar filtros, paginación e índices por zona, fecha, solicitud y servicio. Las metas de respuesta se validarán con los dispositivos y volúmenes reales. [F8, RF-17 y RNF-07]</w:t>
      </w:r>
    </w:p>
    <w:p w:rsidR="00000000" w:rsidDel="00000000" w:rsidP="00000000" w:rsidRDefault="00000000" w:rsidRPr="00000000" w14:paraId="00000064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6 Reportes y entrega incremental</w:t>
      </w:r>
    </w:p>
    <w:p w:rsidR="00000000" w:rsidDel="00000000" w:rsidP="00000000" w:rsidRDefault="00000000" w:rsidRPr="00000000" w14:paraId="00000065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Reportes con datos comprobables</w:t>
      </w:r>
    </w:p>
    <w:p w:rsidR="00000000" w:rsidDel="00000000" w:rsidP="00000000" w:rsidRDefault="00000000" w:rsidRPr="00000000" w14:paraId="00000066">
      <w:pPr>
        <w:jc w:val="left"/>
        <w:rPr/>
      </w:pPr>
      <w:r w:rsidDel="00000000" w:rsidR="00000000" w:rsidRPr="00000000">
        <w:rPr>
          <w:rtl w:val="0"/>
        </w:rPr>
        <w:t xml:space="preserve">RF-20 exige reportes básico, intermedio y avanzado; jefatura debe precisar su contenido. Como propuesta: registro y personal por periodo; cobertura y solicitudes por sector; tendencias de cumplimiento y servicios. Los indicadores se calculan sobre datos confirmados y se exportan a PDF o Excel según prioridad. [F1; F8; F9]</w:t>
      </w:r>
    </w:p>
    <w:tbl>
      <w:tblPr>
        <w:tblStyle w:val="Table4"/>
        <w:tblW w:w="1008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376"/>
        <w:gridCol w:w="7704"/>
        <w:tblGridChange w:id="0">
          <w:tblGrid>
            <w:gridCol w:w="2376"/>
            <w:gridCol w:w="7704"/>
          </w:tblGrid>
        </w:tblGridChange>
      </w:tblGrid>
      <w:tr>
        <w:trPr>
          <w:cantSplit w:val="1"/>
          <w:tblHeader w:val="1"/>
        </w:trPr>
        <w:tc>
          <w:tcPr>
            <w:shd w:fill="29465b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before="40" w:line="245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Indicador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9465b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0" w:before="40" w:line="245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Datos necesarios y límite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Avance de atención y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Ejecución validada frente al alcance previsto. Distinguir cantidad solicitada y ejecutada; la emisión de una orden no demuestra cumplimiento ni habilita por sí sola el cierre.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6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before="40" w:line="245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Distribución de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6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before="40" w:line="245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Participantes por actividad, zona y jornada. Para calcular m² por persona-hora se requieren superficie ejecutada y horas efectivas; la cantidad de personas sola no mide productividad.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0" w:before="40" w:line="245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Cumplimiento del riego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Superficie atendida sin duplicación / superficie programada por ciclo. Si no hay metrados fiables, reportar zonas atendidas y pendientes sin llamarlo cobertura superficial. No equivale a ahorro de agua.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Inteligencia artificial pendiente de validación</w:t>
      </w:r>
    </w:p>
    <w:p w:rsidR="00000000" w:rsidDel="00000000" w:rsidP="00000000" w:rsidRDefault="00000000" w:rsidRPr="00000000" w14:paraId="00000071">
      <w:pPr>
        <w:jc w:val="left"/>
        <w:rPr/>
      </w:pPr>
      <w:sdt>
        <w:sdtPr>
          <w:id w:val="-588137500"/>
          <w:tag w:val="goog_rdk_2"/>
        </w:sdtPr>
        <w:sdtContent>
          <w:commentRangeStart w:id="2"/>
        </w:sdtContent>
      </w:sdt>
      <w:r w:rsidDel="00000000" w:rsidR="00000000" w:rsidRPr="00000000">
        <w:rPr>
          <w:rtl w:val="0"/>
        </w:rPr>
        <w:t xml:space="preserve">RF-25 conserva la necesidad académica de una capacidad de IA, pero el caso de uso y el proveedor no están seleccionados. Un resumen asistido de indicadores es una alternativa de bajo impacto, sujeta a validación. Debe incluir revisión humana y tratamiento de datos conforme a RNF-13. [F3, HU-20; F6; F8; F10]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/>
      </w:pPr>
      <w:r w:rsidDel="00000000" w:rsidR="00000000" w:rsidRPr="00000000">
        <w:rPr>
          <w:rtl w:val="0"/>
        </w:rPr>
        <w:t xml:space="preserve">La operación y los reportes convencionales deben funcionar sin IA. Si se valida el resumen, el backend enviará únicamente datos autorizados y agregados. No se incorpora infraestructura de entrenamiento, base vectorial ni agentes como parte de la arquitectura base.</w:t>
      </w:r>
    </w:p>
    <w:p w:rsidR="00000000" w:rsidDel="00000000" w:rsidP="00000000" w:rsidRDefault="00000000" w:rsidRPr="00000000" w14:paraId="00000073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Orden de implementación</w:t>
      </w:r>
    </w:p>
    <w:p w:rsidR="00000000" w:rsidDel="00000000" w:rsidP="00000000" w:rsidRDefault="00000000" w:rsidRPr="00000000" w14:paraId="00000074">
      <w:pPr>
        <w:jc w:val="left"/>
        <w:rPr/>
      </w:pPr>
      <w:r w:rsidDel="00000000" w:rsidR="00000000" w:rsidRPr="00000000">
        <w:rPr>
          <w:rtl w:val="0"/>
        </w:rPr>
        <w:t xml:space="preserve">1. Base operativa: accesos, catálogos de clase/tipo y ubicación, catastro progresivo, labores y riego por sector/turno/ciclo; implementar offline, evidencias e idempotencia desde el inicio.</w:t>
      </w:r>
    </w:p>
    <w:p w:rsidR="00000000" w:rsidDel="00000000" w:rsidP="00000000" w:rsidRDefault="00000000" w:rsidRPr="00000000" w14:paraId="00000075">
      <w:pPr>
        <w:jc w:val="left"/>
        <w:rPr/>
      </w:pPr>
      <w:r w:rsidDel="00000000" w:rsidR="00000000" w:rsidRPr="00000000">
        <w:rPr>
          <w:rtl w:val="0"/>
        </w:rPr>
        <w:t xml:space="preserve">2. Atención completa: solicitudes con códigos externos, prioridad, ejecución propia o tercerizada, estados y cierre; reportes de tres niveles y trazabilidad. Completar los requisitos imprescindibles del backlog.</w:t>
      </w:r>
    </w:p>
    <w:p w:rsidR="00000000" w:rsidDel="00000000" w:rsidP="00000000" w:rsidRDefault="00000000" w:rsidRPr="00000000" w14:paraId="00000076">
      <w:pPr>
        <w:jc w:val="left"/>
        <w:rPr/>
      </w:pPr>
      <w:r w:rsidDel="00000000" w:rsidR="00000000" w:rsidRPr="00000000">
        <w:rPr>
          <w:rtl w:val="0"/>
        </w:rPr>
        <w:t xml:space="preserve">3. Capacidades priorizadas: importación/exportación, indicadores y caso de IA validado. Mapas y SSO dependen de acuerdos. El acceso directo de proveedores permanece como evolución (RF-27 / CC-005).</w:t>
      </w:r>
    </w:p>
    <w:p w:rsidR="00000000" w:rsidDel="00000000" w:rsidP="00000000" w:rsidRDefault="00000000" w:rsidRPr="00000000" w14:paraId="00000077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Condiciones de aceptación</w:t>
      </w:r>
    </w:p>
    <w:p w:rsidR="00000000" w:rsidDel="00000000" w:rsidP="00000000" w:rsidRDefault="00000000" w:rsidRPr="00000000" w14:paraId="00000078">
      <w:pPr>
        <w:jc w:val="left"/>
        <w:rPr/>
      </w:pPr>
      <w:r w:rsidDel="00000000" w:rsidR="00000000" w:rsidRPr="00000000">
        <w:rPr>
          <w:rtl w:val="0"/>
        </w:rPr>
        <w:t xml:space="preserve">Verificar offline y reintentos sin duplicados, permisos, recodificación, preservación de códigos Centuria/OSG y cierre bloqueado sin ejecución. Comprobar cobertura de riego sin doble conteo y cifras con datos conocidos. Probar restauración y flujos críticos automatizados, además de uso en Android y escritorio. [F8, RNF-10]</w:t>
      </w:r>
    </w:p>
    <w:p w:rsidR="00000000" w:rsidDel="00000000" w:rsidP="00000000" w:rsidRDefault="00000000" w:rsidRPr="00000000" w14:paraId="00000079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7 Trazabilidad y decisiones pendientes</w:t>
      </w:r>
    </w:p>
    <w:p w:rsidR="00000000" w:rsidDel="00000000" w:rsidP="00000000" w:rsidRDefault="00000000" w:rsidRPr="00000000" w14:paraId="0000007B">
      <w:pPr>
        <w:jc w:val="left"/>
        <w:rPr/>
      </w:pPr>
      <w:r w:rsidDel="00000000" w:rsidR="00000000" w:rsidRPr="00000000">
        <w:rPr>
          <w:rtl w:val="0"/>
        </w:rPr>
        <w:t xml:space="preserve">La actualización se fundamenta en las diez fuentes siguientes. CC-001–004 y CC-006 aclaran el alcance vigente; CC-005 mantiene el acceso de proveedores como evolución. La ERS v0.2 y el backlog v0.2 orientan prioridades. La elección Go + Gin + GORM corresponde a la decisión posterior del equipo.</w:t>
      </w:r>
    </w:p>
    <w:tbl>
      <w:tblPr>
        <w:tblStyle w:val="Table5"/>
        <w:tblW w:w="1008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864"/>
        <w:gridCol w:w="9216"/>
        <w:tblGridChange w:id="0">
          <w:tblGrid>
            <w:gridCol w:w="864"/>
            <w:gridCol w:w="9216"/>
          </w:tblGrid>
        </w:tblGridChange>
      </w:tblGrid>
      <w:tr>
        <w:trPr>
          <w:cantSplit w:val="1"/>
          <w:tblHeader w:val="1"/>
        </w:trPr>
        <w:tc>
          <w:tcPr>
            <w:shd w:fill="29465b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before="40" w:line="245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9465b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before="40" w:line="245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Documento y aporte a la arquitectura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Propuesta de solución tecnológica para la gestión de áreas verdes del campus PUCP (PDF). Objetivos y alcance inicial, refinado por la segunda entrevista.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6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6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Personas User Journey User Flow v0.3. Tres capataces, oficina y captura offline con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Historias de Usuario v0.3. HU-01–22: riego en MVP y acceso de proveedores como evolución.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6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6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Glosario y Modelo de Dominio v0.2. Taxonomía, solicitudes, referencias, intervención y catastro.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Modelo de Procesos AS-IS TO-BE v0.3. Riego, atención hasta la ejecución y servicios especializados.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6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6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Acta y Hallazgos Segunda Entrevista v1.0. Aclaraciones operativas, catastro progresivo y alcance.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Proceso de Control de Cambios v0.2. CC-001–006 y decisiones confirmadas o pospuestas.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6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6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Especificación de Requisitos de Software v0.2. RF-01–28 y RNF-01–13; base funcional vigente.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Product Backlog v0.2. Prioridades y entrega incremental del alcance actualizado.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5f6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6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Estado del Arte Gestión Áreas Verdes v1.0. PWA offline, SIG e IA; sus cuatro ejes iniciales se amplían con F6–F8.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Acuerdos necesarios antes del piloto</w:t>
      </w:r>
    </w:p>
    <w:p w:rsidR="00000000" w:rsidDel="00000000" w:rsidP="00000000" w:rsidRDefault="00000000" w:rsidRPr="00000000" w14:paraId="00000094">
      <w:pPr>
        <w:jc w:val="left"/>
        <w:rPr/>
      </w:pPr>
      <w:r w:rsidDel="00000000" w:rsidR="00000000" w:rsidRPr="00000000">
        <w:rPr>
          <w:rtl w:val="0"/>
        </w:rPr>
        <w:t xml:space="preserve">Acordar campos, permisos, formatos de reporte y definición de cobertura por ciclo; con TI, hosting, presupuesto, SSO, retención y recuperación. Validar límites de fotos y almacenamiento offline. Precisar cómo se registra el avance tercerizado y qué datos/cartografía puede compartir OSG.</w:t>
      </w:r>
    </w:p>
    <w:p w:rsidR="00000000" w:rsidDel="00000000" w:rsidP="00000000" w:rsidRDefault="00000000" w:rsidRPr="00000000" w14:paraId="00000095">
      <w:pPr>
        <w:jc w:val="left"/>
        <w:rPr/>
      </w:pPr>
      <w:r w:rsidDel="00000000" w:rsidR="00000000" w:rsidRPr="00000000">
        <w:rPr>
          <w:rtl w:val="0"/>
        </w:rPr>
        <w:t xml:space="preserve">Alinear los criterios de catastro con su construcción progresiva: permitir zona/lugar sin GPS al registrar. Validar la taxonomía, las fichas de seguridad y los estados, manteniendo la regla de cierre tras ejecución. El riego y la rehabilitación ya pertenecen al alcance; el caso de IA y el acceso de proveedores no deben asumirse aprobados.</w:t>
      </w:r>
    </w:p>
    <w:p w:rsidR="00000000" w:rsidDel="00000000" w:rsidP="00000000" w:rsidRDefault="00000000" w:rsidRPr="00000000" w14:paraId="00000096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Referencias técnicas complementarias</w:t>
      </w:r>
    </w:p>
    <w:p w:rsidR="00000000" w:rsidDel="00000000" w:rsidP="00000000" w:rsidRDefault="00000000" w:rsidRPr="00000000" w14:paraId="00000097">
      <w:pPr>
        <w:spacing w:after="60" w:lineRule="auto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T1  C4 Model · Container diagram · https://c4model.com/diagrams/container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lineRule="auto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T2  MDN · Background Sync · https://developer.mozilla.org/en-US/docs/Web/API/Background_Synchronization_API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lineRule="auto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T3  MDN · Storage quotas · https://developer.mozilla.org/en-US/docs/Web/API/Storage_API/Storage_quotas_and_eviction_criteria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lineRule="auto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T4  Gin · Documentación · https://gin-gonic.com/en/docs/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lineRule="auto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T5  GORM · Transacciones · https://gorm.io/docs/transactions.html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lineRule="auto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T6  Amazon S3 · Almacenamiento privado · https://docs.aws.amazon.com/AmazonS3/latest/userguide/Welcome.html</w:t>
      </w: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936" w:top="936" w:left="1080" w:right="1080" w:header="360" w:footer="432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OSUE DANIEL ALTAMIRANO MENDIOLA" w:id="0" w:date="2026-09-22T04:26:39Z"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Actualizado con la segunda entrevista y CC-001: riego y taxonomía ampliada forman parte del alcance.</w:t>
      </w:r>
    </w:p>
  </w:comment>
  <w:comment w:author="Revisión de arquitectura" w:id="1" w:date="2026-09-22T04:16:31Z"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RF-16 vigente controla estados y cierre tras ejecución; CC-005 pospone el acceso directo de proveedores.</w:t>
      </w:r>
    </w:p>
  </w:comment>
  <w:comment w:author="Revisión de arquitectura" w:id="2" w:date="2026-09-22T04:16:31Z"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resumen asistido es una alternativa, no un caso de IA ya aprobado.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9E" w15:done="0"/>
  <w15:commentEx w15:paraId="0000009F" w15:done="0"/>
  <w15:commentEx w15:paraId="000000A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Áreas verdes PUCP  |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40" w:line="257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Rule="auto"/>
    </w:pPr>
    <w:rPr>
      <w:rFonts w:ascii="Calibri" w:cs="Calibri" w:eastAsia="Calibri" w:hAnsi="Calibri"/>
      <w:b w:val="1"/>
      <w:bCs w:val="1"/>
      <w:color w:val="000000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200" w:line="240" w:lineRule="auto"/>
    </w:pPr>
    <w:rPr>
      <w:rFonts w:ascii="Calibri" w:cs="Calibri" w:eastAsia="Calibri" w:hAnsi="Calibri"/>
      <w:b w:val="1"/>
      <w:bCs w:val="1"/>
      <w:color w:val="000000"/>
      <w:sz w:val="50"/>
      <w:szCs w:val="5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rFonts w:ascii="Calibri" w:hAnsi="Calibri"/>
      <w:b w:val="1"/>
      <w:bCs w:val="1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00000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GVTdZ21p1SU3dvnO15NsghqBqg==">CgMxLjAaJwoBMBIiCiAIBCocCgtBQUFDSGNXWkhxcxAIGgtBQUFDSGNXWkhxcxonCgExEiIKIAgEKhwKC0FBQUNIY1daSHFjEAgaC0FBQUNIY1daSHFjGicKATISIgogCAQqHAoLQUFBQ0hjV1pIcWsQCBoLQUFBQ0hjV1pIcWsipAcKC0FBQUNIY1daSHFzEvQGCgtBQUFDSGNXWkhxcxILQUFBQ0hjV1pIcXMacgoJdGV4dC9odG1sEmVBY3R1YWxpemFkbyBjb24gbGEgc2VndW5kYSBlbnRyZXZpc3RhIHkgQ0MtMDAxOiByaWVnbyB5IHRheG9ub23DrWEgYW1wbGlhZGEgZm9ybWFuIHBhcnRlIGRlbCBhbGNhbmNlLiJzCgp0ZXh0L3BsYWluEmVBY3R1YWxpemFkbyBjb24gbGEgc2VndW5kYSBlbnRyZXZpc3RhIHkgQ0MtMDAxOiByaWVnbyB5IHRheG9ub23DrWEgYW1wbGlhZGEgZm9ybWFuIHBhcnRlIGRlbCBhbGNhbmNlLiobIhUxMTIzOTM2MTQ4MDg2NzIyMjUyMTkoADgAMLnT9rqMNDi50/a6jDRKvAMKCnRleHQvcGxhaW4SrQNMYXMgY3VhdHJvIGFjdGl2aWRhZGVzIGluaWNpYWxlcyBzb24gZWplcyBnZW5lcmFsZXMuIENsYXNlIHkgdGlwbyBkZSBhY3RpdmlkYWQgc2Vyw6FuIGNvbmZpZ3VyYWJsZXMgZSBpbmNsdWlyw6FuIHJpZWdvLCBwcm9wYWdhY2nDs24sIHBsYW50YWNpw7NuLCByZWhhYmlsaXRhY2nDs24geSByZXNpZHVvcyB2ZWdldGFsZXMgYXNvY2lhZG9zIGEgbGFzIGxhYm9yZXMuIFNlIGluY29ycG9yYW4gc29saWNpdHVkZXMgZSBpbmNpZGVuY2lhcywgZWplY3VjacOzbiBwcm9waWEgbyB0ZXJjZXJpemFkYSwgYXZhbmNlcyBkZSB2YXJpb3MgZMOtYXMsIGNvbnN1bW9zLCBldmlkZW5jaWFzIHkgcmVwb3J0ZXMuIEVsIHJpZWdvIHBvciBzZWN0b3IsIHR1cm5vIHkgY2ljbG8gZm9ybWEgcGFydGUgZGVsIE1WUC4gW0YzOyBGNTsgRjgsIFJGLTA44oCTMTIgeSBSRi0yNl1aDGYzZno0ZWRtbDNnc3ICIAB4AJoBBggAEAAYAKoBZxJlQWN0dWFsaXphZG8gY29uIGxhIHNlZ3VuZGEgZW50cmV2aXN0YSB5IENDLTAwMTogcmllZ28geSB0YXhvbm9tw61hIGFtcGxpYWRhIGZvcm1hbiBwYXJ0ZSBkZWwgYWxjYW5jZS4YudP2uow0ILnT9rqMNEIQa2l4LjZudGZnbjRrdjJvYSLyBAoLQUFBQ0hjV1pIcWMSyAQKC0FBQUNIY1daSHFjEgtBQUFDSGNXWkhxYxp2Cgl0ZXh0L2h0bWwSaVJGLTE2IHZpZ2VudGUgY29udHJvbGEgZXN0YWRvcyB5IGNpZXJyZSB0cmFzIGVqZWN1Y2nDs247IENDLTAwNSBwb3Nwb25lIGVsIGFjY2VzbyBkaXJlY3RvIGRlIHByb3ZlZWRvcmVzLiJ3Cgp0ZXh0L3BsYWluEmlSRi0xNiB2aWdlbnRlIGNvbnRyb2xhIGVzdGFkb3MgeSBjaWVycmUgdHJhcyBlamVjdWNpw7NuOyBDQy0wMDUgcG9zcG9uZSBlbCBhY2Nlc28gZGlyZWN0byBkZSBwcm92ZWVkb3Jlcy4qUgoZUmV2aXNpw7NuIGRlIGFycXVpdGVjdHVyYRo1Ly9zc2wuZ3N0YXRpYy5jb20vZG9jcy9jb21tb24vYmx1ZV9zaWxob3VldHRlOTYtMC5wbmcwmMLRuow0OJjC0bqMNHJUChlSZXZpc2nDs24gZGUgYXJxdWl0ZWN0dXJhGjcKNS8vc3NsLmdzdGF0aWMuY29tL2RvY3MvY29tbW9uL2JsdWVfc2lsaG91ZXR0ZTk2LTAucG5neACIAQGaAQYIABAAGACqAWsSaVJGLTE2IHZpZ2VudGUgY29udHJvbGEgZXN0YWRvcyB5IGNpZXJyZSB0cmFzIGVqZWN1Y2nDs247IENDLTAwNSBwb3Nwb25lIGVsIGFjY2VzbyBkaXJlY3RvIGRlIHByb3ZlZWRvcmVzLrABALgBAcgBABiYwtG6jDQgmMLRuow0MABCCGtpeC5jbXQxIoYECgtBQUFDSGNXWkhxaxLcAwoLQUFBQ0hjV1pIcWsSC0FBQUNIY1daSHFrGlIKCXRleHQvaHRtbBJFRWwgcmVzdW1lbiBhc2lzdGlkbyBlcyB1bmEgYWx0ZXJuYXRpdmEsIG5vIHVuIGNhc28gZGUgSUEgeWEgYXByb2JhZG8uIlMKCnRleHQvcGxhaW4SRUVsIHJlc3VtZW4gYXNpc3RpZG8gZXMgdW5hIGFsdGVybmF0aXZhLCBubyB1biBjYXNvIGRlIElBIHlhIGFwcm9iYWRvLipSChlSZXZpc2nDs24gZGUgYXJxdWl0ZWN0dXJhGjUvL3NzbC5nc3RhdGljLmNvbS9kb2NzL2NvbW1vbi9ibHVlX3NpbGhvdWV0dGU5Ni0wLnBuZzCYwtG6jDQ4mMLRuow0clQKGVJldmlzacOzbiBkZSBhcnF1aXRlY3R1cmEaNwo1Ly9zc2wuZ3N0YXRpYy5jb20vZG9jcy9jb21tb24vYmx1ZV9zaWxob3VldHRlOTYtMC5wbmd4AIgBAZoBBggAEAAYAKoBRxJFRWwgcmVzdW1lbiBhc2lzdGlkbyBlcyB1bmEgYWx0ZXJuYXRpdmEsIG5vIHVuIGNhc28gZGUgSUEgeWEgYXByb2JhZG8usAEAuAEByAEAGJjC0bqMNCCYwtG6jDQwAEIIa2l4LmNtdDM4AHIhMTZZbEZjTlRHaW5jM3BIV2ctamhhQTMyWUpSVjJOa2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</cp:coreProperties>
</file>