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now-implementation-guide"/>
    <w:p>
      <w:pPr>
        <w:pStyle w:val="Heading1"/>
      </w:pPr>
      <w:r>
        <w:t xml:space="preserve">now — Implementation Guide</w:t>
      </w:r>
    </w:p>
    <w:p>
      <w:pPr>
        <w:pStyle w:val="FirstParagraph"/>
      </w:pPr>
      <w:r>
        <w:rPr>
          <w:bCs/>
          <w:b/>
        </w:rPr>
        <w:t xml:space="preserve">Version</w:t>
      </w:r>
      <w:r>
        <w:t xml:space="preserve">: 1.1 — v1 Scoped</w:t>
        <w:br/>
      </w:r>
      <w:r>
        <w:rPr>
          <w:bCs/>
          <w:b/>
        </w:rPr>
        <w:t xml:space="preserve">A narrative guide to building the </w:t>
      </w:r>
      <w:r>
        <w:rPr>
          <w:rStyle w:val="VerbatimChar"/>
          <w:bCs/>
          <w:b/>
        </w:rPr>
        <w:t xml:space="preserve">now</w:t>
      </w:r>
      <w:r>
        <w:rPr>
          <w:bCs/>
          <w:b/>
        </w:rPr>
        <w:t xml:space="preserve"> native build tool from scratch</w:t>
      </w:r>
    </w:p>
    <w:p>
      <w:r>
        <w:pict>
          <v:rect style="width:0;height:1.5pt" o:hralign="center" o:hrstd="t" o:hr="t"/>
        </w:pict>
      </w:r>
    </w:p>
    <w:p>
      <w:pPr>
        <w:pStyle w:val="FirstParagraph"/>
      </w:pPr>
      <w:r>
        <w:t xml:space="preserve">This guide tells you what to build, in the order you should build it, and why each decision was made the way it was. It is not a specification — the specification is </w:t>
      </w:r>
      <w:r>
        <w:rPr>
          <w:rStyle w:val="VerbatimChar"/>
        </w:rPr>
        <w:t xml:space="preserve">now-spec.md</w:t>
      </w:r>
      <w:r>
        <w:t>. This is the story of how the pieces fit together, written for the engineer who is going to implement them.</w:t>
      </w:r>
    </w:p>
    <w:p>
      <w:pPr>
        <w:pStyle w:val="BodyText"/>
      </w:pPr>
      <w:r>
        <w:t xml:space="preserve">Read this first. Keep the spec open beside it.</w:t>
      </w:r>
    </w:p>
    <w:p>
      <w:r>
        <w:pict>
          <v:rect style="width:0;height:1.5pt" o:hralign="center" o:hrstd="t" o:hr="t"/>
        </w:pict>
      </w:r>
    </w:p>
    <w:bookmarkStart w:id="22" w:name="part-i-what-now-is"/>
    <w:p>
      <w:pPr>
        <w:pStyle w:val="Heading2"/>
      </w:pPr>
      <w:r>
        <w:t xml:space="preserve">Part I — What </w:t>
      </w:r>
      <w:r>
        <w:rPr>
          <w:rStyle w:val="VerbatimChar"/>
        </w:rPr>
        <w:t xml:space="preserve">now</w:t>
      </w:r>
      <w:r>
        <w:t xml:space="preserve"> Is</w:t>
      </w:r>
    </w:p>
    <w:bookmarkStart w:id="20" w:name="the-core-idea"/>
    <w:p>
      <w:pPr>
        <w:pStyle w:val="Heading3"/>
      </w:pPr>
      <w:r>
        <w:t xml:space="preserve">The Core Idea</w:t>
      </w:r>
    </w:p>
    <w:p>
      <w:pPr>
        <w:pStyle w:val="FirstParagraph"/>
      </w:pPr>
      <w:r>
        <w:rPr>
          <w:rStyle w:val="VerbatimChar"/>
        </w:rPr>
        <w:t xml:space="preserve">now</w:t>
      </w:r>
      <w:r>
        <w:t xml:space="preserve"> is a build tool for native languages — C, C++, assembly, and their companions — that borrows the best ideas from Maven and applies them to a world that Maven was never designed for. Like Maven, it has a declarative project descriptor, a lifecycle with well-defined phases, a dependency resolution model, and a registry. Unlike Maven, it produces machine code, not JVM bytecode.</w:t>
      </w:r>
    </w:p>
    <w:p>
      <w:pPr>
        <w:pStyle w:val="BodyText"/>
      </w:pPr>
      <w:r>
        <w:t xml:space="preserve">The central file is </w:t>
      </w:r>
      <w:r>
        <w:rPr>
          <w:rStyle w:val="VerbatimChar"/>
        </w:rPr>
        <w:t xml:space="preserve">now.pasta</w:t>
      </w:r>
      <w:r>
        <w:t>. It sits at the root of every project and answers every question about the project: what language it is written in, what it produces, what it depends on, and how to build it. The tooling reads this file and derives everything else.</w:t>
      </w:r>
    </w:p>
    <w:p>
      <w:pPr>
        <w:pStyle w:val="BodyText"/>
      </w:pPr>
      <w:r>
        <w:t>The format is Pasta — Plain And Simple Text Archive. It looks like a relaxed JSON with semicolon comments and unquoted keys. You will learn to love it because it is genuinely simple: maps, arrays, strings, numbers, booleans, and null. No anchors, no tags, no special forms.</w:t>
      </w:r>
    </w:p>
    <w:bookmarkEnd w:id="20"/>
    <w:bookmarkStart w:id="21" w:name="why-not-make-why-not-cmake"/>
    <w:p>
      <w:pPr>
        <w:pStyle w:val="Heading3"/>
      </w:pPr>
      <w:r>
        <w:t xml:space="preserve">Why Not Make? Why Not CMake?</w:t>
      </w:r>
    </w:p>
    <w:p>
      <w:pPr>
        <w:pStyle w:val="FirstParagraph"/>
      </w:pPr>
      <w:r>
        <w:t>Make is an assembly language for builds. It gives you maximum control and maximum opportunity to get it wrong. The average C project’s Makefile is a custom language interpreter that someone rewrote badly. CMake is a build system generator — it generates Makefiles or Ninja files, which means you are one level removed from what actually runs. Both require explicit dependency management: you tell the tool what depends on what.</w:t>
      </w:r>
    </w:p>
    <w:p>
      <w:pPr>
        <w:pStyle w:val="BodyText"/>
      </w:pPr>
      <w:r>
        <w:rPr>
          <w:rStyle w:val="VerbatimChar"/>
        </w:rPr>
        <w:t xml:space="preserve">now</w:t>
      </w:r>
      <w:r>
        <w:t xml:space="preserve"> inverts this. You describe what you have (sources, headers, deps), and </w:t>
      </w:r>
      <w:r>
        <w:rPr>
          <w:rStyle w:val="VerbatimChar"/>
        </w:rPr>
        <w:t xml:space="preserve">now</w:t>
      </w:r>
      <w:r>
        <w:t xml:space="preserve"> figures out what to do. The build graph is derived from the project model, not written by hand. Incremental builds are correct by construction, not by convention.</w:t>
      </w:r>
    </w:p>
    <w:p>
      <w:pPr>
        <w:pStyle w:val="BodyText"/>
      </w:pPr>
      <w:r>
        <w:t xml:space="preserve">The cost is that </w:t>
      </w:r>
      <w:r>
        <w:rPr>
          <w:rStyle w:val="VerbatimChar"/>
        </w:rPr>
        <w:t xml:space="preserve">now</w:t>
      </w:r>
      <w:r>
        <w:t xml:space="preserve"> is opinionated. It has a conventional layout, a defined lifecycle, and a registry model. If your project fits the model — and most C projects do — the experience is dramatically simpler than Make or CMake. If it doesn’t fit, you use plugins and custom tools to bridge the gap.</w:t>
      </w:r>
    </w:p>
    <w:p>
      <w:r>
        <w:pict>
          <v:rect style="width:0;height:1.5pt" o:hralign="center" o:hrstd="t" o:hr="t"/>
        </w:pict>
      </w:r>
    </w:p>
    <w:bookmarkEnd w:id="21"/>
    <w:bookmarkEnd w:id="22"/>
    <w:bookmarkStart w:id="26" w:name="part-ii-where-to-start-the-foundation"/>
    <w:p>
      <w:pPr>
        <w:pStyle w:val="Heading2"/>
      </w:pPr>
      <w:r>
        <w:t xml:space="preserve">Part II — Where to Start: The Foundation</w:t>
      </w:r>
    </w:p>
    <w:bookmarkStart w:id="23" w:name="build-this-first-pasta-parsing"/>
    <w:p>
      <w:pPr>
        <w:pStyle w:val="Heading3"/>
      </w:pPr>
      <w:r>
        <w:t xml:space="preserve">Build This First: Pasta Parsing</w:t>
      </w:r>
    </w:p>
    <w:p>
      <w:pPr>
        <w:pStyle w:val="FirstParagraph"/>
      </w:pPr>
      <w:r>
        <w:t xml:space="preserve">Before you write a single line of build logic, you need a Pasta parser. Everything </w:t>
      </w:r>
      <w:r>
        <w:rPr>
          <w:rStyle w:val="VerbatimChar"/>
        </w:rPr>
        <w:t xml:space="preserve">now</w:t>
      </w:r>
      <w:r>
        <w:t xml:space="preserve"> reads and writes is Pasta: </w:t>
      </w:r>
      <w:r>
        <w:rPr>
          <w:rStyle w:val="VerbatimChar"/>
        </w:rPr>
        <w:t xml:space="preserve">now.pasta</w:t>
      </w:r>
      <w:r>
        <w:t xml:space="preserve">, </w:t>
      </w:r>
      <w:r>
        <w:rPr>
          <w:rStyle w:val="VerbatimChar"/>
        </w:rPr>
        <w:t xml:space="preserve">now.lock.pasta</w:t>
      </w:r>
      <w:r>
        <w:t xml:space="preserve">, </w:t>
      </w:r>
      <w:r>
        <w:rPr>
          <w:rStyle w:val="VerbatimChar"/>
        </w:rPr>
        <w:t xml:space="preserve">layers.lock.pasta</w:t>
      </w:r>
      <w:r>
        <w:t>, plugin manifests, daemon IPC, CI output. It is the substrate of the entire system.</w:t>
      </w:r>
    </w:p>
    <w:p>
      <w:pPr>
        <w:pStyle w:val="BodyText"/>
      </w:pPr>
      <w:r>
        <w:t xml:space="preserve">The Pasta reference implementation is available at </w:t>
      </w:r>
      <w:r>
        <w:rPr>
          <w:rStyle w:val="VerbatimChar"/>
        </w:rPr>
        <w:t xml:space="preserve">https://github.com/IridiumFX/Pasta</w:t>
      </w:r>
      <w:r>
        <w:t xml:space="preserve"> and is written in C. Use it. It is small, correct, and battle-tested. The grammar is deliberately minimal — five value types, two containers, comments, whitespace. The C library gives you </w:t>
      </w:r>
      <w:r>
        <w:rPr>
          <w:rStyle w:val="VerbatimChar"/>
        </w:rPr>
        <w:t xml:space="preserve">pasta_parse</w:t>
      </w:r>
      <w:r>
        <w:t xml:space="preserve">, </w:t>
      </w:r>
      <w:r>
        <w:rPr>
          <w:rStyle w:val="VerbatimChar"/>
        </w:rPr>
        <w:t xml:space="preserve">pasta_write</w:t>
      </w:r>
      <w:r>
        <w:t xml:space="preserve">, and a tree of </w:t>
      </w:r>
      <w:r>
        <w:rPr>
          <w:rStyle w:val="VerbatimChar"/>
        </w:rPr>
        <w:t xml:space="preserve">PastaValue*</w:t>
      </w:r>
      <w:r>
        <w:t xml:space="preserve"> nodes. That is genuinely all you need.</w:t>
      </w:r>
    </w:p>
    <w:p>
      <w:pPr>
        <w:pStyle w:val="BodyText"/>
      </w:pPr>
      <w:r>
        <w:t xml:space="preserve">Two features added specifically for </w:t>
      </w:r>
      <w:r>
        <w:rPr>
          <w:rStyle w:val="VerbatimChar"/>
        </w:rPr>
        <w:t xml:space="preserve">now</w:t>
      </w:r>
      <w:r>
        <w:t xml:space="preserve"> are worth understanding early:</w:t>
      </w:r>
    </w:p>
    <w:p>
      <w:pPr>
        <w:pStyle w:val="BodyText"/>
      </w:pPr>
      <w:r>
        <w:rPr>
          <w:bCs/>
          <w:b/>
        </w:rPr>
        <w:t xml:space="preserve">Multiline strings</w:t>
      </w:r>
      <w:r>
        <w:t xml:space="preserve"> (</w:t>
      </w:r>
      <w:r>
        <w:rPr>
          <w:rStyle w:val="VerbatimChar"/>
        </w:rPr>
        <w:t xml:space="preserve">"""..."""</w:t>
      </w:r>
      <w:r>
        <w:t>) are used for embedded script bodies and inline linker scripts. A string containing newlines is written with triple quotes; the writer chooses this form automatically. You never need to think about it — the parser and writer handle it.</w:t>
      </w:r>
    </w:p>
    <w:p>
      <w:pPr>
        <w:pStyle w:val="BodyText"/>
      </w:pPr>
      <w:r>
        <w:rPr>
          <w:bCs/>
          <w:b/>
        </w:rPr>
        <w:t xml:space="preserve">Sections</w:t>
      </w:r>
      <w:r>
        <w:t xml:space="preserve"> (</w:t>
      </w:r>
      <w:r>
        <w:rPr>
          <w:rStyle w:val="VerbatimChar"/>
        </w:rPr>
        <w:t xml:space="preserve">@name { ... }</w:t>
      </w:r>
      <w:r>
        <w:t>) are used in workspace descriptors and layer documents. A sectioned document has multiple named root containers instead of one. The layer system (Chapter 25 of the spec) makes heavy use of sections as the unit of per-layer configuration. When you reach that chapter, sections will feel natural.</w:t>
      </w:r>
    </w:p>
    <w:bookmarkEnd w:id="23"/>
    <w:bookmarkStart w:id="24" w:name="the-project-object-model"/>
    <w:p>
      <w:pPr>
        <w:pStyle w:val="Heading3"/>
      </w:pPr>
      <w:r>
        <w:t xml:space="preserve">The Project Object Model</w:t>
      </w:r>
    </w:p>
    <w:p>
      <w:pPr>
        <w:pStyle w:val="FirstParagraph"/>
      </w:pPr>
      <w:r>
        <w:t xml:space="preserve">Once you can parse Pasta, load a </w:t>
      </w:r>
      <w:r>
        <w:rPr>
          <w:rStyle w:val="VerbatimChar"/>
        </w:rPr>
        <w:t xml:space="preserve">now.pasta</w:t>
      </w:r>
      <w:r>
        <w:t xml:space="preserve"> into a Project Object Model — an in-memory struct that represents the project. This is the heart of </w:t>
      </w:r>
      <w:r>
        <w:rPr>
          <w:rStyle w:val="VerbatimChar"/>
        </w:rPr>
        <w:t xml:space="preserve">now</w:t>
      </w:r>
      <w:r>
        <w:t xml:space="preserve">. Every command reads it first.</w:t>
      </w:r>
    </w:p>
    <w:p>
      <w:pPr>
        <w:pStyle w:val="BodyText"/>
      </w:pPr>
      <w:r>
        <w:t>The POM has a natural hierarchy: identity at the top, then language, then sources, then compile/link settings, then dependencies. The spec (Chapter 1) lists every field with its type and default. Implement them in order of frequency of use: identity, language, sources, compile, deps, output. Profiles and properties come later.</w:t>
      </w:r>
    </w:p>
    <w:p>
      <w:pPr>
        <w:pStyle w:val="BodyText"/>
      </w:pPr>
      <w:r>
        <w:t xml:space="preserve">A crucial early decision: field merge order. Profiles overlay the base configuration. Layer-derived defaults underlie everything. Inheritance flows from workspace root to module. The merge rules are consistent throughout: scalars replace, arrays accumulate, maps deep-merge. The </w:t>
      </w:r>
      <w:r>
        <w:rPr>
          <w:rStyle w:val="VerbatimChar"/>
        </w:rPr>
        <w:t xml:space="preserve">!</w:t>
      </w:r>
      <w:r>
        <w:t>-prefix key mechanism lets any array field opt out of accumulation and force replacement instead. Get this right early, because every subsequent feature builds on it.</w:t>
      </w:r>
    </w:p>
    <w:bookmarkEnd w:id="24"/>
    <w:bookmarkStart w:id="25" w:name="the-directory-layout"/>
    <w:p>
      <w:pPr>
        <w:pStyle w:val="Heading3"/>
      </w:pPr>
      <w:r>
        <w:t xml:space="preserve">The Directory Layout</w:t>
      </w:r>
    </w:p>
    <w:p>
      <w:pPr>
        <w:pStyle w:val="FirstParagraph"/>
      </w:pPr>
      <w:r>
        <w:t xml:space="preserve">Establish the conventional layout immediately. When a user runs </w:t>
      </w:r>
      <w:r>
        <w:rPr>
          <w:rStyle w:val="VerbatimChar"/>
        </w:rPr>
        <w:t xml:space="preserve">now init</w:t>
      </w:r>
      <w:r>
        <w:t xml:space="preserve">, they get a </w:t>
      </w:r>
      <w:r>
        <w:rPr>
          <w:rStyle w:val="VerbatimChar"/>
        </w:rPr>
        <w:t xml:space="preserve">src/main/c/</w:t>
      </w:r>
      <w:r>
        <w:t xml:space="preserve">, </w:t>
      </w:r>
      <w:r>
        <w:rPr>
          <w:rStyle w:val="VerbatimChar"/>
        </w:rPr>
        <w:t xml:space="preserve">src/test/c/</w:t>
      </w:r>
      <w:r>
        <w:t xml:space="preserve">, </w:t>
      </w:r>
      <w:r>
        <w:rPr>
          <w:rStyle w:val="VerbatimChar"/>
        </w:rPr>
        <w:t xml:space="preserve">src/main/include/</w:t>
      </w:r>
      <w:r>
        <w:t xml:space="preserve">, and a minimal </w:t>
      </w:r>
      <w:r>
        <w:rPr>
          <w:rStyle w:val="VerbatimChar"/>
        </w:rPr>
        <w:t xml:space="preserve">now.pasta</w:t>
      </w:r>
      <w:r>
        <w:t xml:space="preserve">. When </w:t>
      </w:r>
      <w:r>
        <w:rPr>
          <w:rStyle w:val="VerbatimChar"/>
        </w:rPr>
        <w:t xml:space="preserve">now build</w:t>
      </w:r>
      <w:r>
        <w:t xml:space="preserve"> runs, it looks for sources in the right place automatically. When it produces output, it goes to </w:t>
      </w:r>
      <w:r>
        <w:rPr>
          <w:rStyle w:val="VerbatimChar"/>
        </w:rPr>
        <w:t xml:space="preserve">target/</w:t>
      </w:r>
      <w:r>
        <w:t xml:space="preserve">.</w:t>
      </w:r>
    </w:p>
    <w:p>
      <w:pPr>
        <w:pStyle w:val="BodyText"/>
      </w:pPr>
      <w:r>
        <w:t xml:space="preserve">The </w:t>
      </w:r>
      <w:r>
        <w:rPr>
          <w:rStyle w:val="VerbatimChar"/>
        </w:rPr>
        <w:t xml:space="preserve">target/</w:t>
      </w:r>
      <w:r>
        <w:t xml:space="preserve"> directory is your workspace. Everything in it is derived and can be deleted. The object file naming convention — </w:t>
      </w:r>
      <w:r>
        <w:rPr>
          <w:rStyle w:val="VerbatimChar"/>
        </w:rPr>
        <w:t xml:space="preserve">parser.c.o</w:t>
      </w:r>
      <w:r>
        <w:t xml:space="preserve"> rather than </w:t>
      </w:r>
      <w:r>
        <w:rPr>
          <w:rStyle w:val="VerbatimChar"/>
        </w:rPr>
        <w:t xml:space="preserve">parser.o</w:t>
      </w:r>
      <w:r>
        <w:t xml:space="preserve"> — prevents collisions when different source files have the same basename in different subdirectories. Use the full relative path.</w:t>
      </w:r>
    </w:p>
    <w:p>
      <w:r>
        <w:pict>
          <v:rect style="width:0;height:1.5pt" o:hralign="center" o:hrstd="t" o:hr="t"/>
        </w:pict>
      </w:r>
    </w:p>
    <w:bookmarkEnd w:id="25"/>
    <w:bookmarkEnd w:id="26"/>
    <w:bookmarkStart w:id="31" w:name="part-iii-the-core-build-loop"/>
    <w:p>
      <w:pPr>
        <w:pStyle w:val="Heading2"/>
      </w:pPr>
      <w:r>
        <w:t xml:space="preserve">Part III — The Core Build Loop</w:t>
      </w:r>
    </w:p>
    <w:bookmarkStart w:id="27" w:name="the-lifecycle"/>
    <w:p>
      <w:pPr>
        <w:pStyle w:val="Heading3"/>
      </w:pPr>
      <w:r>
        <w:t xml:space="preserve">The Lifecycle</w:t>
      </w:r>
    </w:p>
    <w:p>
      <w:pPr>
        <w:pStyle w:val="FirstParagraph"/>
      </w:pPr>
      <w:r>
        <w:rPr>
          <w:rStyle w:val="VerbatimChar"/>
        </w:rPr>
        <w:t xml:space="preserve">now</w:t>
      </w:r>
      <w:r>
        <w:t xml:space="preserve">’s lifecycle is: </w:t>
      </w:r>
      <w:r>
        <w:rPr>
          <w:rStyle w:val="VerbatimChar"/>
        </w:rPr>
        <w:t xml:space="preserve">procure → generate → build → link → test → package → install → publish</w:t>
      </w:r>
      <w:r>
        <w:t xml:space="preserve">. Each phase is a verb. Each phase implies all prior phases in its lifecycle. Running </w:t>
      </w:r>
      <w:r>
        <w:rPr>
          <w:rStyle w:val="VerbatimChar"/>
        </w:rPr>
        <w:t xml:space="preserve">now test</w:t>
      </w:r>
      <w:r>
        <w:t xml:space="preserve"> runs procure, generate, build, link, and then test — in that order.</w:t>
      </w:r>
    </w:p>
    <w:p>
      <w:pPr>
        <w:pStyle w:val="BodyText"/>
      </w:pPr>
      <w:r>
        <w:t xml:space="preserve">The old </w:t>
      </w:r>
      <w:r>
        <w:rPr>
          <w:rStyle w:val="VerbatimChar"/>
        </w:rPr>
        <w:t xml:space="preserve">compile</w:t>
      </w:r>
      <w:r>
        <w:t xml:space="preserve"> and </w:t>
      </w:r>
      <w:r>
        <w:rPr>
          <w:rStyle w:val="VerbatimChar"/>
        </w:rPr>
        <w:t xml:space="preserve">assemble</w:t>
      </w:r>
      <w:r>
        <w:t xml:space="preserve"> phases have been unified into </w:t>
      </w:r>
      <w:r>
        <w:rPr>
          <w:rStyle w:val="VerbatimChar"/>
        </w:rPr>
        <w:t xml:space="preserve">build</w:t>
      </w:r>
      <w:r>
        <w:t xml:space="preserve">. This unification matters conceptually: a </w:t>
      </w:r>
      <w:r>
        <w:rPr>
          <w:rStyle w:val="VerbatimChar"/>
        </w:rPr>
        <w:t xml:space="preserve">.c</w:t>
      </w:r>
      <w:r>
        <w:t xml:space="preserve"> file and a </w:t>
      </w:r>
      <w:r>
        <w:rPr>
          <w:rStyle w:val="VerbatimChar"/>
        </w:rPr>
        <w:t xml:space="preserve">.s</w:t>
      </w:r>
      <w:r>
        <w:t xml:space="preserve"> file both go through the same </w:t>
      </w:r>
      <w:r>
        <w:rPr>
          <w:rStyle w:val="VerbatimChar"/>
        </w:rPr>
        <w:t xml:space="preserve">build</w:t>
      </w:r>
      <w:r>
        <w:t xml:space="preserve"> phase, dispatched to different tools by the language type system. There is no special-casing by extension at the phase level.</w:t>
      </w:r>
    </w:p>
    <w:p>
      <w:pPr>
        <w:pStyle w:val="BodyText"/>
      </w:pPr>
      <w:r>
        <w:t xml:space="preserve">The </w:t>
      </w:r>
      <w:r>
        <w:rPr>
          <w:rStyle w:val="VerbatimChar"/>
        </w:rPr>
        <w:t xml:space="preserve">clean</w:t>
      </w:r>
      <w:r>
        <w:t xml:space="preserve"> lifecycle (</w:t>
      </w:r>
      <w:r>
        <w:rPr>
          <w:rStyle w:val="VerbatimChar"/>
        </w:rPr>
        <w:t xml:space="preserve">clean → vacate</w:t>
      </w:r>
      <w:r>
        <w:t xml:space="preserve">) is independent. </w:t>
      </w:r>
      <w:r>
        <w:rPr>
          <w:rStyle w:val="VerbatimChar"/>
        </w:rPr>
        <w:t xml:space="preserve">now clean</w:t>
      </w:r>
      <w:r>
        <w:t xml:space="preserve"> deletes </w:t>
      </w:r>
      <w:r>
        <w:rPr>
          <w:rStyle w:val="VerbatimChar"/>
        </w:rPr>
        <w:t xml:space="preserve">target/</w:t>
      </w:r>
      <w:r>
        <w:t xml:space="preserve">. </w:t>
      </w:r>
      <w:r>
        <w:rPr>
          <w:rStyle w:val="VerbatimChar"/>
        </w:rPr>
        <w:t xml:space="preserve">now vacate</w:t>
      </w:r>
      <w:r>
        <w:t xml:space="preserve"> removes installed deps from the local repo. You can run </w:t>
      </w:r>
      <w:r>
        <w:rPr>
          <w:rStyle w:val="VerbatimChar"/>
        </w:rPr>
        <w:t xml:space="preserve">now clean build</w:t>
      </w:r>
      <w:r>
        <w:t xml:space="preserve"> to run both lifecycles in sequence.</w:t>
      </w:r>
    </w:p>
    <w:bookmarkEnd w:id="27"/>
    <w:bookmarkStart w:id="28" w:name="the-language-type-system"/>
    <w:p>
      <w:pPr>
        <w:pStyle w:val="Heading3"/>
      </w:pPr>
      <w:r>
        <w:t xml:space="preserve">The Language Type System</w:t>
      </w:r>
    </w:p>
    <w:p>
      <w:pPr>
        <w:pStyle w:val="FirstParagraph"/>
      </w:pPr>
      <w:r>
        <w:t xml:space="preserve">The language type system is how </w:t>
      </w:r>
      <w:r>
        <w:rPr>
          <w:rStyle w:val="VerbatimChar"/>
        </w:rPr>
        <w:t xml:space="preserve">now</w:t>
      </w:r>
      <w:r>
        <w:t xml:space="preserve"> knows what to do with each source file. Every language is a named type definition that specifies file extensions, the tool to invoke, and the flag mapping. </w:t>
      </w:r>
      <w:r>
        <w:rPr>
          <w:rStyle w:val="VerbatimChar"/>
        </w:rPr>
        <w:t xml:space="preserve">now</w:t>
      </w:r>
      <w:r>
        <w:t xml:space="preserve"> ships built-in type definitions for C, C++, x86/ARM/RISC-V assembly, Ada, Fortran, Modula-2, and Pascal. Projects can register custom types for languages </w:t>
      </w:r>
      <w:r>
        <w:rPr>
          <w:rStyle w:val="VerbatimChar"/>
        </w:rPr>
        <w:t xml:space="preserve">now</w:t>
      </w:r>
      <w:r>
        <w:t xml:space="preserve"> doesn’t know.</w:t>
      </w:r>
    </w:p>
    <w:p>
      <w:pPr>
        <w:pStyle w:val="BodyText"/>
      </w:pPr>
      <w:r>
        <w:t xml:space="preserve">The classification algorithm is three-layer: explicit declaration in </w:t>
      </w:r>
      <w:r>
        <w:rPr>
          <w:rStyle w:val="VerbatimChar"/>
        </w:rPr>
        <w:t xml:space="preserve">now.pasta</w:t>
      </w:r>
      <w:r>
        <w:t xml:space="preserve"> wins over project language and convention, which wins over file-level override. When two languages claim the same extension (</w:t>
      </w:r>
      <w:r>
        <w:rPr>
          <w:rStyle w:val="VerbatimChar"/>
        </w:rPr>
        <w:t xml:space="preserve">.m</w:t>
      </w:r>
      <w:r>
        <w:t xml:space="preserve"> is both Objective-C and Modula-2), the project </w:t>
      </w:r>
      <w:r>
        <w:rPr>
          <w:rStyle w:val="VerbatimChar"/>
        </w:rPr>
        <w:t xml:space="preserve">langs</w:t>
      </w:r>
      <w:r>
        <w:t xml:space="preserve"> field resolves the ambiguity.</w:t>
      </w:r>
    </w:p>
    <w:p>
      <w:pPr>
        <w:pStyle w:val="BodyText"/>
      </w:pPr>
      <w:r>
        <w:t xml:space="preserve">Build this type system as a registry. Each entry maps extensions to a tool invocation spec. The </w:t>
      </w:r>
      <w:r>
        <w:rPr>
          <w:rStyle w:val="VerbatimChar"/>
        </w:rPr>
        <w:t xml:space="preserve">build</w:t>
      </w:r>
      <w:r>
        <w:t xml:space="preserve"> phase iterates the source set, classifies each file through the registry, and dispatches. The type system also declares which languages need the module pre-scan protocol (Chapter 13 of the spec) — C++20 modules, Ada, Modula-2, and Fortran all need it.</w:t>
      </w:r>
    </w:p>
    <w:bookmarkEnd w:id="28"/>
    <w:bookmarkStart w:id="29" w:name="the-build-graph"/>
    <w:p>
      <w:pPr>
        <w:pStyle w:val="Heading3"/>
      </w:pPr>
      <w:r>
        <w:t xml:space="preserve">The Build Graph</w:t>
      </w:r>
    </w:p>
    <w:p>
      <w:pPr>
        <w:pStyle w:val="FirstParagraph"/>
      </w:pPr>
      <w:r>
        <w:t xml:space="preserve">Before any file is compiled, </w:t>
      </w:r>
      <w:r>
        <w:rPr>
          <w:rStyle w:val="VerbatimChar"/>
        </w:rPr>
        <w:t xml:space="preserve">now</w:t>
      </w:r>
      <w:r>
        <w:t xml:space="preserve"> constructs a directed acyclic graph of compilation units. Nodes are source files; edges are dependencies — includes, module imports, generated file relationships. The graph determines parallel execution order: independent nodes run concurrently, dependent nodes wait.</w:t>
      </w:r>
    </w:p>
    <w:p>
      <w:pPr>
        <w:pStyle w:val="BodyText"/>
      </w:pPr>
      <w:r>
        <w:t xml:space="preserve">For languages with inter-file module dependencies (C++20 modules, Ada packages, Modula-2 modules), the graph cannot be constructed from the source set alone. This is where the </w:t>
      </w:r>
      <w:r>
        <w:rPr>
          <w:bCs/>
          <w:b/>
        </w:rPr>
        <w:t xml:space="preserve">module pre-scan</w:t>
      </w:r>
      <w:r>
        <w:t xml:space="preserve"> runs: a fast first pass that reads each source file just enough to discover </w:t>
      </w:r>
      <w:r>
        <w:rPr>
          <w:rStyle w:val="VerbatimChar"/>
        </w:rPr>
        <w:t xml:space="preserve">import</w:t>
      </w:r>
      <w:r>
        <w:t xml:space="preserve">, </w:t>
      </w:r>
      <w:r>
        <w:rPr>
          <w:rStyle w:val="VerbatimChar"/>
        </w:rPr>
        <w:t xml:space="preserve">USE</w:t>
      </w:r>
      <w:r>
        <w:t xml:space="preserve">, or </w:t>
      </w:r>
      <w:r>
        <w:rPr>
          <w:rStyle w:val="VerbatimChar"/>
        </w:rPr>
        <w:t xml:space="preserve">with</w:t>
      </w:r>
      <w:r>
        <w:t xml:space="preserve"> declarations, then adds those edges to the graph before compilation begins.</w:t>
      </w:r>
    </w:p>
    <w:p>
      <w:pPr>
        <w:pStyle w:val="BodyText"/>
      </w:pPr>
      <w:r>
        <w:t xml:space="preserve">The pre-scan runs incrementally. Results are cached in </w:t>
      </w:r>
      <w:r>
        <w:rPr>
          <w:rStyle w:val="VerbatimChar"/>
        </w:rPr>
        <w:t xml:space="preserve">target/.now-prescan/{lang}/{source-hash}.deps</w:t>
      </w:r>
      <w:r>
        <w:t>. If the source hasn’t changed, the cached result is used. Only changed files are re-scanned.</w:t>
      </w:r>
    </w:p>
    <w:p>
      <w:pPr>
        <w:pStyle w:val="BodyText"/>
      </w:pPr>
      <w:r>
        <w:t xml:space="preserve">The build graph is not a Makefile. It is an in-memory DAG that </w:t>
      </w:r>
      <w:r>
        <w:rPr>
          <w:rStyle w:val="VerbatimChar"/>
        </w:rPr>
        <w:t xml:space="preserve">now</w:t>
      </w:r>
      <w:r>
        <w:t xml:space="preserve"> constructs fresh each run, validated against the incremental manifest to determine which nodes need work. Nodes whose inputs match the manifest are skipped. Nodes that need work are dispatched to a thread pool.</w:t>
      </w:r>
    </w:p>
    <w:bookmarkEnd w:id="29"/>
    <w:bookmarkStart w:id="30" w:name="incremental-builds"/>
    <w:p>
      <w:pPr>
        <w:pStyle w:val="Heading3"/>
      </w:pPr>
      <w:r>
        <w:t xml:space="preserve">Incremental Builds</w:t>
      </w:r>
    </w:p>
    <w:p>
      <w:pPr>
        <w:pStyle w:val="FirstParagraph"/>
      </w:pPr>
      <w:r>
        <w:t xml:space="preserve">The incremental manifest at </w:t>
      </w:r>
      <w:r>
        <w:rPr>
          <w:rStyle w:val="VerbatimChar"/>
        </w:rPr>
        <w:t xml:space="preserve">target/.now-manifest</w:t>
      </w:r>
      <w:r>
        <w:t xml:space="preserve"> is a Pasta file with one entry per source file. Each entry records everything that can affect the compiled output: the source SHA-256, the SHA-256 of every transitively included header, the complete compiler flag string, the tool binary SHA-256, and the output </w:t>
      </w:r>
      <w:r>
        <w:rPr>
          <w:rStyle w:val="VerbatimChar"/>
        </w:rPr>
        <w:t xml:space="preserve">.o</w:t>
      </w:r>
      <w:r>
        <w:t xml:space="preserve"> SHA-256.</w:t>
      </w:r>
    </w:p>
    <w:p>
      <w:pPr>
        <w:pStyle w:val="BodyText"/>
      </w:pPr>
      <w:r>
        <w:t xml:space="preserve">When a source file is considered for (re)compilation, </w:t>
      </w:r>
      <w:r>
        <w:rPr>
          <w:rStyle w:val="VerbatimChar"/>
        </w:rPr>
        <w:t xml:space="preserve">now</w:t>
      </w:r>
      <w:r>
        <w:t xml:space="preserve"> computes the current values of all inputs and compares them to the manifest. If everything matches, the file is skipped. If anything differs, the file is recompiled and the manifest entry is updated.</w:t>
      </w:r>
    </w:p>
    <w:p>
      <w:pPr>
        <w:pStyle w:val="BodyText"/>
      </w:pPr>
      <w:r>
        <w:t>This gives you correct incremental builds without Make or Ninja. The correctness invariant: if the manifest says a file is up to date, it is up to date — no staleness is possible because you track every input including the tool binary itself. A compiler upgrade forces a full rebuild automatically.</w:t>
      </w:r>
    </w:p>
    <w:p>
      <w:r>
        <w:pict>
          <v:rect style="width:0;height:1.5pt" o:hralign="center" o:hrstd="t" o:hr="t"/>
        </w:pict>
      </w:r>
    </w:p>
    <w:bookmarkEnd w:id="30"/>
    <w:bookmarkEnd w:id="31"/>
    <w:bookmarkStart w:id="36" w:name="part-iv-dependencies-and-the-registry"/>
    <w:p>
      <w:pPr>
        <w:pStyle w:val="Heading2"/>
      </w:pPr>
      <w:r>
        <w:t xml:space="preserve">Part IV — Dependencies and the Registry</w:t>
      </w:r>
    </w:p>
    <w:bookmarkStart w:id="32" w:name="coordinates-and-the-lock-file"/>
    <w:p>
      <w:pPr>
        <w:pStyle w:val="Heading3"/>
      </w:pPr>
      <w:r>
        <w:t xml:space="preserve">Coordinates and the Lock File</w:t>
      </w:r>
    </w:p>
    <w:p>
      <w:pPr>
        <w:pStyle w:val="FirstParagraph"/>
      </w:pPr>
      <w:r>
        <w:t xml:space="preserve">Every artifact in the </w:t>
      </w:r>
      <w:r>
        <w:rPr>
          <w:rStyle w:val="VerbatimChar"/>
        </w:rPr>
        <w:t xml:space="preserve">now</w:t>
      </w:r>
      <w:r>
        <w:t xml:space="preserve"> ecosystem is identified by a coordinate: </w:t>
      </w:r>
      <w:r>
        <w:rPr>
          <w:rStyle w:val="VerbatimChar"/>
        </w:rPr>
        <w:t xml:space="preserve">group:artifact:version</w:t>
      </w:r>
      <w:r>
        <w:t>. Groups are reverse-domain names. Artifacts are lowercase identifiers with hyphens. Versions are semantic versions with optional qualifiers.</w:t>
      </w:r>
    </w:p>
    <w:p>
      <w:pPr>
        <w:pStyle w:val="BodyText"/>
      </w:pPr>
      <w:r>
        <w:t xml:space="preserve">The lock file </w:t>
      </w:r>
      <w:r>
        <w:rPr>
          <w:rStyle w:val="VerbatimChar"/>
        </w:rPr>
        <w:t xml:space="preserve">now.lock.pasta</w:t>
      </w:r>
      <w:r>
        <w:t xml:space="preserve"> records the exact resolved coordinates, SHA-256 hashes, and installed descriptor hashes of every dependency in the build, per target triple. The logical primary key per entry is </w:t>
      </w:r>
      <w:r>
        <w:rPr>
          <w:rStyle w:val="VerbatimChar"/>
        </w:rPr>
        <w:t xml:space="preserve">(id, triple)</w:t>
      </w:r>
      <w:r>
        <w:t xml:space="preserve"> — a project targeting multiple platform triples has one entry per coordinate per triple, each with a fully resolved concrete URL. The lock is committed to VCS and is the source of truth for reproducible builds across all declared targets. On a machine where all deps are cached, </w:t>
      </w:r>
      <w:r>
        <w:rPr>
          <w:rStyle w:val="VerbatimChar"/>
        </w:rPr>
        <w:t xml:space="preserve">now build --offline</w:t>
      </w:r>
      <w:r>
        <w:t xml:space="preserve"> uses the lock file without touching the network.</w:t>
      </w:r>
    </w:p>
    <w:p>
      <w:pPr>
        <w:pStyle w:val="BodyText"/>
      </w:pPr>
      <w:r>
        <w:t xml:space="preserve">Implement the lock file early. It is the dependency resolution output and the procure phase input. Every dep operation — download, install, vacate — operates on lock file entries, not </w:t>
      </w:r>
      <w:r>
        <w:rPr>
          <w:rStyle w:val="VerbatimChar"/>
        </w:rPr>
        <w:t xml:space="preserve">now.pasta</w:t>
      </w:r>
      <w:r>
        <w:t xml:space="preserve"> entries.</w:t>
      </w:r>
    </w:p>
    <w:bookmarkEnd w:id="32"/>
    <w:bookmarkStart w:id="33" w:name="dependency-resolution"/>
    <w:p>
      <w:pPr>
        <w:pStyle w:val="Heading3"/>
      </w:pPr>
      <w:r>
        <w:t xml:space="preserve">Dependency Resolution</w:t>
      </w:r>
    </w:p>
    <w:p>
      <w:pPr>
        <w:pStyle w:val="FirstParagraph"/>
      </w:pPr>
      <w:r>
        <w:t xml:space="preserve">Resolution is a two-phase process. In the first phase, </w:t>
      </w:r>
      <w:r>
        <w:rPr>
          <w:rStyle w:val="VerbatimChar"/>
        </w:rPr>
        <w:t xml:space="preserve">now</w:t>
      </w:r>
      <w:r>
        <w:t xml:space="preserve"> traverses the dependency graph breadth-first, collecting version constraints. Each dep entry specifies a version range (</w:t>
      </w:r>
      <w:r>
        <w:rPr>
          <w:rStyle w:val="VerbatimChar"/>
        </w:rPr>
        <w:t xml:space="preserve">^1.3</w:t>
      </w:r>
      <w:r>
        <w:t xml:space="preserve"> means compatible with 1.3.x, </w:t>
      </w:r>
      <w:r>
        <w:rPr>
          <w:rStyle w:val="VerbatimChar"/>
        </w:rPr>
        <w:t xml:space="preserve">&gt;=1.0 &lt;2.0</w:t>
      </w:r>
      <w:r>
        <w:t xml:space="preserve"> is explicit). When the same artifact appears multiple times with different ranges, the ranges are intersected to find a compatible version.</w:t>
      </w:r>
    </w:p>
    <w:p>
      <w:pPr>
        <w:pStyle w:val="BodyText"/>
      </w:pPr>
      <w:r>
        <w:t xml:space="preserve">In the second phase, the resolved graph is checked for conflicts. Three convergence policies control what happens when an exact version cannot be agreed upon: </w:t>
      </w:r>
      <w:r>
        <w:rPr>
          <w:rStyle w:val="VerbatimChar"/>
        </w:rPr>
        <w:t xml:space="preserve">lowest</w:t>
      </w:r>
      <w:r>
        <w:t xml:space="preserve"> (take the minimum satisfying version), </w:t>
      </w:r>
      <w:r>
        <w:rPr>
          <w:rStyle w:val="VerbatimChar"/>
        </w:rPr>
        <w:t xml:space="preserve">highest</w:t>
      </w:r>
      <w:r>
        <w:t xml:space="preserve"> (take the maximum), or </w:t>
      </w:r>
      <w:r>
        <w:rPr>
          <w:rStyle w:val="VerbatimChar"/>
        </w:rPr>
        <w:t xml:space="preserve">exact</w:t>
      </w:r>
      <w:r>
        <w:t xml:space="preserve"> (any conflict is a hard error). The default is </w:t>
      </w:r>
      <w:r>
        <w:rPr>
          <w:rStyle w:val="VerbatimChar"/>
        </w:rPr>
        <w:t xml:space="preserve">highest</w:t>
      </w:r>
      <w:r>
        <w:t xml:space="preserve">.</w:t>
      </w:r>
    </w:p>
    <w:p>
      <w:pPr>
        <w:pStyle w:val="BodyText"/>
      </w:pPr>
      <w:r>
        <w:t xml:space="preserve">Once resolved, the complete concrete version set is written to </w:t>
      </w:r>
      <w:r>
        <w:rPr>
          <w:rStyle w:val="VerbatimChar"/>
        </w:rPr>
        <w:t xml:space="preserve">now.lock.pasta</w:t>
      </w:r>
      <w:r>
        <w:t>. Subsequent builds use the lock file directly, bypassing the resolution algorithm.</w:t>
      </w:r>
    </w:p>
    <w:bookmarkEnd w:id="33"/>
    <w:bookmarkStart w:id="34" w:name="the-registry-protocol"/>
    <w:p>
      <w:pPr>
        <w:pStyle w:val="Heading3"/>
      </w:pPr>
      <w:r>
        <w:t xml:space="preserve">The Registry Protocol</w:t>
      </w:r>
    </w:p>
    <w:p>
      <w:pPr>
        <w:pStyle w:val="FirstParagraph"/>
      </w:pPr>
      <w:r>
        <w:t xml:space="preserve">The registry exposes a simple HTTP API: </w:t>
      </w:r>
      <w:r>
        <w:rPr>
          <w:rStyle w:val="VerbatimChar"/>
        </w:rPr>
        <w:t xml:space="preserve">GET /resolve/{group}/{artifact}/{range}</w:t>
      </w:r>
      <w:r>
        <w:t xml:space="preserve"> returns available matching versions, and </w:t>
      </w:r>
      <w:r>
        <w:rPr>
          <w:rStyle w:val="VerbatimChar"/>
        </w:rPr>
        <w:t xml:space="preserve">GET /artifact/.../{filename}</w:t>
      </w:r>
      <w:r>
        <w:t xml:space="preserve"> fetches the archive. Publication is </w:t>
      </w:r>
      <w:r>
        <w:rPr>
          <w:rStyle w:val="VerbatimChar"/>
        </w:rPr>
        <w:t xml:space="preserve">PUT /artifact/...</w:t>
      </w:r>
      <w:r>
        <w:t xml:space="preserve"> with authentication.</w:t>
      </w:r>
    </w:p>
    <w:p>
      <w:pPr>
        <w:pStyle w:val="BodyText"/>
      </w:pPr>
      <w:r>
        <w:t xml:space="preserve">The local repo (</w:t>
      </w:r>
      <w:r>
        <w:rPr>
          <w:rStyle w:val="VerbatimChar"/>
        </w:rPr>
        <w:t xml:space="preserve">~/.now/repo/</w:t>
      </w:r>
      <w:r>
        <w:t xml:space="preserve">) is always checked first. If a dep at the locked exact version is already installed with matching SHA-256, </w:t>
      </w:r>
      <w:r>
        <w:rPr>
          <w:rStyle w:val="VerbatimChar"/>
        </w:rPr>
        <w:t xml:space="preserve">now</w:t>
      </w:r>
      <w:r>
        <w:t xml:space="preserve"> skips the download entirely. This makes repeated builds fast and makes offline operation possible for any project whose deps have ever been installed on the machine.</w:t>
      </w:r>
    </w:p>
    <w:bookmarkEnd w:id="34"/>
    <w:bookmarkStart w:id="35" w:name="dependency-confusion-protection"/>
    <w:p>
      <w:pPr>
        <w:pStyle w:val="Heading3"/>
      </w:pPr>
      <w:r>
        <w:t xml:space="preserve">Dependency Confusion Protection</w:t>
      </w:r>
    </w:p>
    <w:p>
      <w:pPr>
        <w:pStyle w:val="FirstParagraph"/>
      </w:pPr>
      <w:r>
        <w:t xml:space="preserve">When enterprise organisations host private registries with packages named under their own group prefixes, there is a risk that a public registry could be used to serve a maliciously-named package with the same coordinate. </w:t>
      </w:r>
      <w:r>
        <w:rPr>
          <w:rStyle w:val="VerbatimChar"/>
        </w:rPr>
        <w:t xml:space="preserve">now</w:t>
      </w:r>
      <w:r>
        <w:t xml:space="preserve"> prevents this through the </w:t>
      </w:r>
      <w:r>
        <w:rPr>
          <w:rStyle w:val="VerbatimChar"/>
        </w:rPr>
        <w:t xml:space="preserve">private_groups</w:t>
      </w:r>
      <w:r>
        <w:t xml:space="preserve"> mechanism: group prefixes declared private are only ever resolved from configured private registries, never from public ones.</w:t>
      </w:r>
    </w:p>
    <w:p>
      <w:pPr>
        <w:pStyle w:val="BodyText"/>
      </w:pPr>
      <w:r>
        <w:t>This protection runs before network access. If a dep’s group matches a private prefix and only public registries are configured, the build fails with a clear error rather than silently fetching from the wrong place.</w:t>
      </w:r>
    </w:p>
    <w:p>
      <w:r>
        <w:pict>
          <v:rect style="width:0;height:1.5pt" o:hralign="center" o:hrstd="t" o:hr="t"/>
        </w:pict>
      </w:r>
    </w:p>
    <w:bookmarkEnd w:id="35"/>
    <w:bookmarkEnd w:id="36"/>
    <w:bookmarkStart w:id="40" w:name="part-v-configuration-at-scale"/>
    <w:p>
      <w:pPr>
        <w:pStyle w:val="Heading2"/>
      </w:pPr>
      <w:r>
        <w:t xml:space="preserve">Part V — Configuration at Scale</w:t>
      </w:r>
    </w:p>
    <w:bookmarkStart w:id="37" w:name="toolchains"/>
    <w:p>
      <w:pPr>
        <w:pStyle w:val="Heading3"/>
      </w:pPr>
      <w:r>
        <w:t xml:space="preserve">Toolchains</w:t>
      </w:r>
    </w:p>
    <w:p>
      <w:pPr>
        <w:pStyle w:val="FirstParagraph"/>
      </w:pPr>
      <w:r>
        <w:t xml:space="preserve">A toolchain is a named preset that specifies the compiler, assembler, linker, and archiver for a particular platform and language family. </w:t>
      </w:r>
      <w:r>
        <w:rPr>
          <w:rStyle w:val="VerbatimChar"/>
        </w:rPr>
        <w:t xml:space="preserve">now</w:t>
      </w:r>
      <w:r>
        <w:t xml:space="preserve"> ships presets for </w:t>
      </w:r>
      <w:r>
        <w:rPr>
          <w:rStyle w:val="VerbatimChar"/>
        </w:rPr>
        <w:t xml:space="preserve">gcc</w:t>
      </w:r>
      <w:r>
        <w:t xml:space="preserve">, </w:t>
      </w:r>
      <w:r>
        <w:rPr>
          <w:rStyle w:val="VerbatimChar"/>
        </w:rPr>
        <w:t xml:space="preserve">llvm</w:t>
      </w:r>
      <w:r>
        <w:t xml:space="preserve">, </w:t>
      </w:r>
      <w:r>
        <w:rPr>
          <w:rStyle w:val="VerbatimChar"/>
        </w:rPr>
        <w:t xml:space="preserve">arm-gcc</w:t>
      </w:r>
      <w:r>
        <w:t xml:space="preserve">, </w:t>
      </w:r>
      <w:r>
        <w:rPr>
          <w:rStyle w:val="VerbatimChar"/>
        </w:rPr>
        <w:t xml:space="preserve">riscv-gcc</w:t>
      </w:r>
      <w:r>
        <w:t xml:space="preserve">, and </w:t>
      </w:r>
      <w:r>
        <w:rPr>
          <w:rStyle w:val="VerbatimChar"/>
        </w:rPr>
        <w:t xml:space="preserve">msvc</w:t>
      </w:r>
      <w:r>
        <w:t xml:space="preserve">. Each preset knows the flag mapping: how </w:t>
      </w:r>
      <w:r>
        <w:rPr>
          <w:rStyle w:val="VerbatimChar"/>
        </w:rPr>
        <w:t xml:space="preserve">now</w:t>
      </w:r>
      <w:r>
        <w:t>’s abstract compile settings (warnings, defines, optimisation level) translate to concrete compiler flags.</w:t>
      </w:r>
    </w:p>
    <w:p>
      <w:pPr>
        <w:pStyle w:val="BodyText"/>
      </w:pPr>
      <w:r>
        <w:t>The MSVC case is worth special attention because MSVC’s flag vocabulary is different from GCC/Clang. The spec devotes an entire chapter to the complete translation table. When implementing multi-platform support, do not try to abstract over GCC and MSVC with a single flag set — instead, implement the translation table faithfully. The flags that have no equivalent are explicitly noted as such.</w:t>
      </w:r>
    </w:p>
    <w:bookmarkEnd w:id="37"/>
    <w:bookmarkStart w:id="38" w:name="multi-architecture-builds"/>
    <w:p>
      <w:pPr>
        <w:pStyle w:val="Heading3"/>
      </w:pPr>
      <w:r>
        <w:t xml:space="preserve">Multi-Architecture Builds</w:t>
      </w:r>
    </w:p>
    <w:p>
      <w:pPr>
        <w:pStyle w:val="FirstParagraph"/>
      </w:pPr>
      <w:r>
        <w:rPr>
          <w:rStyle w:val="VerbatimChar"/>
        </w:rPr>
        <w:t xml:space="preserve">now</w:t>
      </w:r>
      <w:r>
        <w:t xml:space="preserve"> models build targets with platform triples: </w:t>
      </w:r>
      <w:r>
        <w:rPr>
          <w:rStyle w:val="VerbatimChar"/>
        </w:rPr>
        <w:t xml:space="preserve">{os}:{arch}:{abi}</w:t>
      </w:r>
      <w:r>
        <w:t xml:space="preserve">. For example, </w:t>
      </w:r>
      <w:r>
        <w:rPr>
          <w:rStyle w:val="VerbatimChar"/>
        </w:rPr>
        <w:t xml:space="preserve">linux:x86_64:gnu</w:t>
      </w:r>
      <w:r>
        <w:t xml:space="preserve">, </w:t>
      </w:r>
      <w:r>
        <w:rPr>
          <w:rStyle w:val="VerbatimChar"/>
        </w:rPr>
        <w:t xml:space="preserve">linux:aarch64:musl</w:t>
      </w:r>
      <w:r>
        <w:t xml:space="preserve">, </w:t>
      </w:r>
      <w:r>
        <w:rPr>
          <w:rStyle w:val="VerbatimChar"/>
        </w:rPr>
        <w:t xml:space="preserve">macos:aarch64:none</w:t>
      </w:r>
      <w:r>
        <w:t xml:space="preserve">, </w:t>
      </w:r>
      <w:r>
        <w:rPr>
          <w:rStyle w:val="VerbatimChar"/>
        </w:rPr>
        <w:t xml:space="preserve">windows:x86_64:msvc</w:t>
      </w:r>
      <w:r>
        <w:t xml:space="preserve">. The triple determines which toolchain preset is selected, which library directory is used from installed deps, and where output goes within </w:t>
      </w:r>
      <w:r>
        <w:rPr>
          <w:rStyle w:val="VerbatimChar"/>
        </w:rPr>
        <w:t xml:space="preserve">target/</w:t>
      </w:r>
      <w:r>
        <w:t xml:space="preserve">.</w:t>
      </w:r>
    </w:p>
    <w:p>
      <w:pPr>
        <w:pStyle w:val="BodyText"/>
      </w:pPr>
      <w:r>
        <w:t xml:space="preserve">Cross-compilation is handled by selecting a non-host triple. </w:t>
      </w:r>
      <w:r>
        <w:rPr>
          <w:rStyle w:val="VerbatimChar"/>
        </w:rPr>
        <w:t xml:space="preserve">now</w:t>
      </w:r>
      <w:r>
        <w:t xml:space="preserve"> then resolves all deps for the target triple (some deps ship pre-compiled for multiple platforms in a single archive; </w:t>
      </w:r>
      <w:r>
        <w:rPr>
          <w:rStyle w:val="VerbatimChar"/>
        </w:rPr>
        <w:t xml:space="preserve">now</w:t>
      </w:r>
      <w:r>
        <w:t xml:space="preserve"> selects the right platform directory from the installed layout). The toolchain for the target triple is looked up from the configured cross-compilation presets.</w:t>
      </w:r>
    </w:p>
    <w:p>
      <w:pPr>
        <w:pStyle w:val="BodyText"/>
      </w:pPr>
      <w:r>
        <w:t xml:space="preserve">Fan-out builds — </w:t>
      </w:r>
      <w:r>
        <w:rPr>
          <w:rStyle w:val="VerbatimChar"/>
        </w:rPr>
        <w:t xml:space="preserve">now build --target linux:*:musl</w:t>
      </w:r>
      <w:r>
        <w:t xml:space="preserve"> — run the build for all known architectures matching the wildcard. This is how you build and test a C library across your entire platform matrix in one command.</w:t>
      </w:r>
    </w:p>
    <w:bookmarkEnd w:id="38"/>
    <w:bookmarkStart w:id="39" w:name="the-cascading-layer-system"/>
    <w:p>
      <w:pPr>
        <w:pStyle w:val="Heading3"/>
      </w:pPr>
      <w:r>
        <w:t xml:space="preserve">The Cascading Layer System</w:t>
      </w:r>
    </w:p>
    <w:p>
      <w:pPr>
        <w:pStyle w:val="FirstParagraph"/>
      </w:pPr>
      <w:r>
        <w:t xml:space="preserve">The layer system is the organisational configuration mechanism. Where </w:t>
      </w:r>
      <w:r>
        <w:rPr>
          <w:rStyle w:val="VerbatimChar"/>
        </w:rPr>
        <w:t xml:space="preserve">now.pasta</w:t>
      </w:r>
      <w:r>
        <w:t xml:space="preserve"> is per-project, layers are per-organisation, per-department, or per-team. A layer is a Pasta document that uses </w:t>
      </w:r>
      <w:r>
        <w:rPr>
          <w:rStyle w:val="VerbatimChar"/>
        </w:rPr>
        <w:t xml:space="preserve">@section</w:t>
      </w:r>
      <w:r>
        <w:t xml:space="preserve"> names at its root. Sections correspond to areas of </w:t>
      </w:r>
      <w:r>
        <w:rPr>
          <w:rStyle w:val="VerbatimChar"/>
        </w:rPr>
        <w:t xml:space="preserve">now.pasta</w:t>
      </w:r>
      <w:r>
        <w:t xml:space="preserve"> configuration: </w:t>
      </w:r>
      <w:r>
        <w:rPr>
          <w:rStyle w:val="VerbatimChar"/>
        </w:rPr>
        <w:t xml:space="preserve">@compile</w:t>
      </w:r>
      <w:r>
        <w:t xml:space="preserve">, </w:t>
      </w:r>
      <w:r>
        <w:rPr>
          <w:rStyle w:val="VerbatimChar"/>
        </w:rPr>
        <w:t xml:space="preserve">@repos</w:t>
      </w:r>
      <w:r>
        <w:t xml:space="preserve">, </w:t>
      </w:r>
      <w:r>
        <w:rPr>
          <w:rStyle w:val="VerbatimChar"/>
        </w:rPr>
        <w:t xml:space="preserve">@toolchain</w:t>
      </w:r>
      <w:r>
        <w:t xml:space="preserve">, </w:t>
      </w:r>
      <w:r>
        <w:rPr>
          <w:rStyle w:val="VerbatimChar"/>
        </w:rPr>
        <w:t xml:space="preserve">@advisory</w:t>
      </w:r>
      <w:r>
        <w:t xml:space="preserve">, and so on.</w:t>
      </w:r>
    </w:p>
    <w:p>
      <w:pPr>
        <w:pStyle w:val="BodyText"/>
      </w:pPr>
      <w:r>
        <w:t xml:space="preserve">Layers stack in priority order, from </w:t>
      </w:r>
      <w:r>
        <w:rPr>
          <w:rStyle w:val="VerbatimChar"/>
        </w:rPr>
        <w:t xml:space="preserve">now</w:t>
      </w:r>
      <w:r>
        <w:t xml:space="preserve">’s own shipped baseline up through enterprise, department, team, and filesystem-walk layers, to the project’s own </w:t>
      </w:r>
      <w:r>
        <w:rPr>
          <w:rStyle w:val="VerbatimChar"/>
        </w:rPr>
        <w:t xml:space="preserve">now.pasta</w:t>
      </w:r>
      <w:r>
        <w:t xml:space="preserve"> at the top. Each layer may declare its sections as </w:t>
      </w:r>
      <w:r>
        <w:rPr>
          <w:rStyle w:val="VerbatimChar"/>
        </w:rPr>
        <w:t xml:space="preserve">open</w:t>
      </w:r>
      <w:r>
        <w:t xml:space="preserve"> (lower layers can override freely) or </w:t>
      </w:r>
      <w:r>
        <w:rPr>
          <w:rStyle w:val="VerbatimChar"/>
        </w:rPr>
        <w:t xml:space="preserve">locked</w:t>
      </w:r>
      <w:r>
        <w:t xml:space="preserve"> (overrides are allowed but produce an audit warning). Arrays in locked sections accumulate only — lower layers can add but not remove.</w:t>
      </w:r>
    </w:p>
    <w:p>
      <w:pPr>
        <w:pStyle w:val="BodyText"/>
      </w:pPr>
      <w:r>
        <w:t xml:space="preserve">The filesystem walk discovers </w:t>
      </w:r>
      <w:r>
        <w:rPr>
          <w:rStyle w:val="VerbatimChar"/>
        </w:rPr>
        <w:t xml:space="preserve">.now-layer.pasta</w:t>
      </w:r>
      <w:r>
        <w:t xml:space="preserve"> files by walking up the directory tree from the project. In workspace builds, this walk has two phases: upward from the workspace root (establishing a shared base stack) and downward to each module (allowing module-local extensions). The result is that each module in a large aggregated workspace can have a different effective layer configuration, reflecting the different teams that own different parts of the codebase.</w:t>
      </w:r>
    </w:p>
    <w:p>
      <w:pPr>
        <w:pStyle w:val="BodyText"/>
      </w:pPr>
      <w:r>
        <w:t xml:space="preserve">The exclusion mechanism for array layers uses two conventions: </w:t>
      </w:r>
      <w:r>
        <w:rPr>
          <w:rStyle w:val="VerbatimChar"/>
        </w:rPr>
        <w:t xml:space="preserve">!exclude:value</w:t>
      </w:r>
      <w:r>
        <w:t xml:space="preserve"> for string arrays, and </w:t>
      </w:r>
      <w:r>
        <w:rPr>
          <w:rStyle w:val="VerbatimChar"/>
        </w:rPr>
        <w:t xml:space="preserve">_exclude: true</w:t>
      </w:r>
      <w:r>
        <w:t xml:space="preserve"> inside a map-element stub for arrays of maps. Both are implemented in </w:t>
      </w:r>
      <w:r>
        <w:rPr>
          <w:rStyle w:val="VerbatimChar"/>
        </w:rPr>
        <w:t xml:space="preserve">now</w:t>
      </w:r>
      <w:r>
        <w:t xml:space="preserve"> at merge time; neither requires any Pasta language changes. The </w:t>
      </w:r>
      <w:r>
        <w:rPr>
          <w:rStyle w:val="VerbatimChar"/>
        </w:rPr>
        <w:t xml:space="preserve">_exclude</w:t>
      </w:r>
      <w:r>
        <w:t xml:space="preserve"> sentinel is stripped from the effective configuration before the build sees it.</w:t>
      </w:r>
    </w:p>
    <w:p>
      <w:r>
        <w:pict>
          <v:rect style="width:0;height:1.5pt" o:hralign="center" o:hrstd="t" o:hr="t"/>
        </w:pict>
      </w:r>
    </w:p>
    <w:bookmarkEnd w:id="39"/>
    <w:bookmarkEnd w:id="40"/>
    <w:bookmarkStart w:id="44" w:name="part-vi-safety-trust-and-security"/>
    <w:p>
      <w:pPr>
        <w:pStyle w:val="Heading2"/>
      </w:pPr>
      <w:r>
        <w:t xml:space="preserve">Part VI — Safety, Trust, and Security</w:t>
      </w:r>
    </w:p>
    <w:bookmarkStart w:id="41" w:name="signing-and-trust"/>
    <w:p>
      <w:pPr>
        <w:pStyle w:val="Heading3"/>
      </w:pPr>
      <w:r>
        <w:t xml:space="preserve">Signing and Trust</w:t>
      </w:r>
    </w:p>
    <w:p>
      <w:pPr>
        <w:pStyle w:val="FirstParagraph"/>
      </w:pPr>
      <w:r>
        <w:t xml:space="preserve">Every artifact published to the </w:t>
      </w:r>
      <w:r>
        <w:rPr>
          <w:rStyle w:val="VerbatimChar"/>
        </w:rPr>
        <w:t xml:space="preserve">now</w:t>
      </w:r>
      <w:r>
        <w:t xml:space="preserve"> registry is signed with the publisher’s key. Consumers verify the signature before installation. The trust store maps group prefixes to trusted keys, so </w:t>
      </w:r>
      <w:r>
        <w:rPr>
          <w:rStyle w:val="VerbatimChar"/>
        </w:rPr>
        <w:t xml:space="preserve">com.acme:*</w:t>
      </w:r>
      <w:r>
        <w:t xml:space="preserve"> can only be installed if the artifact is signed by Acme’s registered key.</w:t>
      </w:r>
    </w:p>
    <w:p>
      <w:pPr>
        <w:pStyle w:val="BodyText"/>
      </w:pPr>
      <w:r>
        <w:t xml:space="preserve">The trust model is hierarchical: the </w:t>
      </w:r>
      <w:r>
        <w:rPr>
          <w:rStyle w:val="VerbatimChar"/>
        </w:rPr>
        <w:t xml:space="preserve">now</w:t>
      </w:r>
      <w:r>
        <w:t xml:space="preserve"> central registry has a root of trust, organisations register their keys with the registry, and consumers trust the registry’s key list by default. Organisations can also distribute their key directly for air-gapped environments.</w:t>
      </w:r>
    </w:p>
    <w:bookmarkEnd w:id="41"/>
    <w:bookmarkStart w:id="42" w:name="reproducible-builds"/>
    <w:p>
      <w:pPr>
        <w:pStyle w:val="Heading3"/>
      </w:pPr>
      <w:r>
        <w:t xml:space="preserve">Reproducible Builds</w:t>
      </w:r>
    </w:p>
    <w:p>
      <w:pPr>
        <w:pStyle w:val="FirstParagraph"/>
      </w:pPr>
      <w:r>
        <w:t xml:space="preserve">When </w:t>
      </w:r>
      <w:r>
        <w:rPr>
          <w:rStyle w:val="VerbatimChar"/>
        </w:rPr>
        <w:t xml:space="preserve">reproducible: true</w:t>
      </w:r>
      <w:r>
        <w:t xml:space="preserve"> is set in a project, </w:t>
      </w:r>
      <w:r>
        <w:rPr>
          <w:rStyle w:val="VerbatimChar"/>
        </w:rPr>
        <w:t xml:space="preserve">now</w:t>
      </w:r>
      <w:r>
        <w:t xml:space="preserve"> activates a set of measures that eliminate non-determinism from the build output. This includes replacing </w:t>
      </w:r>
      <w:r>
        <w:rPr>
          <w:rStyle w:val="VerbatimChar"/>
        </w:rPr>
        <w:t xml:space="preserve">__DATE__</w:t>
      </w:r>
      <w:r>
        <w:t xml:space="preserve"> and </w:t>
      </w:r>
      <w:r>
        <w:rPr>
          <w:rStyle w:val="VerbatimChar"/>
        </w:rPr>
        <w:t xml:space="preserve">__TIME__</w:t>
      </w:r>
      <w:r>
        <w:t xml:space="preserve"> macros with values derived from the latest git commit timestamp, sorting file lists before passing them to the linker, and stripping embedded build paths.</w:t>
      </w:r>
    </w:p>
    <w:p>
      <w:pPr>
        <w:pStyle w:val="BodyText"/>
      </w:pPr>
      <w:r>
        <w:t xml:space="preserve">The reproducibility guarantee: given the same </w:t>
      </w:r>
      <w:r>
        <w:rPr>
          <w:rStyle w:val="VerbatimChar"/>
        </w:rPr>
        <w:t xml:space="preserve">now.lock.pasta</w:t>
      </w:r>
      <w:r>
        <w:t xml:space="preserve"> and source tree, every build on every machine produces a byte-identical output. This is verifiable with </w:t>
      </w:r>
      <w:r>
        <w:rPr>
          <w:rStyle w:val="VerbatimChar"/>
        </w:rPr>
        <w:t xml:space="preserve">now reproducible:check</w:t>
      </w:r>
      <w:r>
        <w:t>, which builds twice and compares checksums.</w:t>
      </w:r>
    </w:p>
    <w:bookmarkEnd w:id="42"/>
    <w:bookmarkStart w:id="43" w:name="advisory-phase-guards"/>
    <w:p>
      <w:pPr>
        <w:pStyle w:val="Heading3"/>
      </w:pPr>
      <w:r>
        <w:t xml:space="preserve">Advisory Phase Guards</w:t>
      </w:r>
    </w:p>
    <w:p>
      <w:pPr>
        <w:pStyle w:val="FirstParagraph"/>
      </w:pPr>
      <w:r>
        <w:t xml:space="preserve">The advisory system integrates vulnerability information into the build lifecycle. </w:t>
      </w:r>
      <w:r>
        <w:rPr>
          <w:rStyle w:val="VerbatimChar"/>
        </w:rPr>
        <w:t xml:space="preserve">now</w:t>
      </w:r>
      <w:r>
        <w:t xml:space="preserve"> checks each locked dependency against a security advisory database during the </w:t>
      </w:r>
      <w:r>
        <w:rPr>
          <w:rStyle w:val="VerbatimChar"/>
        </w:rPr>
        <w:t xml:space="preserve">procure</w:t>
      </w:r>
      <w:r>
        <w:t xml:space="preserve"> phase. Advisories are classified by severity and matched against installed version ranges.</w:t>
      </w:r>
    </w:p>
    <w:p>
      <w:pPr>
        <w:pStyle w:val="BodyText"/>
      </w:pPr>
      <w:r>
        <w:t xml:space="preserve">The phase guard configuration controls what happens when an advisory is found: </w:t>
      </w:r>
      <w:r>
        <w:rPr>
          <w:rStyle w:val="VerbatimChar"/>
        </w:rPr>
        <w:t xml:space="preserve">error</w:t>
      </w:r>
      <w:r>
        <w:t xml:space="preserve"> halts the build, </w:t>
      </w:r>
      <w:r>
        <w:rPr>
          <w:rStyle w:val="VerbatimChar"/>
        </w:rPr>
        <w:t xml:space="preserve">warn</w:t>
      </w:r>
      <w:r>
        <w:t xml:space="preserve"> continues with a warning, </w:t>
      </w:r>
      <w:r>
        <w:rPr>
          <w:rStyle w:val="VerbatimChar"/>
        </w:rPr>
        <w:t xml:space="preserve">note</w:t>
      </w:r>
      <w:r>
        <w:t xml:space="preserve"> records it silently. The defaults — </w:t>
      </w:r>
      <w:r>
        <w:rPr>
          <w:rStyle w:val="VerbatimChar"/>
        </w:rPr>
        <w:t xml:space="preserve">critical: error</w:t>
      </w:r>
      <w:r>
        <w:t xml:space="preserve">, </w:t>
      </w:r>
      <w:r>
        <w:rPr>
          <w:rStyle w:val="VerbatimChar"/>
        </w:rPr>
        <w:t xml:space="preserve">high: warn</w:t>
      </w:r>
      <w:r>
        <w:t xml:space="preserve"> — are established in the shipped </w:t>
      </w:r>
      <w:r>
        <w:rPr>
          <w:rStyle w:val="VerbatimChar"/>
        </w:rPr>
        <w:t xml:space="preserve">now-baseline</w:t>
      </w:r>
      <w:r>
        <w:t xml:space="preserve"> layer and can be tightened by enterprise layers. Any forced override of a locked advisory configuration is recorded in an audit trail, visible via </w:t>
      </w:r>
      <w:r>
        <w:rPr>
          <w:rStyle w:val="VerbatimChar"/>
        </w:rPr>
        <w:t xml:space="preserve">now advisory:audit</w:t>
      </w:r>
      <w:r>
        <w:t xml:space="preserve">.</w:t>
      </w:r>
    </w:p>
    <w:p>
      <w:r>
        <w:pict>
          <v:rect style="width:0;height:1.5pt" o:hralign="center" o:hrstd="t" o:hr="t"/>
        </w:pict>
      </w:r>
    </w:p>
    <w:bookmarkEnd w:id="43"/>
    <w:bookmarkEnd w:id="44"/>
    <w:bookmarkStart w:id="48" w:name="part-vii-the-extended-ecosystem"/>
    <w:p>
      <w:pPr>
        <w:pStyle w:val="Heading2"/>
      </w:pPr>
      <w:r>
        <w:t xml:space="preserve">Part VII — The Extended Ecosystem</w:t>
      </w:r>
    </w:p>
    <w:bookmarkStart w:id="45" w:name="plugins"/>
    <w:p>
      <w:pPr>
        <w:pStyle w:val="Heading3"/>
      </w:pPr>
      <w:r>
        <w:t xml:space="preserve">Plugins</w:t>
      </w:r>
    </w:p>
    <w:p>
      <w:pPr>
        <w:pStyle w:val="FirstParagraph"/>
      </w:pPr>
      <w:r>
        <w:t xml:space="preserve">Plugins extend </w:t>
      </w:r>
      <w:r>
        <w:rPr>
          <w:rStyle w:val="VerbatimChar"/>
        </w:rPr>
        <w:t xml:space="preserve">now</w:t>
      </w:r>
      <w:r>
        <w:t xml:space="preserve"> at defined lifecycle hooks. They are standalone executables that communicate with </w:t>
      </w:r>
      <w:r>
        <w:rPr>
          <w:rStyle w:val="VerbatimChar"/>
        </w:rPr>
        <w:t xml:space="preserve">now</w:t>
      </w:r>
      <w:r>
        <w:t xml:space="preserve"> via a Pasta-over-stdin/stdout protocol. Declaring a plugin in </w:t>
      </w:r>
      <w:r>
        <w:rPr>
          <w:rStyle w:val="VerbatimChar"/>
        </w:rPr>
        <w:t xml:space="preserve">now.pasta</w:t>
      </w:r>
      <w:r>
        <w:t xml:space="preserve"> causes it to be procured from the registry like a dependency.</w:t>
      </w:r>
    </w:p>
    <w:p>
      <w:pPr>
        <w:pStyle w:val="BodyText"/>
      </w:pPr>
      <w:r>
        <w:t xml:space="preserve">Each plugin ships a </w:t>
      </w:r>
      <w:r>
        <w:rPr>
          <w:rStyle w:val="VerbatimChar"/>
        </w:rPr>
        <w:t xml:space="preserve">plugin.pasta</w:t>
      </w:r>
      <w:r>
        <w:t xml:space="preserve"> manifest that declares which hooks it handles, what capabilities it needs (filesystem write, network access, etc.), and its concurrency constraints (whether it can run alongside other plugins or needs exclusive access). The capability model is what prevents a malicious plugin from having more access than it declared.</w:t>
      </w:r>
    </w:p>
    <w:bookmarkEnd w:id="45"/>
    <w:bookmarkStart w:id="46" w:name="ide-integration-and-the-stay-daemon"/>
    <w:p>
      <w:pPr>
        <w:pStyle w:val="Heading3"/>
      </w:pPr>
      <w:r>
        <w:t xml:space="preserve">IDE Integration and the Stay Daemon</w:t>
      </w:r>
    </w:p>
    <w:p>
      <w:pPr>
        <w:pStyle w:val="FirstParagraph"/>
      </w:pPr>
      <w:r>
        <w:rPr>
          <w:rStyle w:val="VerbatimChar"/>
        </w:rPr>
        <w:t xml:space="preserve">now stay</w:t>
      </w:r>
      <w:r>
        <w:t xml:space="preserve"> is a long-running daemon that watches the project for changes and rebuilds incrementally. It provides a structured event stream for IDEs: build-started, source-changed, error, build-complete. The IDE adapter (Language Server Protocol bridge) translates this event stream into LSP notifications.</w:t>
      </w:r>
    </w:p>
    <w:p>
      <w:pPr>
        <w:pStyle w:val="BodyText"/>
      </w:pPr>
      <w:r>
        <w:t xml:space="preserve">The daemon also exports the compile database — </w:t>
      </w:r>
      <w:r>
        <w:rPr>
          <w:rStyle w:val="VerbatimChar"/>
        </w:rPr>
        <w:t xml:space="preserve">compile_commands.json</w:t>
      </w:r>
      <w:r>
        <w:t xml:space="preserve"> — used by </w:t>
      </w:r>
      <w:r>
        <w:rPr>
          <w:rStyle w:val="VerbatimChar"/>
        </w:rPr>
        <w:t xml:space="preserve">clangd</w:t>
      </w:r>
      <w:r>
        <w:t xml:space="preserve"> and other language servers for accurate symbol resolution and semantic highlighting. Every time a source file’s compile flags change, the daemon regenerates the compile database automatically.</w:t>
      </w:r>
    </w:p>
    <w:bookmarkEnd w:id="46"/>
    <w:bookmarkStart w:id="47" w:name="embedded-and-freestanding-platforms"/>
    <w:p>
      <w:pPr>
        <w:pStyle w:val="Heading3"/>
      </w:pPr>
      <w:r>
        <w:t xml:space="preserve">Embedded and Freestanding Platforms</w:t>
      </w:r>
    </w:p>
    <w:p>
      <w:pPr>
        <w:pStyle w:val="FirstParagraph"/>
      </w:pPr>
      <w:r>
        <w:t xml:space="preserve">For targets without a standard operating system — microcontrollers, OS kernels, bare-metal hardware — </w:t>
      </w:r>
      <w:r>
        <w:rPr>
          <w:rStyle w:val="VerbatimChar"/>
        </w:rPr>
        <w:t xml:space="preserve">now</w:t>
      </w:r>
      <w:r>
        <w:t xml:space="preserve"> supports freestanding output types and custom memory models. A freestanding project specifies a custom linker script (inline in </w:t>
      </w:r>
      <w:r>
        <w:rPr>
          <w:rStyle w:val="VerbatimChar"/>
        </w:rPr>
        <w:t xml:space="preserve">now.pasta</w:t>
      </w:r>
      <w:r>
        <w:t xml:space="preserve"> using a multiline string, or as a separate file), a startup object, and typically disables the standard library.</w:t>
      </w:r>
    </w:p>
    <w:p>
      <w:pPr>
        <w:pStyle w:val="BodyText"/>
      </w:pPr>
      <w:r>
        <w:t xml:space="preserve">Platform definitions for exotic targets (Amiga 68k, RISC-V Nova CPU) are registered as custom platform entries in </w:t>
      </w:r>
      <w:r>
        <w:rPr>
          <w:rStyle w:val="VerbatimChar"/>
        </w:rPr>
        <w:t xml:space="preserve">now.pasta</w:t>
      </w:r>
      <w:r>
        <w:t xml:space="preserve">. The platform entry specifies the toolchain prefix, output format, entry point, and any platform-specific link flags. Once registered, the platform is a first-class build target, usable with </w:t>
      </w:r>
      <w:r>
        <w:rPr>
          <w:rStyle w:val="VerbatimChar"/>
        </w:rPr>
        <w:t xml:space="preserve">--target amiga:m68k:none</w:t>
      </w:r>
      <w:r>
        <w:t xml:space="preserve"> like any other.</w:t>
      </w:r>
    </w:p>
    <w:p>
      <w:r>
        <w:pict>
          <v:rect style="width:0;height:1.5pt" o:hralign="center" o:hrstd="t" o:hr="t"/>
        </w:pict>
      </w:r>
    </w:p>
    <w:bookmarkEnd w:id="47"/>
    <w:bookmarkEnd w:id="48"/>
    <w:bookmarkStart w:id="49" w:name="part-viii-implementation-order"/>
    <w:p>
      <w:pPr>
        <w:pStyle w:val="Heading2"/>
      </w:pPr>
      <w:r>
        <w:t xml:space="preserve">Part VIII — Implementation Order</w:t>
      </w:r>
    </w:p>
    <w:p>
      <w:pPr>
        <w:pStyle w:val="FirstParagraph"/>
      </w:pPr>
      <w:r>
        <w:t xml:space="preserve">If you are building </w:t>
      </w:r>
      <w:r>
        <w:rPr>
          <w:rStyle w:val="VerbatimChar"/>
        </w:rPr>
        <w:t xml:space="preserve">now</w:t>
      </w:r>
      <w:r>
        <w:t xml:space="preserve"> from scratch, here is the recommended order. Steps marked </w:t>
      </w:r>
      <w:r>
        <w:rPr>
          <w:bCs/>
          <w:b/>
        </w:rPr>
        <w:t xml:space="preserve">[Post-v1]</w:t>
      </w:r>
      <w:r>
        <w:t xml:space="preserve"> are fully specified but not required for the initial release — complete the v1 core first.</w:t>
      </w:r>
    </w:p>
    <w:p>
      <w:pPr>
        <w:pStyle w:val="BodyText"/>
      </w:pPr>
      <w:r>
        <w:rPr>
          <w:bCs/>
          <w:b/>
        </w:rPr>
        <w:t xml:space="preserve">v1 Core (target C and C++ on Linux, macOS, Windows):</w:t>
      </w:r>
    </w:p>
    <w:p>
      <w:pPr>
        <w:pStyle w:val="Compact"/>
        <w:numPr>
          <w:ilvl w:val="0"/>
          <w:numId w:val="1001"/>
        </w:numPr>
      </w:pPr>
      <w:r>
        <w:rPr>
          <w:bCs/>
          <w:b/>
        </w:rPr>
        <w:t xml:space="preserve">Pasta parser</w:t>
      </w:r>
      <w:r>
        <w:t xml:space="preserve"> — the foundation; nothing else works without it.</w:t>
      </w:r>
    </w:p>
    <w:p>
      <w:pPr>
        <w:pStyle w:val="Compact"/>
        <w:numPr>
          <w:ilvl w:val="0"/>
          <w:numId w:val="1001"/>
        </w:numPr>
      </w:pPr>
      <w:r>
        <w:rPr>
          <w:bCs/>
          <w:b/>
        </w:rPr>
        <w:t xml:space="preserve">POM loader</w:t>
      </w:r>
      <w:r>
        <w:t xml:space="preserve"> — parse </w:t>
      </w:r>
      <w:r>
        <w:rPr>
          <w:rStyle w:val="VerbatimChar"/>
        </w:rPr>
        <w:t xml:space="preserve">now.pasta</w:t>
      </w:r>
      <w:r>
        <w:t xml:space="preserve"> into a struct. Implement field merge (profiles, </w:t>
      </w:r>
      <w:r>
        <w:rPr>
          <w:rStyle w:val="VerbatimChar"/>
        </w:rPr>
        <w:t xml:space="preserve">!</w:t>
      </w:r>
      <w:r>
        <w:t xml:space="preserve"> prefix).</w:t>
      </w:r>
    </w:p>
    <w:p>
      <w:pPr>
        <w:pStyle w:val="Compact"/>
        <w:numPr>
          <w:ilvl w:val="0"/>
          <w:numId w:val="1001"/>
        </w:numPr>
      </w:pPr>
      <w:r>
        <w:rPr>
          <w:bCs/>
          <w:b/>
        </w:rPr>
        <w:t xml:space="preserve">Directory layout</w:t>
      </w:r>
      <w:r>
        <w:t xml:space="preserve"> — establish </w:t>
      </w:r>
      <w:r>
        <w:rPr>
          <w:rStyle w:val="VerbatimChar"/>
        </w:rPr>
        <w:t xml:space="preserve">target/</w:t>
      </w:r>
      <w:r>
        <w:t xml:space="preserve">, </w:t>
      </w:r>
      <w:r>
        <w:rPr>
          <w:rStyle w:val="VerbatimChar"/>
        </w:rPr>
        <w:t xml:space="preserve">src/</w:t>
      </w:r>
      <w:r>
        <w:t xml:space="preserve">, the object naming convention.</w:t>
      </w:r>
    </w:p>
    <w:p>
      <w:pPr>
        <w:pStyle w:val="Compact"/>
        <w:numPr>
          <w:ilvl w:val="0"/>
          <w:numId w:val="1001"/>
        </w:numPr>
      </w:pPr>
      <w:r>
        <w:rPr>
          <w:bCs/>
          <w:b/>
        </w:rPr>
        <w:t xml:space="preserve">Language type system</w:t>
      </w:r>
      <w:r>
        <w:t xml:space="preserve"> — the extension registry; dispatch to tools. Implement C and C++ only.</w:t>
      </w:r>
    </w:p>
    <w:p>
      <w:pPr>
        <w:pStyle w:val="Compact"/>
        <w:numPr>
          <w:ilvl w:val="0"/>
          <w:numId w:val="1001"/>
        </w:numPr>
      </w:pPr>
      <w:r>
        <w:rPr>
          <w:bCs/>
          <w:b/>
        </w:rPr>
        <w:t xml:space="preserve">Build phase</w:t>
      </w:r>
      <w:r>
        <w:t xml:space="preserve"> — invoke compiler, produce </w:t>
      </w:r>
      <w:r>
        <w:rPr>
          <w:rStyle w:val="VerbatimChar"/>
        </w:rPr>
        <w:t xml:space="preserve">.o</w:t>
      </w:r>
      <w:r>
        <w:t xml:space="preserve"> files. No incrementality yet.</w:t>
      </w:r>
    </w:p>
    <w:p>
      <w:pPr>
        <w:pStyle w:val="Compact"/>
        <w:numPr>
          <w:ilvl w:val="0"/>
          <w:numId w:val="1001"/>
        </w:numPr>
      </w:pPr>
      <w:r>
        <w:rPr>
          <w:bCs/>
          <w:b/>
        </w:rPr>
        <w:t xml:space="preserve">Incremental manifest</w:t>
      </w:r>
      <w:r>
        <w:t xml:space="preserve"> — add the </w:t>
      </w:r>
      <w:r>
        <w:rPr>
          <w:rStyle w:val="VerbatimChar"/>
        </w:rPr>
        <w:t xml:space="preserve">.now-manifest</w:t>
      </w:r>
      <w:r>
        <w:t xml:space="preserve"> check. Now builds are fast.</w:t>
      </w:r>
    </w:p>
    <w:p>
      <w:pPr>
        <w:pStyle w:val="Compact"/>
        <w:numPr>
          <w:ilvl w:val="0"/>
          <w:numId w:val="1001"/>
        </w:numPr>
      </w:pPr>
      <w:r>
        <w:rPr>
          <w:bCs/>
          <w:b/>
        </w:rPr>
        <w:t xml:space="preserve">Link phase</w:t>
      </w:r>
      <w:r>
        <w:t xml:space="preserve"> — archiver for static, linker for shared/executable.</w:t>
      </w:r>
    </w:p>
    <w:p>
      <w:pPr>
        <w:pStyle w:val="Compact"/>
        <w:numPr>
          <w:ilvl w:val="0"/>
          <w:numId w:val="1001"/>
        </w:numPr>
      </w:pPr>
      <w:r>
        <w:rPr>
          <w:bCs/>
          <w:b/>
        </w:rPr>
        <w:t xml:space="preserve">Dependency resolution</w:t>
      </w:r>
      <w:r>
        <w:t xml:space="preserve"> — version ranges, convergence, lock file.</w:t>
      </w:r>
    </w:p>
    <w:p>
      <w:pPr>
        <w:pStyle w:val="Compact"/>
        <w:numPr>
          <w:ilvl w:val="0"/>
          <w:numId w:val="1001"/>
        </w:numPr>
      </w:pPr>
      <w:r>
        <w:rPr>
          <w:bCs/>
          <w:b/>
        </w:rPr>
        <w:t xml:space="preserve">Procure phase</w:t>
      </w:r>
      <w:r>
        <w:t xml:space="preserve"> — download, verify SHA-256, install to local repo.</w:t>
      </w:r>
    </w:p>
    <w:p>
      <w:pPr>
        <w:pStyle w:val="Compact"/>
        <w:numPr>
          <w:ilvl w:val="0"/>
          <w:numId w:val="1001"/>
        </w:numPr>
      </w:pPr>
      <w:r>
        <w:rPr>
          <w:bCs/>
          <w:b/>
        </w:rPr>
        <w:t xml:space="preserve">Registry</w:t>
      </w:r>
      <w:r>
        <w:t xml:space="preserve"> — HTTP client for resolve and fetch (see </w:t>
      </w:r>
      <w:r>
        <w:rPr>
          <w:rStyle w:val="VerbatimChar"/>
        </w:rPr>
        <w:t xml:space="preserve">cookbook</w:t>
      </w:r>
      <w:r>
        <w:t xml:space="preserve">). Publish comes later.</w:t>
      </w:r>
    </w:p>
    <w:p>
      <w:pPr>
        <w:pStyle w:val="Compact"/>
        <w:numPr>
          <w:ilvl w:val="0"/>
          <w:numId w:val="1001"/>
        </w:numPr>
      </w:pPr>
      <w:r>
        <w:rPr>
          <w:bCs/>
          <w:b/>
        </w:rPr>
        <w:t xml:space="preserve">Test phase</w:t>
      </w:r>
      <w:r>
        <w:t xml:space="preserve"> — compile test sources, link against project objects, execute.</w:t>
      </w:r>
    </w:p>
    <w:p>
      <w:pPr>
        <w:pStyle w:val="Compact"/>
        <w:numPr>
          <w:ilvl w:val="0"/>
          <w:numId w:val="1001"/>
        </w:numPr>
      </w:pPr>
      <w:r>
        <w:rPr>
          <w:bCs/>
          <w:b/>
        </w:rPr>
        <w:t xml:space="preserve">Build graph and parallelism</w:t>
      </w:r>
      <w:r>
        <w:t xml:space="preserve"> — DAG construction, thread pool, selective rebuild.</w:t>
      </w:r>
    </w:p>
    <w:p>
      <w:pPr>
        <w:pStyle w:val="Compact"/>
        <w:numPr>
          <w:ilvl w:val="0"/>
          <w:numId w:val="1001"/>
        </w:numPr>
      </w:pPr>
      <w:r>
        <w:rPr>
          <w:bCs/>
          <w:b/>
        </w:rPr>
        <w:t xml:space="preserve">Module pre-scan</w:t>
      </w:r>
      <w:r>
        <w:t xml:space="preserve"> — for C++20 modules; extend to Ada, Modula-2, Fortran post-v1.</w:t>
      </w:r>
    </w:p>
    <w:p>
      <w:pPr>
        <w:pStyle w:val="Compact"/>
        <w:numPr>
          <w:ilvl w:val="0"/>
          <w:numId w:val="1001"/>
        </w:numPr>
      </w:pPr>
      <w:r>
        <w:rPr>
          <w:bCs/>
          <w:b/>
        </w:rPr>
        <w:t xml:space="preserve">Plugins and generate phase</w:t>
      </w:r>
      <w:r>
        <w:t xml:space="preserve"> — plugin procure, manifest validation, IPC protocol.</w:t>
      </w:r>
    </w:p>
    <w:p>
      <w:pPr>
        <w:pStyle w:val="Compact"/>
        <w:numPr>
          <w:ilvl w:val="0"/>
          <w:numId w:val="1001"/>
        </w:numPr>
      </w:pPr>
      <w:r>
        <w:rPr>
          <w:bCs/>
          <w:b/>
        </w:rPr>
        <w:t xml:space="preserve">Packaging and install</w:t>
      </w:r>
      <w:r>
        <w:t xml:space="preserve"> — tarball assembly, local repo extraction.</w:t>
      </w:r>
    </w:p>
    <w:p>
      <w:pPr>
        <w:pStyle w:val="Compact"/>
        <w:numPr>
          <w:ilvl w:val="0"/>
          <w:numId w:val="1001"/>
        </w:numPr>
      </w:pPr>
      <w:r>
        <w:rPr>
          <w:bCs/>
          <w:b/>
        </w:rPr>
        <w:t xml:space="preserve">Multi-architecture</w:t>
      </w:r>
      <w:r>
        <w:t xml:space="preserve"> — triple syntax, toolchain selection, fan-out (Linux/macOS/Win triples).</w:t>
      </w:r>
    </w:p>
    <w:p>
      <w:pPr>
        <w:pStyle w:val="Compact"/>
        <w:numPr>
          <w:ilvl w:val="0"/>
          <w:numId w:val="1001"/>
        </w:numPr>
      </w:pPr>
      <w:r>
        <w:rPr>
          <w:bCs/>
          <w:b/>
        </w:rPr>
        <w:t xml:space="preserve">Workspace and modules</w:t>
      </w:r>
      <w:r>
        <w:t xml:space="preserve"> — root descriptor, inheritance, module graph.</w:t>
      </w:r>
    </w:p>
    <w:p>
      <w:pPr>
        <w:pStyle w:val="Compact"/>
        <w:numPr>
          <w:ilvl w:val="0"/>
          <w:numId w:val="1001"/>
        </w:numPr>
      </w:pPr>
      <w:r>
        <w:rPr>
          <w:bCs/>
          <w:b/>
        </w:rPr>
        <w:t xml:space="preserve">Layer system</w:t>
      </w:r>
      <w:r>
        <w:t xml:space="preserve"> — baseline, org/team layers, section merge, audit trail.</w:t>
      </w:r>
    </w:p>
    <w:p>
      <w:pPr>
        <w:pStyle w:val="Compact"/>
        <w:numPr>
          <w:ilvl w:val="0"/>
          <w:numId w:val="1001"/>
        </w:numPr>
      </w:pPr>
      <w:r>
        <w:rPr>
          <w:bCs/>
          <w:b/>
        </w:rPr>
        <w:t xml:space="preserve">Signing and trust</w:t>
      </w:r>
      <w:r>
        <w:t xml:space="preserve"> — key registration, signature verification, trust store.</w:t>
      </w:r>
    </w:p>
    <w:p>
      <w:pPr>
        <w:pStyle w:val="Compact"/>
        <w:numPr>
          <w:ilvl w:val="0"/>
          <w:numId w:val="1001"/>
        </w:numPr>
      </w:pPr>
      <w:r>
        <w:rPr>
          <w:bCs/>
          <w:b/>
        </w:rPr>
        <w:t xml:space="preserve">Reproducible builds</w:t>
      </w:r>
      <w:r>
        <w:t xml:space="preserve"> — determinism measures, </w:t>
      </w:r>
      <w:r>
        <w:rPr>
          <w:rStyle w:val="VerbatimChar"/>
        </w:rPr>
        <w:t xml:space="preserve">now reproducible:check</w:t>
      </w:r>
      <w:r>
        <w:t xml:space="preserve">.</w:t>
      </w:r>
    </w:p>
    <w:p>
      <w:pPr>
        <w:pStyle w:val="Compact"/>
        <w:numPr>
          <w:ilvl w:val="0"/>
          <w:numId w:val="1001"/>
        </w:numPr>
      </w:pPr>
      <w:r>
        <w:rPr>
          <w:bCs/>
          <w:b/>
        </w:rPr>
        <w:t xml:space="preserve">Advisory guards</w:t>
      </w:r>
      <w:r>
        <w:t xml:space="preserve"> — vulnerability database integration, phase guard config.</w:t>
      </w:r>
    </w:p>
    <w:p>
      <w:pPr>
        <w:pStyle w:val="Compact"/>
        <w:numPr>
          <w:ilvl w:val="0"/>
          <w:numId w:val="1001"/>
        </w:numPr>
      </w:pPr>
      <w:r>
        <w:rPr>
          <w:bCs/>
          <w:b/>
        </w:rPr>
        <w:t xml:space="preserve">CI integration</w:t>
      </w:r>
      <w:r>
        <w:t xml:space="preserve"> — structured output, cache key helpers, </w:t>
      </w:r>
      <w:r>
        <w:rPr>
          <w:rStyle w:val="VerbatimChar"/>
        </w:rPr>
        <w:t xml:space="preserve">now ci</w:t>
      </w:r>
      <w:r>
        <w:t xml:space="preserve"> lifecycle.</w:t>
      </w:r>
    </w:p>
    <w:p>
      <w:pPr>
        <w:pStyle w:val="Compact"/>
        <w:numPr>
          <w:ilvl w:val="0"/>
          <w:numId w:val="1001"/>
        </w:numPr>
      </w:pPr>
      <w:r>
        <w:rPr>
          <w:bCs/>
          <w:b/>
        </w:rPr>
        <w:t xml:space="preserve">MSVC support</w:t>
      </w:r>
      <w:r>
        <w:t xml:space="preserve"> — flag translation table, Visual Studio toolchain preset.</w:t>
      </w:r>
    </w:p>
    <w:p>
      <w:pPr>
        <w:pStyle w:val="Compact"/>
        <w:numPr>
          <w:ilvl w:val="0"/>
          <w:numId w:val="1001"/>
        </w:numPr>
      </w:pPr>
      <w:r>
        <w:rPr>
          <w:bCs/>
          <w:b/>
        </w:rPr>
        <w:t xml:space="preserve">Dependency confusion protection</w:t>
      </w:r>
      <w:r>
        <w:t xml:space="preserve"> — private group enforcement, registry ordering.</w:t>
      </w:r>
    </w:p>
    <w:p>
      <w:pPr>
        <w:pStyle w:val="Compact"/>
        <w:numPr>
          <w:ilvl w:val="0"/>
          <w:numId w:val="1001"/>
        </w:numPr>
      </w:pPr>
      <w:r>
        <w:rPr>
          <w:bCs/>
          <w:b/>
        </w:rPr>
        <w:t xml:space="preserve">Layer audit and governance</w:t>
      </w:r>
      <w:r>
        <w:t xml:space="preserve"> — </w:t>
      </w:r>
      <w:r>
        <w:rPr>
          <w:rStyle w:val="VerbatimChar"/>
        </w:rPr>
        <w:t xml:space="preserve">now layers:audit</w:t>
      </w:r>
      <w:r>
        <w:t xml:space="preserve">, per-module stack reporting.</w:t>
      </w:r>
    </w:p>
    <w:p>
      <w:pPr>
        <w:pStyle w:val="Compact"/>
        <w:numPr>
          <w:ilvl w:val="0"/>
          <w:numId w:val="1001"/>
        </w:numPr>
      </w:pPr>
      <w:r>
        <w:rPr>
          <w:bCs/>
          <w:b/>
        </w:rPr>
        <w:t xml:space="preserve">Publish</w:t>
      </w:r>
      <w:r>
        <w:t xml:space="preserve"> — registry HTTP PUT, authentication, pre-publish checks.</w:t>
      </w:r>
    </w:p>
    <w:p>
      <w:pPr>
        <w:pStyle w:val="FirstParagraph"/>
      </w:pPr>
      <w:r>
        <w:rPr>
          <w:bCs/>
          <w:b/>
        </w:rPr>
        <w:t xml:space="preserve">Post-v1 extensions (fully specified, implement after v1 is stable):</w:t>
      </w:r>
    </w:p>
    <w:p>
      <w:pPr>
        <w:pStyle w:val="Compact"/>
        <w:numPr>
          <w:ilvl w:val="0"/>
          <w:numId w:val="1002"/>
        </w:numPr>
      </w:pPr>
      <w:r>
        <w:rPr>
          <w:bCs/>
          <w:b/>
        </w:rPr>
        <w:t xml:space="preserve">IDE integration</w:t>
      </w:r>
      <w:r>
        <w:t xml:space="preserve"> </w:t>
      </w:r>
      <w:r>
        <w:rPr>
          <w:iCs/>
          <w:i/>
        </w:rPr>
        <w:t xml:space="preserve">(Ch. 19)</w:t>
      </w:r>
      <w:r>
        <w:t xml:space="preserve"> — compile database, </w:t>
      </w:r>
      <w:r>
        <w:rPr>
          <w:rStyle w:val="VerbatimChar"/>
        </w:rPr>
        <w:t xml:space="preserve">now stay</w:t>
      </w:r>
      <w:r>
        <w:t xml:space="preserve"> daemon, LSP bridge.</w:t>
      </w:r>
    </w:p>
    <w:p>
      <w:pPr>
        <w:pStyle w:val="Compact"/>
        <w:numPr>
          <w:ilvl w:val="0"/>
          <w:numId w:val="1002"/>
        </w:numPr>
      </w:pPr>
      <w:r>
        <w:rPr>
          <w:bCs/>
          <w:b/>
        </w:rPr>
        <w:t xml:space="preserve">Embedded platforms</w:t>
      </w:r>
      <w:r>
        <w:t xml:space="preserve"> </w:t>
      </w:r>
      <w:r>
        <w:rPr>
          <w:iCs/>
          <w:i/>
        </w:rPr>
        <w:t xml:space="preserve">(Ch. 23)</w:t>
      </w:r>
      <w:r>
        <w:t xml:space="preserve"> — freestanding output, custom linker scripts, platform registry.</w:t>
      </w:r>
    </w:p>
    <w:p>
      <w:pPr>
        <w:pStyle w:val="Compact"/>
        <w:numPr>
          <w:ilvl w:val="0"/>
          <w:numId w:val="1002"/>
        </w:numPr>
      </w:pPr>
      <w:r>
        <w:rPr>
          <w:bCs/>
          <w:b/>
        </w:rPr>
        <w:t xml:space="preserve">Additional language types</w:t>
      </w:r>
      <w:r>
        <w:t xml:space="preserve"> </w:t>
      </w:r>
      <w:r>
        <w:rPr>
          <w:iCs/>
          <w:i/>
        </w:rPr>
        <w:t xml:space="preserve">(Ch. 4)</w:t>
      </w:r>
      <w:r>
        <w:t xml:space="preserve"> — Ada, Fortran, Modula-2, Pascal, and others.</w:t>
      </w:r>
    </w:p>
    <w:p>
      <w:pPr>
        <w:pStyle w:val="FirstParagraph"/>
      </w:pPr>
      <w:r>
        <w:t>Each v1 step is independently testable. After step 5 you can build a C file. After step 9 you can build a project with dependencies. After step 12 you have the full core build loop. Everything from step 13 onward is an extension of a working system.</w:t>
      </w:r>
    </w:p>
    <w:p>
      <w:r>
        <w:pict>
          <v:rect style="width:0;height:1.5pt" o:hralign="center" o:hrstd="t" o:hr="t"/>
        </w:pict>
      </w:r>
    </w:p>
    <w:bookmarkEnd w:id="49"/>
    <w:bookmarkStart w:id="50" w:name="appendix-key-design-decisions"/>
    <w:p>
      <w:pPr>
        <w:pStyle w:val="Heading2"/>
      </w:pPr>
      <w:r>
        <w:t xml:space="preserve">Appendix: Key Design Decisions</w:t>
      </w:r>
    </w:p>
    <w:p>
      <w:pPr>
        <w:pStyle w:val="FirstParagraph"/>
      </w:pPr>
      <w:r>
        <w:rPr>
          <w:bCs/>
          <w:b/>
        </w:rPr>
        <w:t xml:space="preserve">Why Pasta and not TOML or JSON?</w:t>
      </w:r>
      <w:r>
        <w:t xml:space="preserve"> Pasta is smaller, has semicolon comments (important for config files), and has no schema gotchas like TOML’s datetime type or JSON’s lack of trailing commas. The C library is embeddable without dependencies. The Pasta team added multiline strings and sections specifically to support </w:t>
      </w:r>
      <w:r>
        <w:rPr>
          <w:rStyle w:val="VerbatimChar"/>
        </w:rPr>
        <w:t xml:space="preserve">now</w:t>
      </w:r>
      <w:r>
        <w:t xml:space="preserve">’s needs.</w:t>
      </w:r>
    </w:p>
    <w:p>
      <w:pPr>
        <w:pStyle w:val="BodyText"/>
      </w:pPr>
      <w:r>
        <w:rPr>
          <w:bCs/>
          <w:b/>
        </w:rPr>
        <w:t xml:space="preserve">Why </w:t>
      </w:r>
      <w:r>
        <w:rPr>
          <w:rStyle w:val="VerbatimChar"/>
          <w:bCs/>
          <w:b/>
        </w:rPr>
        <w:t xml:space="preserve">!</w:t>
      </w:r>
      <w:r>
        <w:rPr>
          <w:bCs/>
          <w:b/>
        </w:rPr>
        <w:t xml:space="preserve">-prefix for array replacement instead of a separate syntax?</w:t>
      </w:r>
      <w:r>
        <w:t xml:space="preserve"> Because </w:t>
      </w:r>
      <w:r>
        <w:rPr>
          <w:rStyle w:val="VerbatimChar"/>
        </w:rPr>
        <w:t xml:space="preserve">!</w:t>
      </w:r>
      <w:r>
        <w:t xml:space="preserve"> is already a valid Pasta label character. The merge directive is a </w:t>
      </w:r>
      <w:r>
        <w:rPr>
          <w:rStyle w:val="VerbatimChar"/>
        </w:rPr>
        <w:t xml:space="preserve">now</w:t>
      </w:r>
      <w:r>
        <w:t xml:space="preserve"> convention layered on top of normal Pasta, not a Pasta extension. This means layer documents and </w:t>
      </w:r>
      <w:r>
        <w:rPr>
          <w:rStyle w:val="VerbatimChar"/>
        </w:rPr>
        <w:t xml:space="preserve">now.pasta</w:t>
      </w:r>
      <w:r>
        <w:t xml:space="preserve"> are both valid Pasta without any parser modifications.</w:t>
      </w:r>
    </w:p>
    <w:p>
      <w:pPr>
        <w:pStyle w:val="BodyText"/>
      </w:pPr>
      <w:r>
        <w:rPr>
          <w:bCs/>
          <w:b/>
        </w:rPr>
        <w:t xml:space="preserve">Why advisory lock violations are warnings, not errors?</w:t>
      </w:r>
      <w:r>
        <w:t xml:space="preserve"> Because an organisation that deploys a locked advisory config cannot anticipate every legitimate project exception. The governance model is transparency, not prevention: the exception shows up in </w:t>
      </w:r>
      <w:r>
        <w:rPr>
          <w:rStyle w:val="VerbatimChar"/>
        </w:rPr>
        <w:t xml:space="preserve">now layers:audit</w:t>
      </w:r>
      <w:r>
        <w:t xml:space="preserve"> and must be justified with an </w:t>
      </w:r>
      <w:r>
        <w:rPr>
          <w:rStyle w:val="VerbatimChar"/>
        </w:rPr>
        <w:t xml:space="preserve">_override_reason</w:t>
      </w:r>
      <w:r>
        <w:t>, but it does not block the build. A team that legitimately needs to use an older vulnerable version of a library (while a fix is in progress) should not be blocked — they should be audited.</w:t>
      </w:r>
    </w:p>
    <w:p>
      <w:pPr>
        <w:pStyle w:val="BodyText"/>
      </w:pPr>
      <w:r>
        <w:rPr>
          <w:bCs/>
          <w:b/>
        </w:rPr>
        <w:t xml:space="preserve">Why does </w:t>
      </w:r>
      <w:r>
        <w:rPr>
          <w:rStyle w:val="VerbatimChar"/>
          <w:bCs/>
          <w:b/>
        </w:rPr>
        <w:t xml:space="preserve">build</w:t>
      </w:r>
      <w:r>
        <w:rPr>
          <w:bCs/>
          <w:b/>
        </w:rPr>
        <w:t xml:space="preserve"> subsume </w:t>
      </w:r>
      <w:r>
        <w:rPr>
          <w:rStyle w:val="VerbatimChar"/>
          <w:bCs/>
          <w:b/>
        </w:rPr>
        <w:t xml:space="preserve">compile</w:t>
      </w:r>
      <w:r>
        <w:rPr>
          <w:bCs/>
          <w:b/>
        </w:rPr>
        <w:t xml:space="preserve"> and </w:t>
      </w:r>
      <w:r>
        <w:rPr>
          <w:rStyle w:val="VerbatimChar"/>
          <w:bCs/>
          <w:b/>
        </w:rPr>
        <w:t xml:space="preserve">assemble</w:t>
      </w:r>
      <w:r>
        <w:rPr>
          <w:bCs/>
          <w:b/>
        </w:rPr>
        <w:t xml:space="preserve">?</w:t>
      </w:r>
      <w:r>
        <w:t xml:space="preserve"> Because they were never meaningfully different at the lifecycle level. Both phases transformed source files into object files, dispatched by file extension. Unifying them into </w:t>
      </w:r>
      <w:r>
        <w:rPr>
          <w:rStyle w:val="VerbatimChar"/>
        </w:rPr>
        <w:t xml:space="preserve">build</w:t>
      </w:r>
      <w:r>
        <w:t xml:space="preserve"> eliminates the split conceptually and removes a footgun: previously, </w:t>
      </w:r>
      <w:r>
        <w:rPr>
          <w:rStyle w:val="VerbatimChar"/>
        </w:rPr>
        <w:t xml:space="preserve">now compile</w:t>
      </w:r>
      <w:r>
        <w:t xml:space="preserve"> would not process </w:t>
      </w:r>
      <w:r>
        <w:rPr>
          <w:rStyle w:val="VerbatimChar"/>
        </w:rPr>
        <w:t xml:space="preserve">.s</w:t>
      </w:r>
      <w:r>
        <w:t xml:space="preserve"> files, which confused projects with mixed C and assembly. Now </w:t>
      </w:r>
      <w:r>
        <w:rPr>
          <w:rStyle w:val="VerbatimChar"/>
        </w:rPr>
        <w:t xml:space="preserve">now build</w:t>
      </w:r>
      <w:r>
        <w:t xml:space="preserve"> handles everything.</w:t>
      </w:r>
    </w:p>
    <w:p>
      <w:pPr>
        <w:pStyle w:val="BodyText"/>
      </w:pPr>
      <w:r>
        <w:rPr>
          <w:bCs/>
          <w:b/>
        </w:rPr>
        <w:t xml:space="preserve">Why does the pre-scan run inside the </w:t>
      </w:r>
      <w:r>
        <w:rPr>
          <w:rStyle w:val="VerbatimChar"/>
          <w:bCs/>
          <w:b/>
        </w:rPr>
        <w:t xml:space="preserve">build</w:t>
      </w:r>
      <w:r>
        <w:rPr>
          <w:bCs/>
          <w:b/>
        </w:rPr>
        <w:t xml:space="preserve"> phase rather than as its own phase?</w:t>
      </w:r>
      <w:r>
        <w:t xml:space="preserve"> Because it is not a user-visible operation — it is an implementation detail of how the build graph is constructed for languages with inter-file module dependencies. Making it a separate phase would require users to understand when to invoke it, which breaks the phase abstraction. It runs automatically, transparently, and incrementally.</w:t>
      </w:r>
    </w:p>
    <w:bookmarkEnd w:id="50"/>
    <w:bookmarkEnd w:id="51"/>
    <w:sectPr>
      <w:footerReference r:id="rId9" w:type="default"/>
      <w:pgSz w:h="15840" w:orient="portrait" w:w="12240"/>
      <w:pgMar w:bottom="1080" w:footer="708" w:gutter="0" w:header="708" w:left="1080" w:right="1080" w:top="108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now Specification v1.0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00000001"/>
      <w:numFmt w:val="bullet"/>
      <w:lvlText w:val="●"/>
      <w:lvlJc w:val="left"/>
      <w:pPr>
        <w:ind w:hanging="360" w:left="720"/>
      </w:pPr>
    </w:lvl>
    <w:lvl w15:tentative="1" w:ilvl="1">
      <w:start w:val="00000001"/>
      <w:numFmt w:val="bullet"/>
      <w:lvlText w:val="○"/>
      <w:lvlJc w:val="left"/>
      <w:pPr>
        <w:ind w:hanging="360" w:left="1440"/>
      </w:pPr>
    </w:lvl>
    <w:lvl w15:tentative="1" w:ilvl="2">
      <w:start w:val="00000001"/>
      <w:numFmt w:val="bullet"/>
      <w:lvlText w:val="■"/>
      <w:lvlJc w:val="left"/>
      <w:pPr>
        <w:ind w:hanging="360" w:left="2160"/>
      </w:pPr>
    </w:lvl>
    <w:lvl w15:tentative="1" w:ilvl="3">
      <w:start w:val="00000001"/>
      <w:numFmt w:val="bullet"/>
      <w:lvlText w:val="●"/>
      <w:lvlJc w:val="left"/>
      <w:pPr>
        <w:ind w:hanging="360" w:left="2880"/>
      </w:pPr>
    </w:lvl>
    <w:lvl w15:tentative="1" w:ilvl="4">
      <w:start w:val="00000001"/>
      <w:numFmt w:val="bullet"/>
      <w:lvlText w:val="○"/>
      <w:lvlJc w:val="left"/>
      <w:pPr>
        <w:ind w:hanging="360" w:left="3600"/>
      </w:pPr>
    </w:lvl>
    <w:lvl w15:tentative="1" w:ilvl="5">
      <w:start w:val="00000001"/>
      <w:numFmt w:val="bullet"/>
      <w:lvlText w:val="■"/>
      <w:lvlJc w:val="left"/>
      <w:pPr>
        <w:ind w:hanging="360" w:left="4320"/>
      </w:pPr>
    </w:lvl>
    <w:lvl w15:tentative="1" w:ilvl="6">
      <w:start w:val="00000001"/>
      <w:numFmt w:val="bullet"/>
      <w:lvlText w:val="●"/>
      <w:lvlJc w:val="left"/>
      <w:pPr>
        <w:ind w:hanging="360" w:left="5040"/>
      </w:pPr>
    </w:lvl>
    <w:lvl w15:tentative="1" w:ilvl="7">
      <w:start w:val="00000001"/>
      <w:numFmt w:val="bullet"/>
      <w:lvlText w:val="●"/>
      <w:lvlJc w:val="left"/>
      <w:pPr>
        <w:ind w:hanging="360" w:left="5760"/>
      </w:pPr>
    </w:lvl>
    <w:lvl w15:tentative="1" w:ilvl="8">
      <w:start w:val="00000001"/>
      <w:numFmt w:val="bullet"/>
      <w:lvlText w:val="●"/>
      <w:lvlJc w:val="left"/>
      <w:pPr>
        <w:ind w:hanging="360" w:left="6480"/>
      </w:pPr>
    </w:lvl>
  </w:abstractNum>
  <w:abstractNum w15:restartNumberingAfterBreak="0" w:abstractNumId="2">
    <w:multiLevelType w:val="hybridMultilevel"/>
    <w:lvl w15:tentative="1" w:ilvl="0">
      <w:start w:val="00000001"/>
      <w:numFmt w:val="bullet"/>
      <w:lvlText w:val="•"/>
      <w:lvlJc w:val="left"/>
      <w:pPr>
        <w:ind w:hanging="280" w:left="56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00000001"/>
      <w:numFmt w:val="decimal"/>
      <w:lvlText w:val="%1."/>
      <w:lvlJc w:val="left"/>
      <w:pPr>
        <w:ind w:left="720" w:hanging="480"/>
      </w:pPr>
    </w:lvl>
    <w:lvl w:ilvl="1">
      <w:start w:val="00000001"/>
      <w:numFmt w:val="decimal"/>
      <w:lvlText w:val="%2."/>
      <w:lvlJc w:val="left"/>
      <w:pPr>
        <w:ind w:left="1440" w:hanging="480"/>
      </w:pPr>
    </w:lvl>
    <w:lvl w:ilvl="2">
      <w:start w:val="00000001"/>
      <w:numFmt w:val="decimal"/>
      <w:lvlText w:val="%3."/>
      <w:lvlJc w:val="left"/>
      <w:pPr>
        <w:ind w:left="2160" w:hanging="480"/>
      </w:pPr>
    </w:lvl>
    <w:lvl w:ilvl="3">
      <w:start w:val="00000001"/>
      <w:numFmt w:val="decimal"/>
      <w:lvlText w:val="%4."/>
      <w:lvlJc w:val="left"/>
      <w:pPr>
        <w:ind w:left="2880" w:hanging="480"/>
      </w:pPr>
    </w:lvl>
    <w:lvl w:ilvl="4">
      <w:start w:val="00000001"/>
      <w:numFmt w:val="decimal"/>
      <w:lvlText w:val="%5."/>
      <w:lvlJc w:val="left"/>
      <w:pPr>
        <w:ind w:left="3600" w:hanging="480"/>
      </w:pPr>
    </w:lvl>
    <w:lvl w:ilvl="5">
      <w:start w:val="00000001"/>
      <w:numFmt w:val="decimal"/>
      <w:lvlText w:val="%6."/>
      <w:lvlJc w:val="left"/>
      <w:pPr>
        <w:ind w:left="4320" w:hanging="480"/>
      </w:pPr>
    </w:lvl>
    <w:lvl w:ilvl="6">
      <w:start w:val="00000001"/>
      <w:numFmt w:val="decimal"/>
      <w:lvlText w:val="%7."/>
      <w:lvlJc w:val="left"/>
      <w:pPr>
        <w:ind w:left="5040" w:hanging="480"/>
      </w:pPr>
    </w:lvl>
    <w:lvl w:ilvl="7">
      <w:start w:val="00000001"/>
      <w:numFmt w:val="decimal"/>
      <w:lvlText w:val="%8."/>
      <w:lvlJc w:val="left"/>
      <w:pPr>
        <w:ind w:left="5760" w:hanging="480"/>
      </w:pPr>
    </w:lvl>
    <w:lvl w:ilvl="8">
      <w:start w:val="00000001"/>
      <w:numFmt w:val="decimal"/>
      <w:lvlText w:val="%9."/>
      <w:lvlJc w:val="left"/>
      <w:pPr>
        <w:ind w:left="6480" w:hanging="480"/>
      </w:pPr>
    </w:lvl>
  </w:abstractNum>
  <w:abstractNum w:abstractNumId="994127">
    <w:nsid w:val="0A994127"/>
    <w:multiLevelType w:val="multilevel"/>
    <w:lvl w:ilvl="0">
      <w:start w:val="00000027"/>
      <w:numFmt w:val="decimal"/>
      <w:lvlText w:val="%1."/>
      <w:lvlJc w:val="left"/>
      <w:pPr>
        <w:ind w:left="720" w:hanging="480"/>
      </w:pPr>
    </w:lvl>
    <w:lvl w:ilvl="1">
      <w:start w:val="00000027"/>
      <w:numFmt w:val="decimal"/>
      <w:lvlText w:val="%2."/>
      <w:lvlJc w:val="left"/>
      <w:pPr>
        <w:ind w:left="1440" w:hanging="480"/>
      </w:pPr>
    </w:lvl>
    <w:lvl w:ilvl="2">
      <w:start w:val="00000027"/>
      <w:numFmt w:val="decimal"/>
      <w:lvlText w:val="%3."/>
      <w:lvlJc w:val="left"/>
      <w:pPr>
        <w:ind w:left="2160" w:hanging="480"/>
      </w:pPr>
    </w:lvl>
    <w:lvl w:ilvl="3">
      <w:start w:val="00000027"/>
      <w:numFmt w:val="decimal"/>
      <w:lvlText w:val="%4."/>
      <w:lvlJc w:val="left"/>
      <w:pPr>
        <w:ind w:left="2880" w:hanging="480"/>
      </w:pPr>
    </w:lvl>
    <w:lvl w:ilvl="4">
      <w:start w:val="00000027"/>
      <w:numFmt w:val="decimal"/>
      <w:lvlText w:val="%5."/>
      <w:lvlJc w:val="left"/>
      <w:pPr>
        <w:ind w:left="3600" w:hanging="480"/>
      </w:pPr>
    </w:lvl>
    <w:lvl w:ilvl="5">
      <w:start w:val="00000027"/>
      <w:numFmt w:val="decimal"/>
      <w:lvlText w:val="%6."/>
      <w:lvlJc w:val="left"/>
      <w:pPr>
        <w:ind w:left="4320" w:hanging="480"/>
      </w:pPr>
    </w:lvl>
    <w:lvl w:ilvl="6">
      <w:start w:val="00000027"/>
      <w:numFmt w:val="decimal"/>
      <w:lvlText w:val="%7."/>
      <w:lvlJc w:val="left"/>
      <w:pPr>
        <w:ind w:left="5040" w:hanging="480"/>
      </w:pPr>
    </w:lvl>
    <w:lvl w:ilvl="7">
      <w:start w:val="00000027"/>
      <w:numFmt w:val="decimal"/>
      <w:lvlText w:val="%8."/>
      <w:lvlJc w:val="left"/>
      <w:pPr>
        <w:ind w:left="5760" w:hanging="480"/>
      </w:pPr>
    </w:lvl>
    <w:lvl w:ilvl="8">
      <w:start w:val="00000027"/>
      <w:numFmt w:val="decimal"/>
      <w:lvlText w:val="%9."/>
      <w:lvlJc w:val="left"/>
      <w:pPr>
        <w:ind w:left="6480" w:hanging="480"/>
      </w:pPr>
    </w:lvl>
  </w:abstractNum>
  <w:num w:numId="1">
    <w:abstractNumId w:val="00000001"/>
    <w:lvlOverride w:ilvl="0">
      <w:startOverride w:val="00000001"/>
    </w:lvlOverride>
  </w:num>
  <w:num w:numId="2">
    <w:abstractNumId w:val="00000002"/>
    <w:lvlOverride w:ilvl="0">
      <w:startOverride w:val="00000001"/>
    </w:lvlOverride>
  </w:num>
  <w:num w:numId="1000">
    <w:abstractNumId w:val="00000990"/>
  </w:num>
  <w:num w:numId="1001">
    <w:abstractNumId w:val="00099411"/>
    <w:lvlOverride w:ilvl="0">
      <w:startOverride w:val="00000001"/>
    </w:lvlOverride>
    <w:lvlOverride w:ilvl="1">
      <w:startOverride w:val="00000001"/>
    </w:lvlOverride>
    <w:lvlOverride w:ilvl="2">
      <w:startOverride w:val="00000001"/>
    </w:lvlOverride>
    <w:lvlOverride w:ilvl="3">
      <w:startOverride w:val="00000001"/>
    </w:lvlOverride>
    <w:lvlOverride w:ilvl="4">
      <w:startOverride w:val="00000001"/>
    </w:lvlOverride>
    <w:lvlOverride w:ilvl="5">
      <w:startOverride w:val="00000001"/>
    </w:lvlOverride>
    <w:lvlOverride w:ilvl="6">
      <w:startOverride w:val="00000001"/>
    </w:lvlOverride>
    <w:lvlOverride w:ilvl="7">
      <w:startOverride w:val="00000001"/>
    </w:lvlOverride>
    <w:lvlOverride w:ilvl="8">
      <w:startOverride w:val="00000001"/>
    </w:lvlOverride>
  </w:num>
  <w:num w:numId="1002">
    <w:abstractNumId w:val="00994127"/>
    <w:lvlOverride w:ilvl="0">
      <w:startOverride w:val="00000027"/>
    </w:lvlOverride>
    <w:lvlOverride w:ilvl="1">
      <w:startOverride w:val="00000027"/>
    </w:lvlOverride>
    <w:lvlOverride w:ilvl="2">
      <w:startOverride w:val="00000027"/>
    </w:lvlOverride>
    <w:lvlOverride w:ilvl="3">
      <w:startOverride w:val="00000027"/>
    </w:lvlOverride>
    <w:lvlOverride w:ilvl="4">
      <w:startOverride w:val="00000027"/>
    </w:lvlOverride>
    <w:lvlOverride w:ilvl="5">
      <w:startOverride w:val="00000027"/>
    </w:lvlOverride>
    <w:lvlOverride w:ilvl="6">
      <w:startOverride w:val="00000027"/>
    </w:lvlOverride>
    <w:lvlOverride w:ilvl="7">
      <w:startOverride w:val="00000027"/>
    </w:lvlOverride>
    <w:lvlOverride w:ilvl="8">
      <w:startOverride w:val="0000002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rawingGridHorizontalSpacing w:val="360"/>
  <w:drawingGridVerticalSpacing w:val="360"/>
  <w:displayHorizontalDrawingGridEvery w:val="0"/>
  <w:displayVerticalDrawingGridEvery w:val="0"/>
  <w:characterSpacingControl w:val="doNotCompress"/>
  <w:savePreviewPicture/>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Heading1" w:type="paragraph">
    <w:name w:val="Heading 1"/>
    <w:basedOn w:val="Normal"/>
    <w:next w:val="Normal"/>
    <w:qFormat/>
    <w:pPr>
      <w:pBdr>
        <w:bottom w:color="2E5F8A" w:space="6" w:sz="4" w:val="single"/>
      </w:pBdr>
      <w:spacing w:after="160" w:before="480"/>
      <w:outlineLvl w:val="0"/>
    </w:pPr>
    <w:rPr>
      <w:rFonts w:ascii="Arial" w:cs="Arial" w:eastAsia="Arial" w:hAnsi="Arial"/>
      <w:b/>
      <w:bCs/>
      <w:color w:val="1F3864"/>
      <w:sz w:val="36"/>
      <w:szCs w:val="36"/>
    </w:rPr>
  </w:style>
  <w:style w:styleId="Heading2" w:type="paragraph">
    <w:name w:val="Heading 2"/>
    <w:basedOn w:val="Normal"/>
    <w:next w:val="Normal"/>
    <w:qFormat/>
    <w:pPr>
      <w:spacing w:after="100" w:before="320"/>
      <w:outlineLvl w:val="1"/>
    </w:pPr>
    <w:rPr>
      <w:rFonts w:ascii="Arial" w:cs="Arial" w:eastAsia="Arial" w:hAnsi="Arial"/>
      <w:b/>
      <w:bCs/>
      <w:color w:val="2E5F8A"/>
      <w:sz w:val="28"/>
      <w:szCs w:val="28"/>
    </w:rPr>
  </w:style>
  <w:style w:styleId="Heading3" w:type="paragraph">
    <w:name w:val="Heading 3"/>
    <w:basedOn w:val="Normal"/>
    <w:next w:val="Normal"/>
    <w:qFormat/>
    <w:pPr>
      <w:spacing w:after="80" w:before="200"/>
      <w:outlineLvl w:val="2"/>
    </w:pPr>
    <w:rPr>
      <w:rFonts w:ascii="Arial" w:cs="Arial" w:eastAsia="Arial" w:hAnsi="Arial"/>
      <w:b/>
      <w:bCs/>
      <w:color w:val="404040"/>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arget="footer1.xml" Type="http://schemas.openxmlformats.org/officeDocument/2006/relationships/footer"/></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2026-03-06T17:23:41Z</dcterms:created>
  <dcterms:modified xsi:type="dcterms:W3CDTF">2026-03-06T17:23:41Z</dcterms:modified>
</cp:coreProperties>
</file>

<file path=docProps/custom.xml><?xml version="1.0" encoding="utf-8"?>
<Properties xmlns="http://schemas.openxmlformats.org/officeDocument/2006/custom-properties" xmlns:vt="http://schemas.openxmlformats.org/officeDocument/2006/docPropsVTypes"/>
</file>