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0"/>
      </w:pPr>
    </w:p>
    <w:p>
      <w:pPr>
        <w:spacing w:before="0" w:after="80"/>
        <w:jc w:val="center"/>
      </w:pPr>
      <w:r>
        <w:rPr>
          <w:rFonts w:ascii="Arial" w:cs="Arial" w:eastAsia="Arial" w:hAnsi="Arial"/>
          <w:b/>
          <w:bCs/>
          <w:color w:val="1A3A5C"/>
          <w:sz w:val="72"/>
          <w:szCs w:val="72"/>
        </w:rPr>
        <w:t xml:space="preserve">cookbook</w:t>
      </w:r>
    </w:p>
    <w:p>
      <w:pPr>
        <w:spacing w:before="0" w:after="120"/>
        <w:jc w:val="center"/>
      </w:pPr>
      <w:r>
        <w:rPr>
          <w:rFonts w:ascii="Arial" w:cs="Arial" w:eastAsia="Arial" w:hAnsi="Arial"/>
          <w:color w:val="2E75B6"/>
          <w:sz w:val="36"/>
          <w:szCs w:val="36"/>
        </w:rPr>
        <w:t xml:space="preserve">Architecture Addendum</w:t>
      </w:r>
    </w:p>
    <w:p>
      <w:pPr>
        <w:spacing w:before="0" w:after="200"/>
        <w:jc w:val="center"/>
      </w:pPr>
      <w:r>
        <w:rPr>
          <w:rFonts w:ascii="Arial" w:cs="Arial" w:eastAsia="Arial" w:hAnsi="Arial"/>
          <w:b/>
          <w:bCs/>
          <w:color w:val="D4701E"/>
          <w:sz w:val="28"/>
          <w:szCs w:val="28"/>
        </w:rPr>
        <w:t xml:space="preserve">Air-Gapped Lab Node Deployment</w:t>
      </w:r>
    </w:p>
    <w:p>
      <w:pPr>
        <w:pBdr>
          <w:bottom w:val="single" w:color="2E75B6" w:sz="8"/>
        </w:pBdr>
        <w:spacing w:before="0" w:after="400"/>
      </w:pPr>
    </w:p>
    <w:p>
      <w:pPr>
        <w:spacing w:before="0" w:after="80"/>
        <w:jc w:val="center"/>
      </w:pPr>
      <w:r>
        <w:rPr>
          <w:rFonts w:ascii="Arial" w:cs="Arial" w:eastAsia="Arial" w:hAnsi="Arial"/>
          <w:color w:val="6B7C8E"/>
          <w:sz w:val="22"/>
          <w:szCs w:val="22"/>
        </w:rPr>
        <w:t xml:space="preserve">Companion to </w:t>
      </w:r>
      <w:r>
        <w:rPr>
          <w:rFonts w:ascii="Arial" w:cs="Arial" w:eastAsia="Arial" w:hAnsi="Arial"/>
          <w:color w:val="6B7C8E"/>
          <w:sz w:val="22"/>
          <w:szCs w:val="22"/>
        </w:rPr>
        <w:t xml:space="preserve">cookbook Architecture d3 (final)</w:t>
      </w:r>
    </w:p>
    <w:p>
      <w:pPr>
        <w:spacing w:before="0" w:after="80"/>
        <w:jc w:val="center"/>
      </w:pPr>
      <w:r>
        <w:rPr>
          <w:rFonts w:ascii="Arial" w:cs="Arial" w:eastAsia="Arial" w:hAnsi="Arial"/>
          <w:color w:val="6B7C8E"/>
          <w:sz w:val="20"/>
          <w:szCs w:val="20"/>
        </w:rPr>
        <w:t xml:space="preserve">2026-03-06  ·  Internal use</w:t>
      </w:r>
    </w:p>
    <w:p>
      <w:pPr>
        <w:jc w:val="center"/>
      </w:pPr>
      <w:r>
        <w:rPr>
          <w:rFonts w:ascii="Arial" w:cs="Arial" w:eastAsia="Arial" w:hAnsi="Arial"/>
          <w:b/>
          <w:bCs/>
          <w:color w:val="00A878"/>
          <w:sz w:val="20"/>
          <w:szCs w:val="20"/>
        </w:rPr>
        <w:t xml:space="preserve">Status: Approved — proceed to M1</w:t>
      </w:r>
    </w:p>
    <w:p>
      <w:r>
        <w:br w:type="page"/>
      </w:r>
    </w:p>
    <w:p>
      <w:pPr>
        <w:pStyle w:val="Heading1"/>
        <w:pBdr>
          <w:bottom w:val="single" w:color="2E75B6" w:sz="4"/>
        </w:pBdr>
        <w:shd w:fill="1A3A5C" w:val="clear"/>
        <w:spacing w:before="360" w:after="160"/>
        <w:ind w:left="200" w:right="200"/>
      </w:pPr>
      <w:r>
        <w:rPr>
          <w:rFonts w:ascii="Arial" w:cs="Arial" w:eastAsia="Arial" w:hAnsi="Arial"/>
          <w:b/>
          <w:bCs/>
          <w:color w:val="FFFFFF"/>
          <w:sz w:val="36"/>
          <w:szCs w:val="36"/>
        </w:rPr>
        <w:t xml:space="preserve">A.1  Scope and Purpose</w:t>
      </w:r>
    </w:p>
    <w:p>
      <w:pPr>
        <w:spacing w:before="60" w:after="100"/>
      </w:pPr>
      <w:r>
        <w:rPr>
          <w:rFonts w:ascii="Arial" w:cs="Arial" w:eastAsia="Arial" w:hAnsi="Arial"/>
          <w:color w:val="1A1A1A"/>
          <w:sz w:val="22"/>
          <w:szCs w:val="22"/>
        </w:rPr>
        <w:t xml:space="preserve">This addendum covers the deployment of cookbook on air-gapped internal lab nodes — machines with no outbound internet access running on isolated internal networks. It supplements §10.3 (Self-Hosting) of the main architecture document and requires no protocol or schema changes to cookbook itself.</w:t>
      </w:r>
    </w:p>
    <w:p>
      <w:pPr>
        <w:spacing w:before="0" w:after="80"/>
      </w:pPr>
      <w:r>
        <w:t xml:space="preserve"/>
      </w:r>
    </w:p>
    <w:p>
      <w:pPr>
        <w:spacing w:before="60" w:after="100"/>
      </w:pPr>
      <w:r>
        <w:rPr>
          <w:rFonts w:ascii="Arial" w:cs="Arial" w:eastAsia="Arial" w:hAnsi="Arial"/>
          <w:color w:val="1A1A1A"/>
          <w:sz w:val="22"/>
          <w:szCs w:val="22"/>
        </w:rPr>
        <w:t xml:space="preserve">All configuration described here uses environment variables and deployment options already defined in §10.1. The only infrastructure difference from a cloud deployment is the substitution of MinIO for AWS S3 and the addition of an artifact seeding step.</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2E75B6"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ℹ</w:t>
            </w:r>
          </w:p>
        </w:tc>
        <w:tc>
          <w:tcPr>
            <w:tcW w:type="dxa" w:w="8760"/>
            <w:tcBorders>
              <w:top w:val="none" w:color="FFFFFF" w:sz="0"/>
              <w:left w:val="none" w:color="FFFFFF" w:sz="0"/>
              <w:bottom w:val="none" w:color="FFFFFF" w:sz="0"/>
              <w:right w:val="none" w:color="FFFFFF" w:sz="0"/>
            </w:tcBorders>
            <w:shd w:fill="EBF3FA" w:val="clear"/>
            <w:tcMar>
              <w:top w:type="dxa" w:w="100"/>
              <w:left w:type="dxa" w:w="160"/>
              <w:bottom w:type="dxa" w:w="100"/>
              <w:right w:type="dxa" w:w="160"/>
            </w:tcMar>
          </w:tcPr>
          <w:p>
            <w:r>
              <w:rPr>
                <w:rFonts w:ascii="Arial" w:cs="Arial" w:eastAsia="Arial" w:hAnsi="Arial"/>
                <w:color w:val="1A1A1A"/>
                <w:sz w:val="20"/>
                <w:szCs w:val="20"/>
              </w:rPr>
              <w:t xml:space="preserve">Air-gapped lab nodes are fully supported by the v1 design. COOKBOOK_S3_ENDPOINT was included in §10.1 from the outset specifically to allow S3-compatible backends. No cookbook code changes are required.</w:t>
            </w:r>
          </w:p>
        </w:tc>
      </w:tr>
    </w:tbl>
    <w:p>
      <w:r>
        <w:br w:type="page"/>
      </w:r>
    </w:p>
    <w:p>
      <w:pPr>
        <w:pStyle w:val="Heading1"/>
        <w:pBdr>
          <w:bottom w:val="single" w:color="2E75B6" w:sz="4"/>
        </w:pBdr>
        <w:shd w:fill="1A3A5C" w:val="clear"/>
        <w:spacing w:before="360" w:after="160"/>
        <w:ind w:left="200" w:right="200"/>
      </w:pPr>
      <w:r>
        <w:rPr>
          <w:rFonts w:ascii="Arial" w:cs="Arial" w:eastAsia="Arial" w:hAnsi="Arial"/>
          <w:b/>
          <w:bCs/>
          <w:color w:val="FFFFFF"/>
          <w:sz w:val="36"/>
          <w:szCs w:val="36"/>
        </w:rPr>
        <w:t xml:space="preserve">A.2  Infrastructure Stack</w:t>
      </w:r>
    </w:p>
    <w:p>
      <w:pPr>
        <w:spacing w:before="60" w:after="100"/>
      </w:pPr>
      <w:r>
        <w:rPr>
          <w:rFonts w:ascii="Arial" w:cs="Arial" w:eastAsia="Arial" w:hAnsi="Arial"/>
          <w:color w:val="1A1A1A"/>
          <w:sz w:val="22"/>
          <w:szCs w:val="22"/>
        </w:rPr>
        <w:t xml:space="preserve">A cloud deployment uses AWS S3 and a managed Postgres. An air-gapped lab node replaces both with locally hosted equivalents while keeping the cookbook service code identical.</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BECFE0" w:sz="1"/>
              <w:left w:val="single" w:color="BECFE0" w:sz="1"/>
              <w:bottom w:val="single" w:color="BECFE0" w:sz="1"/>
              <w:right w:val="single" w:color="BECFE0"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Component</w:t>
            </w:r>
          </w:p>
        </w:tc>
        <w:tc>
          <w:tcPr>
            <w:tcW w:type="dxa" w:w="3200"/>
            <w:tcBorders>
              <w:top w:val="single" w:color="BECFE0" w:sz="1"/>
              <w:left w:val="single" w:color="BECFE0" w:sz="1"/>
              <w:bottom w:val="single" w:color="BECFE0" w:sz="1"/>
              <w:right w:val="single" w:color="BECFE0"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Cloud deployment</w:t>
            </w:r>
          </w:p>
        </w:tc>
        <w:tc>
          <w:tcPr>
            <w:tcW w:type="dxa" w:w="3960"/>
            <w:tcBorders>
              <w:top w:val="single" w:color="BECFE0" w:sz="1"/>
              <w:left w:val="single" w:color="BECFE0" w:sz="1"/>
              <w:bottom w:val="single" w:color="BECFE0" w:sz="1"/>
              <w:right w:val="single" w:color="BECFE0"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Air-gapped lab node</w:t>
            </w:r>
          </w:p>
        </w:tc>
      </w:tr>
      <w:tr>
        <w:tc>
          <w:tcPr>
            <w:tcW w:type="dxa" w:w="2200"/>
            <w:tcBorders>
              <w:top w:val="single" w:color="BECFE0" w:sz="1"/>
              <w:left w:val="single" w:color="BECFE0" w:sz="1"/>
              <w:bottom w:val="single" w:color="BECFE0" w:sz="1"/>
              <w:right w:val="single" w:color="BECF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Object store</w:t>
            </w:r>
          </w:p>
        </w:tc>
        <w:tc>
          <w:tcPr>
            <w:tcW w:type="dxa" w:w="3200"/>
            <w:tcBorders>
              <w:top w:val="single" w:color="BECFE0" w:sz="1"/>
              <w:left w:val="single" w:color="BECFE0" w:sz="1"/>
              <w:bottom w:val="single" w:color="BECFE0" w:sz="1"/>
              <w:right w:val="single" w:color="BECF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AWS S3 (or R2 / GCS)</w:t>
            </w:r>
          </w:p>
        </w:tc>
        <w:tc>
          <w:tcPr>
            <w:tcW w:type="dxa" w:w="3960"/>
            <w:tcBorders>
              <w:top w:val="single" w:color="BECFE0" w:sz="1"/>
              <w:left w:val="single" w:color="BECFE0" w:sz="1"/>
              <w:bottom w:val="single" w:color="BECFE0" w:sz="1"/>
              <w:right w:val="single" w:color="BECF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MinIO — single node for lab, distributed for resilience</w:t>
            </w:r>
          </w:p>
        </w:tc>
      </w:tr>
      <w:tr>
        <w:tc>
          <w:tcPr>
            <w:tcW w:type="dxa" w:w="2200"/>
            <w:tcBorders>
              <w:top w:val="single" w:color="BECFE0" w:sz="1"/>
              <w:left w:val="single" w:color="BECFE0" w:sz="1"/>
              <w:bottom w:val="single" w:color="BECFE0" w:sz="1"/>
              <w:right w:val="single" w:color="BECFE0" w:sz="1"/>
            </w:tcBorders>
            <w:shd w:fill="F2F7FC" w:val="clear"/>
            <w:tcMar>
              <w:top w:type="dxa" w:w="80"/>
              <w:left w:type="dxa" w:w="120"/>
              <w:bottom w:type="dxa" w:w="80"/>
              <w:right w:type="dxa" w:w="120"/>
            </w:tcMar>
          </w:tcPr>
          <w:p>
            <w:r>
              <w:rPr>
                <w:rFonts w:ascii="Arial" w:cs="Arial" w:eastAsia="Arial" w:hAnsi="Arial"/>
                <w:color w:val="1A1A1A"/>
                <w:sz w:val="18"/>
                <w:szCs w:val="18"/>
              </w:rPr>
              <w:t xml:space="preserve">Database</w:t>
            </w:r>
          </w:p>
        </w:tc>
        <w:tc>
          <w:tcPr>
            <w:tcW w:type="dxa" w:w="3200"/>
            <w:tcBorders>
              <w:top w:val="single" w:color="BECFE0" w:sz="1"/>
              <w:left w:val="single" w:color="BECFE0" w:sz="1"/>
              <w:bottom w:val="single" w:color="BECFE0" w:sz="1"/>
              <w:right w:val="single" w:color="BECFE0" w:sz="1"/>
            </w:tcBorders>
            <w:shd w:fill="F2F7FC" w:val="clear"/>
            <w:tcMar>
              <w:top w:type="dxa" w:w="80"/>
              <w:left w:type="dxa" w:w="120"/>
              <w:bottom w:type="dxa" w:w="80"/>
              <w:right w:type="dxa" w:w="120"/>
            </w:tcMar>
          </w:tcPr>
          <w:p>
            <w:r>
              <w:rPr>
                <w:rFonts w:ascii="Arial" w:cs="Arial" w:eastAsia="Arial" w:hAnsi="Arial"/>
                <w:color w:val="1A1A1A"/>
                <w:sz w:val="18"/>
                <w:szCs w:val="18"/>
              </w:rPr>
              <w:t xml:space="preserve">RDS Postgres / managed</w:t>
            </w:r>
          </w:p>
        </w:tc>
        <w:tc>
          <w:tcPr>
            <w:tcW w:type="dxa" w:w="3960"/>
            <w:tcBorders>
              <w:top w:val="single" w:color="BECFE0" w:sz="1"/>
              <w:left w:val="single" w:color="BECFE0" w:sz="1"/>
              <w:bottom w:val="single" w:color="BECFE0" w:sz="1"/>
              <w:right w:val="single" w:color="BECFE0" w:sz="1"/>
            </w:tcBorders>
            <w:shd w:fill="F2F7FC" w:val="clear"/>
            <w:tcMar>
              <w:top w:type="dxa" w:w="80"/>
              <w:left w:type="dxa" w:w="120"/>
              <w:bottom w:type="dxa" w:w="80"/>
              <w:right w:type="dxa" w:w="120"/>
            </w:tcMar>
          </w:tcPr>
          <w:p>
            <w:r>
              <w:rPr>
                <w:rFonts w:ascii="Arial" w:cs="Arial" w:eastAsia="Arial" w:hAnsi="Arial"/>
                <w:color w:val="1A1A1A"/>
                <w:sz w:val="18"/>
                <w:szCs w:val="18"/>
              </w:rPr>
              <w:t xml:space="preserve">Postgres — local instance, same node or dedicated DB node</w:t>
            </w:r>
          </w:p>
        </w:tc>
      </w:tr>
      <w:tr>
        <w:tc>
          <w:tcPr>
            <w:tcW w:type="dxa" w:w="2200"/>
            <w:tcBorders>
              <w:top w:val="single" w:color="BECFE0" w:sz="1"/>
              <w:left w:val="single" w:color="BECFE0" w:sz="1"/>
              <w:bottom w:val="single" w:color="BECFE0" w:sz="1"/>
              <w:right w:val="single" w:color="BECF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cookbook service</w:t>
            </w:r>
          </w:p>
        </w:tc>
        <w:tc>
          <w:tcPr>
            <w:tcW w:type="dxa" w:w="3200"/>
            <w:tcBorders>
              <w:top w:val="single" w:color="BECFE0" w:sz="1"/>
              <w:left w:val="single" w:color="BECFE0" w:sz="1"/>
              <w:bottom w:val="single" w:color="BECFE0" w:sz="1"/>
              <w:right w:val="single" w:color="BECF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Container / VM</w:t>
            </w:r>
          </w:p>
        </w:tc>
        <w:tc>
          <w:tcPr>
            <w:tcW w:type="dxa" w:w="3960"/>
            <w:tcBorders>
              <w:top w:val="single" w:color="BECFE0" w:sz="1"/>
              <w:left w:val="single" w:color="BECFE0" w:sz="1"/>
              <w:bottom w:val="single" w:color="BECFE0" w:sz="1"/>
              <w:right w:val="single" w:color="BECF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Container / VM — identical image, different env config</w:t>
            </w:r>
          </w:p>
        </w:tc>
      </w:tr>
      <w:tr>
        <w:tc>
          <w:tcPr>
            <w:tcW w:type="dxa" w:w="2200"/>
            <w:tcBorders>
              <w:top w:val="single" w:color="BECFE0" w:sz="1"/>
              <w:left w:val="single" w:color="BECFE0" w:sz="1"/>
              <w:bottom w:val="single" w:color="BECFE0" w:sz="1"/>
              <w:right w:val="single" w:color="BECFE0" w:sz="1"/>
            </w:tcBorders>
            <w:shd w:fill="F2F7FC" w:val="clear"/>
            <w:tcMar>
              <w:top w:type="dxa" w:w="80"/>
              <w:left w:type="dxa" w:w="120"/>
              <w:bottom w:type="dxa" w:w="80"/>
              <w:right w:type="dxa" w:w="120"/>
            </w:tcMar>
          </w:tcPr>
          <w:p>
            <w:r>
              <w:rPr>
                <w:rFonts w:ascii="Arial" w:cs="Arial" w:eastAsia="Arial" w:hAnsi="Arial"/>
                <w:color w:val="1A1A1A"/>
                <w:sz w:val="18"/>
                <w:szCs w:val="18"/>
              </w:rPr>
              <w:t xml:space="preserve">TLS</w:t>
            </w:r>
          </w:p>
        </w:tc>
        <w:tc>
          <w:tcPr>
            <w:tcW w:type="dxa" w:w="3200"/>
            <w:tcBorders>
              <w:top w:val="single" w:color="BECFE0" w:sz="1"/>
              <w:left w:val="single" w:color="BECFE0" w:sz="1"/>
              <w:bottom w:val="single" w:color="BECFE0" w:sz="1"/>
              <w:right w:val="single" w:color="BECFE0" w:sz="1"/>
            </w:tcBorders>
            <w:shd w:fill="F2F7FC" w:val="clear"/>
            <w:tcMar>
              <w:top w:type="dxa" w:w="80"/>
              <w:left w:type="dxa" w:w="120"/>
              <w:bottom w:type="dxa" w:w="80"/>
              <w:right w:type="dxa" w:w="120"/>
            </w:tcMar>
          </w:tcPr>
          <w:p>
            <w:r>
              <w:rPr>
                <w:rFonts w:ascii="Arial" w:cs="Arial" w:eastAsia="Arial" w:hAnsi="Arial"/>
                <w:color w:val="1A1A1A"/>
                <w:sz w:val="18"/>
                <w:szCs w:val="18"/>
              </w:rPr>
              <w:t xml:space="preserve">ACM / public CA</w:t>
            </w:r>
          </w:p>
        </w:tc>
        <w:tc>
          <w:tcPr>
            <w:tcW w:type="dxa" w:w="3960"/>
            <w:tcBorders>
              <w:top w:val="single" w:color="BECFE0" w:sz="1"/>
              <w:left w:val="single" w:color="BECFE0" w:sz="1"/>
              <w:bottom w:val="single" w:color="BECFE0" w:sz="1"/>
              <w:right w:val="single" w:color="BECFE0" w:sz="1"/>
            </w:tcBorders>
            <w:shd w:fill="F2F7FC" w:val="clear"/>
            <w:tcMar>
              <w:top w:type="dxa" w:w="80"/>
              <w:left w:type="dxa" w:w="120"/>
              <w:bottom w:type="dxa" w:w="80"/>
              <w:right w:type="dxa" w:w="120"/>
            </w:tcMar>
          </w:tcPr>
          <w:p>
            <w:r>
              <w:rPr>
                <w:rFonts w:ascii="Arial" w:cs="Arial" w:eastAsia="Arial" w:hAnsi="Arial"/>
                <w:color w:val="1A1A1A"/>
                <w:sz w:val="18"/>
                <w:szCs w:val="18"/>
              </w:rPr>
              <w:t xml:space="preserve">Self-signed or internal CA — COOKBOOK_S3_ENDPOINT uses http:// on isolated nets</w:t>
            </w:r>
          </w:p>
        </w:tc>
      </w:tr>
      <w:tr>
        <w:tc>
          <w:tcPr>
            <w:tcW w:type="dxa" w:w="2200"/>
            <w:tcBorders>
              <w:top w:val="single" w:color="BECFE0" w:sz="1"/>
              <w:left w:val="single" w:color="BECFE0" w:sz="1"/>
              <w:bottom w:val="single" w:color="BECFE0" w:sz="1"/>
              <w:right w:val="single" w:color="BECF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Auth tokens</w:t>
            </w:r>
          </w:p>
        </w:tc>
        <w:tc>
          <w:tcPr>
            <w:tcW w:type="dxa" w:w="3200"/>
            <w:tcBorders>
              <w:top w:val="single" w:color="BECFE0" w:sz="1"/>
              <w:left w:val="single" w:color="BECFE0" w:sz="1"/>
              <w:bottom w:val="single" w:color="BECFE0" w:sz="1"/>
              <w:right w:val="single" w:color="BECF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Long-lived PATs from registry UI</w:t>
            </w:r>
          </w:p>
        </w:tc>
        <w:tc>
          <w:tcPr>
            <w:tcW w:type="dxa" w:w="3960"/>
            <w:tcBorders>
              <w:top w:val="single" w:color="BECFE0" w:sz="1"/>
              <w:left w:val="single" w:color="BECFE0" w:sz="1"/>
              <w:bottom w:val="single" w:color="BECFE0" w:sz="1"/>
              <w:right w:val="single" w:color="BECF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Same — credentials.pasta token field, no change</w:t>
            </w:r>
          </w:p>
        </w:tc>
      </w:tr>
    </w:tbl>
    <w:p>
      <w:pPr>
        <w:spacing w:before="0" w:after="80"/>
      </w:pPr>
      <w:r>
        <w:t xml:space="preserve"/>
      </w:r>
    </w:p>
    <w:p>
      <w:pPr>
        <w:pStyle w:val="Heading2"/>
        <w:pBdr>
          <w:bottom w:val="single" w:color="2E75B6" w:sz="3" w:space="4"/>
        </w:pBdr>
        <w:spacing w:before="320" w:after="120"/>
      </w:pPr>
      <w:r>
        <w:rPr>
          <w:rFonts w:ascii="Arial" w:cs="Arial" w:eastAsia="Arial" w:hAnsi="Arial"/>
          <w:b/>
          <w:bCs/>
          <w:color w:val="1A3A5C"/>
          <w:sz w:val="28"/>
          <w:szCs w:val="28"/>
        </w:rPr>
        <w:t xml:space="preserve">A.2.1  MinIO</w:t>
      </w:r>
    </w:p>
    <w:p>
      <w:pPr>
        <w:spacing w:before="60" w:after="100"/>
      </w:pPr>
      <w:r>
        <w:rPr>
          <w:rFonts w:ascii="Arial" w:cs="Arial" w:eastAsia="Arial" w:hAnsi="Arial"/>
          <w:color w:val="1A1A1A"/>
          <w:sz w:val="22"/>
          <w:szCs w:val="22"/>
        </w:rPr>
        <w:t xml:space="preserve">MinIO implements the S3 API completely. The cookbook S3 client requires no modification — only COOKBOOK_S3_ENDPOINT changes. For a single-lab-node deployment, MinIO runs on the same host as cookbook. For a small cluster of lab nodes sharing a registry, MinIO runs on a dedicated storage node.</w:t>
      </w:r>
    </w:p>
    <w:p>
      <w:pPr>
        <w:spacing w:before="0" w:after="80"/>
      </w:pPr>
      <w:r>
        <w:t xml:space="preserve"/>
      </w:r>
    </w:p>
    <w:p>
      <w:pPr>
        <w:pBdr>
          <w:left w:val="single" w:color="2E75B6" w:sz="6" w:space="4"/>
        </w:pBdr>
        <w:shd w:fill="F0F4F8" w:val="clear"/>
        <w:spacing w:before="40" w:after="40"/>
        <w:ind w:left="360" w:right="360"/>
      </w:pPr>
      <w:r>
        <w:rPr>
          <w:rFonts w:ascii="Courier New" w:cs="Courier New" w:eastAsia="Courier New" w:hAnsi="Courier New"/>
          <w:color w:val="2B4B7E"/>
          <w:sz w:val="18"/>
          <w:szCs w:val="18"/>
        </w:rPr>
        <w:t xml:space="preserve">; cookbook environment — air-gapped lab node</w:t>
      </w:r>
    </w:p>
    <w:p>
      <w:pPr>
        <w:pBdr>
          <w:left w:val="single" w:color="2E75B6" w:sz="6" w:space="4"/>
        </w:pBdr>
        <w:shd w:fill="F0F4F8" w:val="clear"/>
        <w:spacing w:before="40" w:after="40"/>
        <w:ind w:left="360" w:right="360"/>
      </w:pPr>
      <w:r>
        <w:rPr>
          <w:rFonts w:ascii="Courier New" w:cs="Courier New" w:eastAsia="Courier New" w:hAnsi="Courier New"/>
          <w:color w:val="2B4B7E"/>
          <w:sz w:val="18"/>
          <w:szCs w:val="18"/>
        </w:rPr>
        <w:t xml:space="preserve">COOKBOOK_S3_ENDPOINT=http://minio.lab.internal:9000</w:t>
      </w:r>
    </w:p>
    <w:p>
      <w:pPr>
        <w:pBdr>
          <w:left w:val="single" w:color="2E75B6" w:sz="6" w:space="4"/>
        </w:pBdr>
        <w:shd w:fill="F0F4F8" w:val="clear"/>
        <w:spacing w:before="40" w:after="40"/>
        <w:ind w:left="360" w:right="360"/>
      </w:pPr>
      <w:r>
        <w:rPr>
          <w:rFonts w:ascii="Courier New" w:cs="Courier New" w:eastAsia="Courier New" w:hAnsi="Courier New"/>
          <w:color w:val="2B4B7E"/>
          <w:sz w:val="18"/>
          <w:szCs w:val="18"/>
        </w:rPr>
        <w:t xml:space="preserve">COOKBOOK_S3_BUCKET=cookbook-artifacts</w:t>
      </w:r>
    </w:p>
    <w:p>
      <w:pPr>
        <w:pBdr>
          <w:left w:val="single" w:color="2E75B6" w:sz="6" w:space="4"/>
        </w:pBdr>
        <w:shd w:fill="F0F4F8" w:val="clear"/>
        <w:spacing w:before="40" w:after="40"/>
        <w:ind w:left="360" w:right="360"/>
      </w:pPr>
      <w:r>
        <w:rPr>
          <w:rFonts w:ascii="Courier New" w:cs="Courier New" w:eastAsia="Courier New" w:hAnsi="Courier New"/>
          <w:color w:val="2B4B7E"/>
          <w:sz w:val="18"/>
          <w:szCs w:val="18"/>
        </w:rPr>
        <w:t xml:space="preserve">COOKBOOK_DB_URL=postgres://cookbook:pass@pg.lab.internal:5432/cookbook</w:t>
      </w:r>
    </w:p>
    <w:p>
      <w:pPr>
        <w:pBdr>
          <w:left w:val="single" w:color="2E75B6" w:sz="6" w:space="4"/>
        </w:pBdr>
        <w:shd w:fill="F0F4F8" w:val="clear"/>
        <w:spacing w:before="40" w:after="40"/>
        <w:ind w:left="360" w:right="360"/>
      </w:pPr>
      <w:r>
        <w:rPr>
          <w:rFonts w:ascii="Courier New" w:cs="Courier New" w:eastAsia="Courier New" w:hAnsi="Courier New"/>
          <w:color w:val="2B4B7E"/>
          <w:sz w:val="18"/>
          <w:szCs w:val="18"/>
        </w:rPr>
        <w:t xml:space="preserve">COOKBOOK_PORT=8080</w:t>
      </w:r>
    </w:p>
    <w:p>
      <w:pPr>
        <w:pBdr>
          <w:left w:val="single" w:color="2E75B6" w:sz="6" w:space="4"/>
        </w:pBdr>
        <w:shd w:fill="F0F4F8" w:val="clear"/>
        <w:spacing w:before="40" w:after="40"/>
        <w:ind w:left="360" w:right="360"/>
      </w:pPr>
      <w:r>
        <w:rPr>
          <w:rFonts w:ascii="Courier New" w:cs="Courier New" w:eastAsia="Courier New" w:hAnsi="Courier New"/>
          <w:color w:val="2B4B7E"/>
          <w:sz w:val="18"/>
          <w:szCs w:val="18"/>
        </w:rPr>
        <w:t xml:space="preserve">COOKBOOK_JWT_SECRET=&lt;generated-secret&gt;</w:t>
      </w:r>
    </w:p>
    <w:p>
      <w:pPr>
        <w:pBdr>
          <w:left w:val="single" w:color="2E75B6" w:sz="6" w:space="4"/>
        </w:pBdr>
        <w:shd w:fill="F0F4F8" w:val="clear"/>
        <w:spacing w:before="40" w:after="40"/>
        <w:ind w:left="360" w:right="360"/>
      </w:pPr>
      <w:r>
        <w:rPr>
          <w:rFonts w:ascii="Courier New" w:cs="Courier New" w:eastAsia="Courier New" w:hAnsi="Courier New"/>
          <w:color w:val="2B4B7E"/>
          <w:sz w:val="18"/>
          <w:szCs w:val="18"/>
        </w:rPr>
        <w:t xml:space="preserve">COOKBOOK_PENDING_TIMEOUT_MINUTES=30   ; tune per lab network latency</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D4701E"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w:t>
            </w:r>
          </w:p>
        </w:tc>
        <w:tc>
          <w:tcPr>
            <w:tcW w:type="dxa" w:w="8760"/>
            <w:tcBorders>
              <w:top w:val="none" w:color="FFFFFF" w:sz="0"/>
              <w:left w:val="none" w:color="FFFFFF" w:sz="0"/>
              <w:bottom w:val="none" w:color="FFFFFF" w:sz="0"/>
              <w:right w:val="none" w:color="FFFFFF" w:sz="0"/>
            </w:tcBorders>
            <w:shd w:fill="FDF3E7" w:val="clear"/>
            <w:tcMar>
              <w:top w:type="dxa" w:w="100"/>
              <w:left w:type="dxa" w:w="160"/>
              <w:bottom w:type="dxa" w:w="100"/>
              <w:right w:type="dxa" w:w="160"/>
            </w:tcMar>
          </w:tcPr>
          <w:p>
            <w:r>
              <w:rPr>
                <w:rFonts w:ascii="Arial" w:cs="Arial" w:eastAsia="Arial" w:hAnsi="Arial"/>
                <w:color w:val="1A1A1A"/>
                <w:sz w:val="20"/>
                <w:szCs w:val="20"/>
              </w:rPr>
              <w:t xml:space="preserve">COOKBOOK_PENDING_TIMEOUT_MINUTES should be increased on slower lab networks. The two-phase write timeout (§4.2) needs to accommodate the MinIO write latency for large artifacts, which may exceed the cloud default of 15 minutes on constrained hardware.</w:t>
            </w:r>
          </w:p>
        </w:tc>
      </w:tr>
    </w:tbl>
    <w:p>
      <w:pPr>
        <w:spacing w:before="0" w:after="80"/>
      </w:pPr>
      <w:r>
        <w:t xml:space="preserve"/>
      </w:r>
    </w:p>
    <w:p>
      <w:pPr>
        <w:pStyle w:val="Heading2"/>
        <w:pBdr>
          <w:bottom w:val="single" w:color="2E75B6" w:sz="3" w:space="4"/>
        </w:pBdr>
        <w:spacing w:before="320" w:after="120"/>
      </w:pPr>
      <w:r>
        <w:rPr>
          <w:rFonts w:ascii="Arial" w:cs="Arial" w:eastAsia="Arial" w:hAnsi="Arial"/>
          <w:b/>
          <w:bCs/>
          <w:color w:val="1A3A5C"/>
          <w:sz w:val="28"/>
          <w:szCs w:val="28"/>
        </w:rPr>
        <w:t xml:space="preserve">A.2.2  MinIO credentials</w:t>
      </w:r>
    </w:p>
    <w:p>
      <w:pPr>
        <w:spacing w:before="60" w:after="100"/>
      </w:pPr>
      <w:r>
        <w:rPr>
          <w:rFonts w:ascii="Arial" w:cs="Arial" w:eastAsia="Arial" w:hAnsi="Arial"/>
          <w:color w:val="1A1A1A"/>
          <w:sz w:val="22"/>
          <w:szCs w:val="22"/>
        </w:rPr>
        <w:t xml:space="preserve">MinIO uses its own access key / secret key pair, configured at startup. The cookbook S3 client uses these via the standard AWS credential chain — either environment variables or a credentials file:</w:t>
      </w:r>
    </w:p>
    <w:p>
      <w:pPr>
        <w:pBdr>
          <w:left w:val="single" w:color="2E75B6" w:sz="6" w:space="4"/>
        </w:pBdr>
        <w:shd w:fill="F0F4F8" w:val="clear"/>
        <w:spacing w:before="40" w:after="40"/>
        <w:ind w:left="360" w:right="360"/>
      </w:pPr>
      <w:r>
        <w:rPr>
          <w:rFonts w:ascii="Courier New" w:cs="Courier New" w:eastAsia="Courier New" w:hAnsi="Courier New"/>
          <w:color w:val="2B4B7E"/>
          <w:sz w:val="18"/>
          <w:szCs w:val="18"/>
        </w:rPr>
        <w:t xml:space="preserve">AWS_ACCESS_KEY_ID=minioadmin</w:t>
      </w:r>
    </w:p>
    <w:p>
      <w:pPr>
        <w:pBdr>
          <w:left w:val="single" w:color="2E75B6" w:sz="6" w:space="4"/>
        </w:pBdr>
        <w:shd w:fill="F0F4F8" w:val="clear"/>
        <w:spacing w:before="40" w:after="40"/>
        <w:ind w:left="360" w:right="360"/>
      </w:pPr>
      <w:r>
        <w:rPr>
          <w:rFonts w:ascii="Courier New" w:cs="Courier New" w:eastAsia="Courier New" w:hAnsi="Courier New"/>
          <w:color w:val="2B4B7E"/>
          <w:sz w:val="18"/>
          <w:szCs w:val="18"/>
        </w:rPr>
        <w:t xml:space="preserve">AWS_SECRET_ACCESS_KEY=&lt;minio-secret&gt;</w:t>
      </w:r>
    </w:p>
    <w:p>
      <w:pPr>
        <w:pBdr>
          <w:left w:val="single" w:color="2E75B6" w:sz="6" w:space="4"/>
        </w:pBdr>
        <w:shd w:fill="F0F4F8" w:val="clear"/>
        <w:spacing w:before="40" w:after="40"/>
        <w:ind w:left="360" w:right="360"/>
      </w:pPr>
      <w:r>
        <w:rPr>
          <w:rFonts w:ascii="Courier New" w:cs="Courier New" w:eastAsia="Courier New" w:hAnsi="Courier New"/>
          <w:color w:val="2B4B7E"/>
          <w:sz w:val="18"/>
          <w:szCs w:val="18"/>
        </w:rPr>
        <w:t xml:space="preserve">AWS_REGION=us-east-1   ; required by SDK, value is ignored by MinIO</w:t>
      </w:r>
    </w:p>
    <w:p>
      <w:pPr>
        <w:spacing w:before="0" w:after="80"/>
      </w:pPr>
      <w:r>
        <w:t xml:space="preserve"/>
      </w:r>
    </w:p>
    <w:p>
      <w:r>
        <w:br w:type="page"/>
      </w:r>
    </w:p>
    <w:p>
      <w:pPr>
        <w:pStyle w:val="Heading1"/>
        <w:pBdr>
          <w:bottom w:val="single" w:color="2E75B6" w:sz="4"/>
        </w:pBdr>
        <w:shd w:fill="1A3A5C" w:val="clear"/>
        <w:spacing w:before="360" w:after="160"/>
        <w:ind w:left="200" w:right="200"/>
      </w:pPr>
      <w:r>
        <w:rPr>
          <w:rFonts w:ascii="Arial" w:cs="Arial" w:eastAsia="Arial" w:hAnsi="Arial"/>
          <w:b/>
          <w:bCs/>
          <w:color w:val="FFFFFF"/>
          <w:sz w:val="36"/>
          <w:szCs w:val="36"/>
        </w:rPr>
        <w:t xml:space="preserve">A.3  Artifact Seeding</w:t>
      </w:r>
    </w:p>
    <w:p>
      <w:pPr>
        <w:spacing w:before="60" w:after="100"/>
      </w:pPr>
      <w:r>
        <w:rPr>
          <w:rFonts w:ascii="Arial" w:cs="Arial" w:eastAsia="Arial" w:hAnsi="Arial"/>
          <w:color w:val="1A1A1A"/>
          <w:sz w:val="22"/>
          <w:szCs w:val="22"/>
        </w:rPr>
        <w:t xml:space="preserve">An air-gapped node starts with an empty MinIO bucket. Artifacts must be seeded before the lab can build projects with external dependencies. Two seeding paths are available depending on whether the lab node has a one-time network access window.</w:t>
      </w:r>
    </w:p>
    <w:p>
      <w:pPr>
        <w:spacing w:before="0" w:after="80"/>
      </w:pPr>
      <w:r>
        <w:t xml:space="preserve"/>
      </w:r>
    </w:p>
    <w:p>
      <w:pPr>
        <w:pStyle w:val="Heading2"/>
        <w:pBdr>
          <w:bottom w:val="single" w:color="2E75B6" w:sz="3" w:space="4"/>
        </w:pBdr>
        <w:spacing w:before="320" w:after="120"/>
      </w:pPr>
      <w:r>
        <w:rPr>
          <w:rFonts w:ascii="Arial" w:cs="Arial" w:eastAsia="Arial" w:hAnsi="Arial"/>
          <w:b/>
          <w:bCs/>
          <w:color w:val="1A3A5C"/>
          <w:sz w:val="28"/>
          <w:szCs w:val="28"/>
        </w:rPr>
        <w:t xml:space="preserve">A.3.1  Path 1 — Mirror before air-gapping (preferred)</w:t>
      </w:r>
    </w:p>
    <w:p>
      <w:pPr>
        <w:spacing w:before="60" w:after="100"/>
      </w:pPr>
      <w:r>
        <w:rPr>
          <w:rFonts w:ascii="Arial" w:cs="Arial" w:eastAsia="Arial" w:hAnsi="Arial"/>
          <w:color w:val="1A1A1A"/>
          <w:sz w:val="22"/>
          <w:szCs w:val="22"/>
        </w:rPr>
        <w:t xml:space="preserve">If the lab node has internet access before being air-gapped — or if a network-connected machine can act as an intermediary — use now's mirror command to populate a local artifact tree, then import it into MinIO.</w:t>
      </w:r>
    </w:p>
    <w:p>
      <w:pPr>
        <w:spacing w:before="0" w:after="80"/>
      </w:pPr>
      <w:r>
        <w:t xml:space="preserve"/>
      </w:r>
    </w:p>
    <w:p>
      <w:pPr>
        <w:pStyle w:val="Heading3"/>
        <w:spacing w:before="240" w:after="80"/>
      </w:pPr>
      <w:r>
        <w:rPr>
          <w:rFonts w:ascii="Arial" w:cs="Arial" w:eastAsia="Arial" w:hAnsi="Arial"/>
          <w:b/>
          <w:bCs/>
          <w:color w:val="2E75B6"/>
          <w:sz w:val="24"/>
          <w:szCs w:val="24"/>
        </w:rPr>
        <w:t xml:space="preserve">Step 1 — Mirror from the public registry</w:t>
      </w:r>
    </w:p>
    <w:p>
      <w:pPr>
        <w:pBdr>
          <w:left w:val="single" w:color="2E75B6" w:sz="6" w:space="4"/>
        </w:pBdr>
        <w:shd w:fill="F0F4F8" w:val="clear"/>
        <w:spacing w:before="40" w:after="40"/>
        <w:ind w:left="360" w:right="360"/>
      </w:pPr>
      <w:r>
        <w:rPr>
          <w:rFonts w:ascii="Courier New" w:cs="Courier New" w:eastAsia="Courier New" w:hAnsi="Courier New"/>
          <w:color w:val="2B4B7E"/>
          <w:sz w:val="18"/>
          <w:szCs w:val="18"/>
        </w:rPr>
        <w:t xml:space="preserve">; On a machine with internet access</w:t>
      </w:r>
    </w:p>
    <w:p>
      <w:pPr>
        <w:pBdr>
          <w:left w:val="single" w:color="2E75B6" w:sz="6" w:space="4"/>
        </w:pBdr>
        <w:shd w:fill="F0F4F8" w:val="clear"/>
        <w:spacing w:before="40" w:after="40"/>
        <w:ind w:left="360" w:right="360"/>
      </w:pPr>
      <w:r>
        <w:rPr>
          <w:rFonts w:ascii="Courier New" w:cs="Courier New" w:eastAsia="Courier New" w:hAnsi="Courier New"/>
          <w:color w:val="2B4B7E"/>
          <w:sz w:val="18"/>
          <w:szCs w:val="18"/>
        </w:rPr>
        <w:t xml:space="preserve">; now.pasta declares the deps you need</w:t>
      </w:r>
    </w:p>
    <w:p>
      <w:pPr>
        <w:pBdr>
          <w:left w:val="single" w:color="2E75B6" w:sz="6" w:space="4"/>
        </w:pBdr>
        <w:shd w:fill="F0F4F8" w:val="clear"/>
        <w:spacing w:before="40" w:after="40"/>
        <w:ind w:left="360" w:right="360"/>
      </w:pPr>
      <w:r>
        <w:rPr>
          <w:rFonts w:ascii="Courier New" w:cs="Courier New" w:eastAsia="Courier New" w:hAnsi="Courier New"/>
          <w:color w:val="2B4B7E"/>
          <w:sz w:val="18"/>
          <w:szCs w:val="18"/>
        </w:rPr>
        <w:t xml:space="preserve">now cache --mirror --output ./lab-mirror</w:t>
      </w:r>
    </w:p>
    <w:p>
      <w:pPr>
        <w:pBdr>
          <w:left w:val="single" w:color="2E75B6" w:sz="6" w:space="4"/>
        </w:pBdr>
        <w:shd w:fill="F0F4F8" w:val="clear"/>
        <w:spacing w:before="40" w:after="40"/>
        <w:ind w:left="360" w:right="360"/>
      </w:pPr>
      <w:r>
        <w:rPr>
          <w:rFonts w:ascii="Courier New" w:cs="Courier New" w:eastAsia="Courier New" w:hAnsi="Courier New"/>
          <w:color w:val="2B4B7E"/>
          <w:sz w:val="18"/>
          <w:szCs w:val="18"/>
        </w:rPr>
        <w:t xml:space="preserve"/>
      </w:r>
    </w:p>
    <w:p>
      <w:pPr>
        <w:pBdr>
          <w:left w:val="single" w:color="2E75B6" w:sz="6" w:space="4"/>
        </w:pBdr>
        <w:shd w:fill="F0F4F8" w:val="clear"/>
        <w:spacing w:before="40" w:after="40"/>
        <w:ind w:left="360" w:right="360"/>
      </w:pPr>
      <w:r>
        <w:rPr>
          <w:rFonts w:ascii="Courier New" w:cs="Courier New" w:eastAsia="Courier New" w:hAnsi="Courier New"/>
          <w:color w:val="2B4B7E"/>
          <w:sz w:val="18"/>
          <w:szCs w:val="18"/>
        </w:rPr>
        <w:t xml:space="preserve">; Output is a directory tree matching the object store layout:</w:t>
      </w:r>
    </w:p>
    <w:p>
      <w:pPr>
        <w:pBdr>
          <w:left w:val="single" w:color="2E75B6" w:sz="6" w:space="4"/>
        </w:pBdr>
        <w:shd w:fill="F0F4F8" w:val="clear"/>
        <w:spacing w:before="40" w:after="40"/>
        <w:ind w:left="360" w:right="360"/>
      </w:pPr>
      <w:r>
        <w:rPr>
          <w:rFonts w:ascii="Courier New" w:cs="Courier New" w:eastAsia="Courier New" w:hAnsi="Courier New"/>
          <w:color w:val="2B4B7E"/>
          <w:sz w:val="18"/>
          <w:szCs w:val="18"/>
        </w:rPr>
        <w:t xml:space="preserve">; lab-mirror/</w:t>
      </w:r>
    </w:p>
    <w:p>
      <w:pPr>
        <w:pBdr>
          <w:left w:val="single" w:color="2E75B6" w:sz="6" w:space="4"/>
        </w:pBdr>
        <w:shd w:fill="F0F4F8" w:val="clear"/>
        <w:spacing w:before="40" w:after="40"/>
        <w:ind w:left="360" w:right="360"/>
      </w:pPr>
      <w:r>
        <w:rPr>
          <w:rFonts w:ascii="Courier New" w:cs="Courier New" w:eastAsia="Courier New" w:hAnsi="Courier New"/>
          <w:color w:val="2B4B7E"/>
          <w:sz w:val="18"/>
          <w:szCs w:val="18"/>
        </w:rPr>
        <w:t xml:space="preserve">;   org/acme/core/4.2.1/</w:t>
      </w:r>
    </w:p>
    <w:p>
      <w:pPr>
        <w:pBdr>
          <w:left w:val="single" w:color="2E75B6" w:sz="6" w:space="4"/>
        </w:pBdr>
        <w:shd w:fill="F0F4F8" w:val="clear"/>
        <w:spacing w:before="40" w:after="40"/>
        <w:ind w:left="360" w:right="360"/>
      </w:pPr>
      <w:r>
        <w:rPr>
          <w:rFonts w:ascii="Courier New" w:cs="Courier New" w:eastAsia="Courier New" w:hAnsi="Courier New"/>
          <w:color w:val="2B4B7E"/>
          <w:sz w:val="18"/>
          <w:szCs w:val="18"/>
        </w:rPr>
        <w:t xml:space="preserve">;     core-4.2.1-linux-amd64-gnu.tar.gz</w:t>
      </w:r>
    </w:p>
    <w:p>
      <w:pPr>
        <w:pBdr>
          <w:left w:val="single" w:color="2E75B6" w:sz="6" w:space="4"/>
        </w:pBdr>
        <w:shd w:fill="F0F4F8" w:val="clear"/>
        <w:spacing w:before="40" w:after="40"/>
        <w:ind w:left="360" w:right="360"/>
      </w:pPr>
      <w:r>
        <w:rPr>
          <w:rFonts w:ascii="Courier New" w:cs="Courier New" w:eastAsia="Courier New" w:hAnsi="Courier New"/>
          <w:color w:val="2B4B7E"/>
          <w:sz w:val="18"/>
          <w:szCs w:val="18"/>
        </w:rPr>
        <w:t xml:space="preserve">;     core-4.2.1-linux-amd64-gnu.tar.gz.sha256</w:t>
      </w:r>
    </w:p>
    <w:p>
      <w:pPr>
        <w:pBdr>
          <w:left w:val="single" w:color="2E75B6" w:sz="6" w:space="4"/>
        </w:pBdr>
        <w:shd w:fill="F0F4F8" w:val="clear"/>
        <w:spacing w:before="40" w:after="40"/>
        <w:ind w:left="360" w:right="360"/>
      </w:pPr>
      <w:r>
        <w:rPr>
          <w:rFonts w:ascii="Courier New" w:cs="Courier New" w:eastAsia="Courier New" w:hAnsi="Courier New"/>
          <w:color w:val="2B4B7E"/>
          <w:sz w:val="18"/>
          <w:szCs w:val="18"/>
        </w:rPr>
        <w:t xml:space="preserve">;     core-4.2.1-linux-amd64-gnu.tar.gz.sig</w:t>
      </w:r>
    </w:p>
    <w:p>
      <w:pPr>
        <w:pBdr>
          <w:left w:val="single" w:color="2E75B6" w:sz="6" w:space="4"/>
        </w:pBdr>
        <w:shd w:fill="F0F4F8" w:val="clear"/>
        <w:spacing w:before="40" w:after="40"/>
        <w:ind w:left="360" w:right="360"/>
      </w:pPr>
      <w:r>
        <w:rPr>
          <w:rFonts w:ascii="Courier New" w:cs="Courier New" w:eastAsia="Courier New" w:hAnsi="Courier New"/>
          <w:color w:val="2B4B7E"/>
          <w:sz w:val="18"/>
          <w:szCs w:val="18"/>
        </w:rPr>
        <w:t xml:space="preserve">;     now.pasta</w:t>
      </w:r>
    </w:p>
    <w:p>
      <w:pPr>
        <w:pBdr>
          <w:left w:val="single" w:color="2E75B6" w:sz="6" w:space="4"/>
        </w:pBdr>
        <w:shd w:fill="F0F4F8" w:val="clear"/>
        <w:spacing w:before="40" w:after="40"/>
        <w:ind w:left="360" w:right="360"/>
      </w:pPr>
      <w:r>
        <w:rPr>
          <w:rFonts w:ascii="Courier New" w:cs="Courier New" w:eastAsia="Courier New" w:hAnsi="Courier New"/>
          <w:color w:val="2B4B7E"/>
          <w:sz w:val="18"/>
          <w:szCs w:val="18"/>
        </w:rPr>
        <w:t xml:space="preserve">;     now.pasta.sha256</w:t>
      </w:r>
    </w:p>
    <w:p>
      <w:pPr>
        <w:pBdr>
          <w:left w:val="single" w:color="2E75B6" w:sz="6" w:space="4"/>
        </w:pBdr>
        <w:shd w:fill="F0F4F8" w:val="clear"/>
        <w:spacing w:before="40" w:after="40"/>
        <w:ind w:left="360" w:right="360"/>
      </w:pPr>
      <w:r>
        <w:rPr>
          <w:rFonts w:ascii="Courier New" w:cs="Courier New" w:eastAsia="Courier New" w:hAnsi="Courier New"/>
          <w:color w:val="2B4B7E"/>
          <w:sz w:val="18"/>
          <w:szCs w:val="18"/>
        </w:rPr>
        <w:t xml:space="preserve">;   ...</w:t>
      </w:r>
    </w:p>
    <w:p>
      <w:pPr>
        <w:spacing w:before="0" w:after="80"/>
      </w:pPr>
      <w:r>
        <w:t xml:space="preserve"/>
      </w:r>
    </w:p>
    <w:p>
      <w:pPr>
        <w:pStyle w:val="Heading3"/>
        <w:spacing w:before="240" w:after="80"/>
      </w:pPr>
      <w:r>
        <w:rPr>
          <w:rFonts w:ascii="Arial" w:cs="Arial" w:eastAsia="Arial" w:hAnsi="Arial"/>
          <w:b/>
          <w:bCs/>
          <w:color w:val="2E75B6"/>
          <w:sz w:val="24"/>
          <w:szCs w:val="24"/>
        </w:rPr>
        <w:t xml:space="preserve">Step 2 — Transfer to lab node</w:t>
      </w:r>
    </w:p>
    <w:p>
      <w:pPr>
        <w:spacing w:before="60" w:after="100"/>
      </w:pPr>
      <w:r>
        <w:rPr>
          <w:rFonts w:ascii="Arial" w:cs="Arial" w:eastAsia="Arial" w:hAnsi="Arial"/>
          <w:color w:val="1A1A1A"/>
          <w:sz w:val="22"/>
          <w:szCs w:val="22"/>
        </w:rPr>
        <w:t xml:space="preserve">Transfer the mirror directory to the lab node via whatever physical or internal transfer mechanism is available — USB, internal file share, rsync over a controlled hop. The directory structure must be preserved exactly; it maps 1:1 to the MinIO object key layout.</w:t>
      </w:r>
    </w:p>
    <w:p>
      <w:pPr>
        <w:spacing w:before="0" w:after="80"/>
      </w:pPr>
      <w:r>
        <w:t xml:space="preserve"/>
      </w:r>
    </w:p>
    <w:p>
      <w:pPr>
        <w:pStyle w:val="Heading3"/>
        <w:spacing w:before="240" w:after="80"/>
      </w:pPr>
      <w:r>
        <w:rPr>
          <w:rFonts w:ascii="Arial" w:cs="Arial" w:eastAsia="Arial" w:hAnsi="Arial"/>
          <w:b/>
          <w:bCs/>
          <w:color w:val="2E75B6"/>
          <w:sz w:val="24"/>
          <w:szCs w:val="24"/>
        </w:rPr>
        <w:t xml:space="preserve">Step 3 — Import into MinIO</w:t>
      </w:r>
    </w:p>
    <w:p>
      <w:pPr>
        <w:pBdr>
          <w:left w:val="single" w:color="2E75B6" w:sz="6" w:space="4"/>
        </w:pBdr>
        <w:shd w:fill="F0F4F8" w:val="clear"/>
        <w:spacing w:before="40" w:after="40"/>
        <w:ind w:left="360" w:right="360"/>
      </w:pPr>
      <w:r>
        <w:rPr>
          <w:rFonts w:ascii="Courier New" w:cs="Courier New" w:eastAsia="Courier New" w:hAnsi="Courier New"/>
          <w:color w:val="2B4B7E"/>
          <w:sz w:val="18"/>
          <w:szCs w:val="18"/>
        </w:rPr>
        <w:t xml:space="preserve">; On the lab node, using the MinIO client (mc)</w:t>
      </w:r>
    </w:p>
    <w:p>
      <w:pPr>
        <w:pBdr>
          <w:left w:val="single" w:color="2E75B6" w:sz="6" w:space="4"/>
        </w:pBdr>
        <w:shd w:fill="F0F4F8" w:val="clear"/>
        <w:spacing w:before="40" w:after="40"/>
        <w:ind w:left="360" w:right="360"/>
      </w:pPr>
      <w:r>
        <w:rPr>
          <w:rFonts w:ascii="Courier New" w:cs="Courier New" w:eastAsia="Courier New" w:hAnsi="Courier New"/>
          <w:color w:val="2B4B7E"/>
          <w:sz w:val="18"/>
          <w:szCs w:val="18"/>
        </w:rPr>
        <w:t xml:space="preserve">mc alias set lab http://minio.lab.internal:9000 minioadmin &lt;secret&gt;</w:t>
      </w:r>
    </w:p>
    <w:p>
      <w:pPr>
        <w:pBdr>
          <w:left w:val="single" w:color="2E75B6" w:sz="6" w:space="4"/>
        </w:pBdr>
        <w:shd w:fill="F0F4F8" w:val="clear"/>
        <w:spacing w:before="40" w:after="40"/>
        <w:ind w:left="360" w:right="360"/>
      </w:pPr>
      <w:r>
        <w:rPr>
          <w:rFonts w:ascii="Courier New" w:cs="Courier New" w:eastAsia="Courier New" w:hAnsi="Courier New"/>
          <w:color w:val="2B4B7E"/>
          <w:sz w:val="18"/>
          <w:szCs w:val="18"/>
        </w:rPr>
        <w:t xml:space="preserve">mc cp --recursive ./lab-mirror/ lab/cookbook-artifacts/</w:t>
      </w:r>
    </w:p>
    <w:p>
      <w:pPr>
        <w:pBdr>
          <w:left w:val="single" w:color="2E75B6" w:sz="6" w:space="4"/>
        </w:pBdr>
        <w:shd w:fill="F0F4F8" w:val="clear"/>
        <w:spacing w:before="40" w:after="40"/>
        <w:ind w:left="360" w:right="360"/>
      </w:pPr>
      <w:r>
        <w:rPr>
          <w:rFonts w:ascii="Courier New" w:cs="Courier New" w:eastAsia="Courier New" w:hAnsi="Courier New"/>
          <w:color w:val="2B4B7E"/>
          <w:sz w:val="18"/>
          <w:szCs w:val="18"/>
        </w:rPr>
        <w:t xml:space="preserve"/>
      </w:r>
    </w:p>
    <w:p>
      <w:pPr>
        <w:pBdr>
          <w:left w:val="single" w:color="2E75B6" w:sz="6" w:space="4"/>
        </w:pBdr>
        <w:shd w:fill="F0F4F8" w:val="clear"/>
        <w:spacing w:before="40" w:after="40"/>
        <w:ind w:left="360" w:right="360"/>
      </w:pPr>
      <w:r>
        <w:rPr>
          <w:rFonts w:ascii="Courier New" w:cs="Courier New" w:eastAsia="Courier New" w:hAnsi="Courier New"/>
          <w:color w:val="2B4B7E"/>
          <w:sz w:val="18"/>
          <w:szCs w:val="18"/>
        </w:rPr>
        <w:t xml:space="preserve">; Verify</w:t>
      </w:r>
    </w:p>
    <w:p>
      <w:pPr>
        <w:pBdr>
          <w:left w:val="single" w:color="2E75B6" w:sz="6" w:space="4"/>
        </w:pBdr>
        <w:shd w:fill="F0F4F8" w:val="clear"/>
        <w:spacing w:before="40" w:after="40"/>
        <w:ind w:left="360" w:right="360"/>
      </w:pPr>
      <w:r>
        <w:rPr>
          <w:rFonts w:ascii="Courier New" w:cs="Courier New" w:eastAsia="Courier New" w:hAnsi="Courier New"/>
          <w:color w:val="2B4B7E"/>
          <w:sz w:val="18"/>
          <w:szCs w:val="18"/>
        </w:rPr>
        <w:t xml:space="preserve">mc ls lab/cookbook-artifacts/org/acme/core/4.2.1/</w:t>
      </w:r>
    </w:p>
    <w:p>
      <w:pPr>
        <w:spacing w:before="0" w:after="80"/>
      </w:pPr>
      <w:r>
        <w:t xml:space="preserve"/>
      </w:r>
    </w:p>
    <w:p>
      <w:pPr>
        <w:pStyle w:val="Heading3"/>
        <w:spacing w:before="240" w:after="80"/>
      </w:pPr>
      <w:r>
        <w:rPr>
          <w:rFonts w:ascii="Arial" w:cs="Arial" w:eastAsia="Arial" w:hAnsi="Arial"/>
          <w:b/>
          <w:bCs/>
          <w:color w:val="2E75B6"/>
          <w:sz w:val="24"/>
          <w:szCs w:val="24"/>
        </w:rPr>
        <w:t xml:space="preserve">Step 4 — Register metadata in Postgres</w:t>
      </w:r>
    </w:p>
    <w:p>
      <w:pPr>
        <w:spacing w:before="60" w:after="100"/>
      </w:pPr>
      <w:r>
        <w:rPr>
          <w:rFonts w:ascii="Arial" w:cs="Arial" w:eastAsia="Arial" w:hAnsi="Arial"/>
          <w:color w:val="1A1A1A"/>
          <w:sz w:val="22"/>
          <w:szCs w:val="22"/>
        </w:rPr>
        <w:t xml:space="preserve">MinIO now has the artifact bytes but Postgres has no metadata rows. The cookbook import tool (see A.4) scans the MinIO bucket and registers each artifact, computing SHA-256 and descriptor_sha256 locally and writing the artifacts and artifact_semver rows. This is the only step that differs from a standard publish flow.</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2E75B6"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ℹ</w:t>
            </w:r>
          </w:p>
        </w:tc>
        <w:tc>
          <w:tcPr>
            <w:tcW w:type="dxa" w:w="8760"/>
            <w:tcBorders>
              <w:top w:val="none" w:color="FFFFFF" w:sz="0"/>
              <w:left w:val="none" w:color="FFFFFF" w:sz="0"/>
              <w:bottom w:val="none" w:color="FFFFFF" w:sz="0"/>
              <w:right w:val="none" w:color="FFFFFF" w:sz="0"/>
            </w:tcBorders>
            <w:shd w:fill="EBF3FA" w:val="clear"/>
            <w:tcMar>
              <w:top w:type="dxa" w:w="100"/>
              <w:left w:type="dxa" w:w="160"/>
              <w:bottom w:type="dxa" w:w="100"/>
              <w:right w:type="dxa" w:w="160"/>
            </w:tcMar>
          </w:tcPr>
          <w:p>
            <w:r>
              <w:rPr>
                <w:rFonts w:ascii="Arial" w:cs="Arial" w:eastAsia="Arial" w:hAnsi="Arial"/>
                <w:color w:val="1A1A1A"/>
                <w:sz w:val="20"/>
                <w:szCs w:val="20"/>
              </w:rPr>
              <w:t xml:space="preserve">The mirror directory layout matches the object store layout exactly (§4.2). This is by design — the mirror output can be imported directly into any S3-compatible backend with no transformation.</w:t>
            </w:r>
          </w:p>
        </w:tc>
      </w:tr>
    </w:tbl>
    <w:p>
      <w:pPr>
        <w:spacing w:before="0" w:after="80"/>
      </w:pPr>
      <w:r>
        <w:t xml:space="preserve"/>
      </w:r>
    </w:p>
    <w:p>
      <w:pPr>
        <w:pStyle w:val="Heading2"/>
        <w:pBdr>
          <w:bottom w:val="single" w:color="2E75B6" w:sz="3" w:space="4"/>
        </w:pBdr>
        <w:spacing w:before="320" w:after="120"/>
      </w:pPr>
      <w:r>
        <w:rPr>
          <w:rFonts w:ascii="Arial" w:cs="Arial" w:eastAsia="Arial" w:hAnsi="Arial"/>
          <w:b/>
          <w:bCs/>
          <w:color w:val="1A3A5C"/>
          <w:sz w:val="28"/>
          <w:szCs w:val="28"/>
        </w:rPr>
        <w:t xml:space="preserve">A.3.2  Path 2 — Manual import (permanently air-gapped)</w:t>
      </w:r>
    </w:p>
    <w:p>
      <w:pPr>
        <w:spacing w:before="60" w:after="100"/>
      </w:pPr>
      <w:r>
        <w:rPr>
          <w:rFonts w:ascii="Arial" w:cs="Arial" w:eastAsia="Arial" w:hAnsi="Arial"/>
          <w:color w:val="1A1A1A"/>
          <w:sz w:val="22"/>
          <w:szCs w:val="22"/>
        </w:rPr>
        <w:t xml:space="preserve">If the lab node has no network access window and artifacts arrive by physical media or internal controlled transfer, the same import tool (A.4) is used. Artifacts are placed directly into MinIO using mc cp or the MinIO console, then registered via the import tool. The workflow is identical to Path 1 from Step 3 onward.</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C0392B"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w:t>
            </w:r>
          </w:p>
        </w:tc>
        <w:tc>
          <w:tcPr>
            <w:tcW w:type="dxa" w:w="8760"/>
            <w:tcBorders>
              <w:top w:val="none" w:color="FFFFFF" w:sz="0"/>
              <w:left w:val="none" w:color="FFFFFF" w:sz="0"/>
              <w:bottom w:val="none" w:color="FFFFFF" w:sz="0"/>
              <w:right w:val="none" w:color="FFFFFF" w:sz="0"/>
            </w:tcBorders>
            <w:shd w:fill="FEE8E8" w:val="clear"/>
            <w:tcMar>
              <w:top w:type="dxa" w:w="100"/>
              <w:left w:type="dxa" w:w="160"/>
              <w:bottom w:type="dxa" w:w="100"/>
              <w:right w:type="dxa" w:w="160"/>
            </w:tcMar>
          </w:tcPr>
          <w:p>
            <w:r>
              <w:rPr>
                <w:rFonts w:ascii="Arial" w:cs="Arial" w:eastAsia="Arial" w:hAnsi="Arial"/>
                <w:color w:val="1A1A1A"/>
                <w:sz w:val="20"/>
                <w:szCs w:val="20"/>
              </w:rPr>
              <w:t xml:space="preserve">Artifacts imported manually must have their SHA-256 verified against a trusted source before import. The import tool checks internal consistency (recomputes and compares) but cannot verify against the public registry on an air-gapped node. Maintain a separately transferred checksums manifest for audit purposes.</w:t>
            </w:r>
          </w:p>
        </w:tc>
      </w:tr>
    </w:tbl>
    <w:p>
      <w:pPr>
        <w:spacing w:before="0" w:after="80"/>
      </w:pPr>
      <w:r>
        <w:t xml:space="preserve"/>
      </w:r>
    </w:p>
    <w:p>
      <w:r>
        <w:br w:type="page"/>
      </w:r>
    </w:p>
    <w:p>
      <w:pPr>
        <w:pStyle w:val="Heading1"/>
        <w:pBdr>
          <w:bottom w:val="single" w:color="2E75B6" w:sz="4"/>
        </w:pBdr>
        <w:shd w:fill="1A3A5C" w:val="clear"/>
        <w:spacing w:before="360" w:after="160"/>
        <w:ind w:left="200" w:right="200"/>
      </w:pPr>
      <w:r>
        <w:rPr>
          <w:rFonts w:ascii="Arial" w:cs="Arial" w:eastAsia="Arial" w:hAnsi="Arial"/>
          <w:b/>
          <w:bCs/>
          <w:color w:val="FFFFFF"/>
          <w:sz w:val="36"/>
          <w:szCs w:val="36"/>
        </w:rPr>
        <w:t xml:space="preserve">A.4  cookbook-import Tool</w:t>
      </w:r>
    </w:p>
    <w:p>
      <w:pPr>
        <w:spacing w:before="60" w:after="100"/>
      </w:pPr>
      <w:r>
        <w:rPr>
          <w:rFonts w:ascii="Arial" w:cs="Arial" w:eastAsia="Arial" w:hAnsi="Arial"/>
          <w:color w:val="1A1A1A"/>
          <w:sz w:val="22"/>
          <w:szCs w:val="22"/>
        </w:rPr>
        <w:t xml:space="preserve">cookbook-import is a lightweight CLI tool, part of the cookbook repository, that registers pre-seeded artifacts into the Postgres metadata store. It is the only component specific to air-gapped deployments; the cookbook service itself is unchanged.</w:t>
      </w:r>
    </w:p>
    <w:p>
      <w:pPr>
        <w:spacing w:before="0" w:after="80"/>
      </w:pPr>
      <w:r>
        <w:t xml:space="preserve"/>
      </w:r>
    </w:p>
    <w:p>
      <w:pPr>
        <w:pStyle w:val="Heading2"/>
        <w:pBdr>
          <w:bottom w:val="single" w:color="2E75B6" w:sz="3" w:space="4"/>
        </w:pBdr>
        <w:spacing w:before="320" w:after="120"/>
      </w:pPr>
      <w:r>
        <w:rPr>
          <w:rFonts w:ascii="Arial" w:cs="Arial" w:eastAsia="Arial" w:hAnsi="Arial"/>
          <w:b/>
          <w:bCs/>
          <w:color w:val="1A3A5C"/>
          <w:sz w:val="28"/>
          <w:szCs w:val="28"/>
        </w:rPr>
        <w:t xml:space="preserve">A.4.1  Operation</w:t>
      </w:r>
    </w:p>
    <w:p>
      <w:pPr>
        <w:spacing w:before="60" w:after="100"/>
      </w:pPr>
      <w:r>
        <w:rPr>
          <w:rFonts w:ascii="Arial" w:cs="Arial" w:eastAsia="Arial" w:hAnsi="Arial"/>
          <w:color w:val="1A1A1A"/>
          <w:sz w:val="22"/>
          <w:szCs w:val="22"/>
        </w:rPr>
        <w:t xml:space="preserve">The tool scans a MinIO bucket (or a local directory tree in the same layout), discovers artifact archives, and for each one:</w:t>
      </w:r>
    </w:p>
    <w:p>
      <w:pPr>
        <w:pStyle w:val="ListParagraph"/>
        <w:numPr>
          <w:ilvl w:val="0"/>
          <w:numId w:val="2"/>
        </w:numPr>
        <w:spacing w:before="40" w:after="40"/>
      </w:pPr>
      <w:r>
        <w:rPr>
          <w:rFonts w:ascii="Arial" w:cs="Arial" w:eastAsia="Arial" w:hAnsi="Arial"/>
          <w:color w:val="1A1A1A"/>
          <w:sz w:val="22"/>
          <w:szCs w:val="22"/>
        </w:rPr>
        <w:t xml:space="preserve">Recomputes the SHA-256 of the .tar.gz and compares it against the accompanying .sha256 file. Mismatches are hard errors — the artifact is not registered.</w:t>
      </w:r>
    </w:p>
    <w:p>
      <w:pPr>
        <w:pStyle w:val="ListParagraph"/>
        <w:numPr>
          <w:ilvl w:val="0"/>
          <w:numId w:val="2"/>
        </w:numPr>
        <w:spacing w:before="40" w:after="40"/>
      </w:pPr>
      <w:r>
        <w:rPr>
          <w:rFonts w:ascii="Arial" w:cs="Arial" w:eastAsia="Arial" w:hAnsi="Arial"/>
          <w:color w:val="1A1A1A"/>
          <w:sz w:val="22"/>
          <w:szCs w:val="22"/>
        </w:rPr>
        <w:t xml:space="preserve">Recomputes the SHA-256 of now.pasta and compares it against now.pasta.sha256.</w:t>
      </w:r>
    </w:p>
    <w:p>
      <w:pPr>
        <w:pStyle w:val="ListParagraph"/>
        <w:numPr>
          <w:ilvl w:val="0"/>
          <w:numId w:val="2"/>
        </w:numPr>
        <w:spacing w:before="40" w:after="40"/>
      </w:pPr>
      <w:r>
        <w:rPr>
          <w:rFonts w:ascii="Arial" w:cs="Arial" w:eastAsia="Arial" w:hAnsi="Arial"/>
          <w:color w:val="1A1A1A"/>
          <w:sz w:val="22"/>
          <w:szCs w:val="22"/>
        </w:rPr>
        <w:t xml:space="preserve">Parses now.pasta using libpasta to extract group, artifact, version, triple, and output.type.</w:t>
      </w:r>
    </w:p>
    <w:p>
      <w:pPr>
        <w:pStyle w:val="ListParagraph"/>
        <w:numPr>
          <w:ilvl w:val="0"/>
          <w:numId w:val="2"/>
        </w:numPr>
        <w:spacing w:before="40" w:after="40"/>
      </w:pPr>
      <w:r>
        <w:rPr>
          <w:rFonts w:ascii="Arial" w:cs="Arial" w:eastAsia="Arial" w:hAnsi="Arial"/>
          <w:color w:val="1A1A1A"/>
          <w:sz w:val="22"/>
          <w:szCs w:val="22"/>
        </w:rPr>
        <w:t xml:space="preserve">Writes the artifacts, artifact_semver, and groups rows to Postgres, with status: 'published' directly — no two-phase pending state since S3 already has the bytes.</w:t>
      </w:r>
    </w:p>
    <w:p>
      <w:pPr>
        <w:pStyle w:val="ListParagraph"/>
        <w:numPr>
          <w:ilvl w:val="0"/>
          <w:numId w:val="2"/>
        </w:numPr>
        <w:spacing w:before="40" w:after="40"/>
      </w:pPr>
      <w:r>
        <w:rPr>
          <w:rFonts w:ascii="Arial" w:cs="Arial" w:eastAsia="Arial" w:hAnsi="Arial"/>
          <w:color w:val="1A1A1A"/>
          <w:sz w:val="22"/>
          <w:szCs w:val="22"/>
        </w:rPr>
        <w:t xml:space="preserve">Is idempotent — re-running against an already-registered artifact is a no-op, not an error.</w:t>
      </w:r>
    </w:p>
    <w:p>
      <w:pPr>
        <w:spacing w:before="0" w:after="80"/>
      </w:pPr>
      <w:r>
        <w:t xml:space="preserve"/>
      </w:r>
    </w:p>
    <w:p>
      <w:pPr>
        <w:pBdr>
          <w:left w:val="single" w:color="2E75B6" w:sz="6" w:space="4"/>
        </w:pBdr>
        <w:shd w:fill="F0F4F8" w:val="clear"/>
        <w:spacing w:before="40" w:after="40"/>
        <w:ind w:left="360" w:right="360"/>
      </w:pPr>
      <w:r>
        <w:rPr>
          <w:rFonts w:ascii="Courier New" w:cs="Courier New" w:eastAsia="Courier New" w:hAnsi="Courier New"/>
          <w:color w:val="2B4B7E"/>
          <w:sz w:val="18"/>
          <w:szCs w:val="18"/>
        </w:rPr>
        <w:t xml:space="preserve">; Import all artifacts from MinIO bucket</w:t>
      </w:r>
    </w:p>
    <w:p>
      <w:pPr>
        <w:pBdr>
          <w:left w:val="single" w:color="2E75B6" w:sz="6" w:space="4"/>
        </w:pBdr>
        <w:shd w:fill="F0F4F8" w:val="clear"/>
        <w:spacing w:before="40" w:after="40"/>
        <w:ind w:left="360" w:right="360"/>
      </w:pPr>
      <w:r>
        <w:rPr>
          <w:rFonts w:ascii="Courier New" w:cs="Courier New" w:eastAsia="Courier New" w:hAnsi="Courier New"/>
          <w:color w:val="2B4B7E"/>
          <w:sz w:val="18"/>
          <w:szCs w:val="18"/>
        </w:rPr>
        <w:t xml:space="preserve">cookbook-import --endpoint http://minio.lab.internal:9000 \</w:t>
      </w:r>
    </w:p>
    <w:p>
      <w:pPr>
        <w:pBdr>
          <w:left w:val="single" w:color="2E75B6" w:sz="6" w:space="4"/>
        </w:pBdr>
        <w:shd w:fill="F0F4F8" w:val="clear"/>
        <w:spacing w:before="40" w:after="40"/>
        <w:ind w:left="360" w:right="360"/>
      </w:pPr>
      <w:r>
        <w:rPr>
          <w:rFonts w:ascii="Courier New" w:cs="Courier New" w:eastAsia="Courier New" w:hAnsi="Courier New"/>
          <w:color w:val="2B4B7E"/>
          <w:sz w:val="18"/>
          <w:szCs w:val="18"/>
        </w:rPr>
        <w:t xml:space="preserve">                --bucket cookbook-artifacts \</w:t>
      </w:r>
    </w:p>
    <w:p>
      <w:pPr>
        <w:pBdr>
          <w:left w:val="single" w:color="2E75B6" w:sz="6" w:space="4"/>
        </w:pBdr>
        <w:shd w:fill="F0F4F8" w:val="clear"/>
        <w:spacing w:before="40" w:after="40"/>
        <w:ind w:left="360" w:right="360"/>
      </w:pPr>
      <w:r>
        <w:rPr>
          <w:rFonts w:ascii="Courier New" w:cs="Courier New" w:eastAsia="Courier New" w:hAnsi="Courier New"/>
          <w:color w:val="2B4B7E"/>
          <w:sz w:val="18"/>
          <w:szCs w:val="18"/>
        </w:rPr>
        <w:t xml:space="preserve">                --db postgres://cookbook:pass@pg.lab.internal:5432/cookbook</w:t>
      </w:r>
    </w:p>
    <w:p>
      <w:pPr>
        <w:pBdr>
          <w:left w:val="single" w:color="2E75B6" w:sz="6" w:space="4"/>
        </w:pBdr>
        <w:shd w:fill="F0F4F8" w:val="clear"/>
        <w:spacing w:before="40" w:after="40"/>
        <w:ind w:left="360" w:right="360"/>
      </w:pPr>
      <w:r>
        <w:rPr>
          <w:rFonts w:ascii="Courier New" w:cs="Courier New" w:eastAsia="Courier New" w:hAnsi="Courier New"/>
          <w:color w:val="2B4B7E"/>
          <w:sz w:val="18"/>
          <w:szCs w:val="18"/>
        </w:rPr>
        <w:t xml:space="preserve"/>
      </w:r>
    </w:p>
    <w:p>
      <w:pPr>
        <w:pBdr>
          <w:left w:val="single" w:color="2E75B6" w:sz="6" w:space="4"/>
        </w:pBdr>
        <w:shd w:fill="F0F4F8" w:val="clear"/>
        <w:spacing w:before="40" w:after="40"/>
        <w:ind w:left="360" w:right="360"/>
      </w:pPr>
      <w:r>
        <w:rPr>
          <w:rFonts w:ascii="Courier New" w:cs="Courier New" w:eastAsia="Courier New" w:hAnsi="Courier New"/>
          <w:color w:val="2B4B7E"/>
          <w:sz w:val="18"/>
          <w:szCs w:val="18"/>
        </w:rPr>
        <w:t xml:space="preserve">; Import from a local directory (before copying to MinIO)</w:t>
      </w:r>
    </w:p>
    <w:p>
      <w:pPr>
        <w:pBdr>
          <w:left w:val="single" w:color="2E75B6" w:sz="6" w:space="4"/>
        </w:pBdr>
        <w:shd w:fill="F0F4F8" w:val="clear"/>
        <w:spacing w:before="40" w:after="40"/>
        <w:ind w:left="360" w:right="360"/>
      </w:pPr>
      <w:r>
        <w:rPr>
          <w:rFonts w:ascii="Courier New" w:cs="Courier New" w:eastAsia="Courier New" w:hAnsi="Courier New"/>
          <w:color w:val="2B4B7E"/>
          <w:sz w:val="18"/>
          <w:szCs w:val="18"/>
        </w:rPr>
        <w:t xml:space="preserve">cookbook-import --dir ./lab-mirror \</w:t>
      </w:r>
    </w:p>
    <w:p>
      <w:pPr>
        <w:pBdr>
          <w:left w:val="single" w:color="2E75B6" w:sz="6" w:space="4"/>
        </w:pBdr>
        <w:shd w:fill="F0F4F8" w:val="clear"/>
        <w:spacing w:before="40" w:after="40"/>
        <w:ind w:left="360" w:right="360"/>
      </w:pPr>
      <w:r>
        <w:rPr>
          <w:rFonts w:ascii="Courier New" w:cs="Courier New" w:eastAsia="Courier New" w:hAnsi="Courier New"/>
          <w:color w:val="2B4B7E"/>
          <w:sz w:val="18"/>
          <w:szCs w:val="18"/>
        </w:rPr>
        <w:t xml:space="preserve">                --db postgres://cookbook:pass@pg.lab.internal:5432/cookbook</w:t>
      </w:r>
    </w:p>
    <w:p>
      <w:pPr>
        <w:pBdr>
          <w:left w:val="single" w:color="2E75B6" w:sz="6" w:space="4"/>
        </w:pBdr>
        <w:shd w:fill="F0F4F8" w:val="clear"/>
        <w:spacing w:before="40" w:after="40"/>
        <w:ind w:left="360" w:right="360"/>
      </w:pPr>
      <w:r>
        <w:rPr>
          <w:rFonts w:ascii="Courier New" w:cs="Courier New" w:eastAsia="Courier New" w:hAnsi="Courier New"/>
          <w:color w:val="2B4B7E"/>
          <w:sz w:val="18"/>
          <w:szCs w:val="18"/>
        </w:rPr>
        <w:t xml:space="preserve"/>
      </w:r>
    </w:p>
    <w:p>
      <w:pPr>
        <w:pBdr>
          <w:left w:val="single" w:color="2E75B6" w:sz="6" w:space="4"/>
        </w:pBdr>
        <w:shd w:fill="F0F4F8" w:val="clear"/>
        <w:spacing w:before="40" w:after="40"/>
        <w:ind w:left="360" w:right="360"/>
      </w:pPr>
      <w:r>
        <w:rPr>
          <w:rFonts w:ascii="Courier New" w:cs="Courier New" w:eastAsia="Courier New" w:hAnsi="Courier New"/>
          <w:color w:val="2B4B7E"/>
          <w:sz w:val="18"/>
          <w:szCs w:val="18"/>
        </w:rPr>
        <w:t xml:space="preserve">; Dry run — report what would be registered without writing</w:t>
      </w:r>
    </w:p>
    <w:p>
      <w:pPr>
        <w:pBdr>
          <w:left w:val="single" w:color="2E75B6" w:sz="6" w:space="4"/>
        </w:pBdr>
        <w:shd w:fill="F0F4F8" w:val="clear"/>
        <w:spacing w:before="40" w:after="40"/>
        <w:ind w:left="360" w:right="360"/>
      </w:pPr>
      <w:r>
        <w:rPr>
          <w:rFonts w:ascii="Courier New" w:cs="Courier New" w:eastAsia="Courier New" w:hAnsi="Courier New"/>
          <w:color w:val="2B4B7E"/>
          <w:sz w:val="18"/>
          <w:szCs w:val="18"/>
        </w:rPr>
        <w:t xml:space="preserve">cookbook-import --endpoint http://minio.lab.internal:9000 \</w:t>
      </w:r>
    </w:p>
    <w:p>
      <w:pPr>
        <w:pBdr>
          <w:left w:val="single" w:color="2E75B6" w:sz="6" w:space="4"/>
        </w:pBdr>
        <w:shd w:fill="F0F4F8" w:val="clear"/>
        <w:spacing w:before="40" w:after="40"/>
        <w:ind w:left="360" w:right="360"/>
      </w:pPr>
      <w:r>
        <w:rPr>
          <w:rFonts w:ascii="Courier New" w:cs="Courier New" w:eastAsia="Courier New" w:hAnsi="Courier New"/>
          <w:color w:val="2B4B7E"/>
          <w:sz w:val="18"/>
          <w:szCs w:val="18"/>
        </w:rPr>
        <w:t xml:space="preserve">                --bucket cookbook-artifacts \</w:t>
      </w:r>
    </w:p>
    <w:p>
      <w:pPr>
        <w:pBdr>
          <w:left w:val="single" w:color="2E75B6" w:sz="6" w:space="4"/>
        </w:pBdr>
        <w:shd w:fill="F0F4F8" w:val="clear"/>
        <w:spacing w:before="40" w:after="40"/>
        <w:ind w:left="360" w:right="360"/>
      </w:pPr>
      <w:r>
        <w:rPr>
          <w:rFonts w:ascii="Courier New" w:cs="Courier New" w:eastAsia="Courier New" w:hAnsi="Courier New"/>
          <w:color w:val="2B4B7E"/>
          <w:sz w:val="18"/>
          <w:szCs w:val="18"/>
        </w:rPr>
        <w:t xml:space="preserve">                --db postgres://... --dry-run</w:t>
      </w:r>
    </w:p>
    <w:p>
      <w:pPr>
        <w:spacing w:before="0" w:after="80"/>
      </w:pPr>
      <w:r>
        <w:t xml:space="preserve"/>
      </w:r>
    </w:p>
    <w:p>
      <w:pPr>
        <w:pStyle w:val="Heading2"/>
        <w:pBdr>
          <w:bottom w:val="single" w:color="2E75B6" w:sz="3" w:space="4"/>
        </w:pBdr>
        <w:spacing w:before="320" w:after="120"/>
      </w:pPr>
      <w:r>
        <w:rPr>
          <w:rFonts w:ascii="Arial" w:cs="Arial" w:eastAsia="Arial" w:hAnsi="Arial"/>
          <w:b/>
          <w:bCs/>
          <w:color w:val="1A3A5C"/>
          <w:sz w:val="28"/>
          <w:szCs w:val="28"/>
        </w:rPr>
        <w:t xml:space="preserve">A.4.2  Build and distribution</w:t>
      </w:r>
    </w:p>
    <w:p>
      <w:pPr>
        <w:spacing w:before="60" w:after="100"/>
      </w:pPr>
      <w:r>
        <w:rPr>
          <w:rFonts w:ascii="Arial" w:cs="Arial" w:eastAsia="Arial" w:hAnsi="Arial"/>
          <w:color w:val="1A1A1A"/>
          <w:sz w:val="22"/>
          <w:szCs w:val="22"/>
        </w:rPr>
        <w:t xml:space="preserve">cookbook-import is a C binary built from the cookbook CMake tree alongside the main service. It links against libpasta and libpq (Postgres client). No additional dependencies. It is distributed as part of the cookbook release archive and is present on the lab node alongside the cookbook service binary.</w:t>
      </w:r>
    </w:p>
    <w:p>
      <w:pPr>
        <w:spacing w:before="0" w:after="80"/>
      </w:pPr>
      <w:r>
        <w:t xml:space="preserve"/>
      </w:r>
    </w:p>
    <w:p>
      <w:r>
        <w:br w:type="page"/>
      </w:r>
    </w:p>
    <w:p>
      <w:pPr>
        <w:pStyle w:val="Heading1"/>
        <w:pBdr>
          <w:bottom w:val="single" w:color="2E75B6" w:sz="4"/>
        </w:pBdr>
        <w:shd w:fill="1A3A5C" w:val="clear"/>
        <w:spacing w:before="360" w:after="160"/>
        <w:ind w:left="200" w:right="200"/>
      </w:pPr>
      <w:r>
        <w:rPr>
          <w:rFonts w:ascii="Arial" w:cs="Arial" w:eastAsia="Arial" w:hAnsi="Arial"/>
          <w:b/>
          <w:bCs/>
          <w:color w:val="FFFFFF"/>
          <w:sz w:val="36"/>
          <w:szCs w:val="36"/>
        </w:rPr>
        <w:t xml:space="preserve">A.5  Multi-Node Lab Topology</w:t>
      </w:r>
    </w:p>
    <w:p>
      <w:pPr>
        <w:spacing w:before="60" w:after="100"/>
      </w:pPr>
      <w:r>
        <w:rPr>
          <w:rFonts w:ascii="Arial" w:cs="Arial" w:eastAsia="Arial" w:hAnsi="Arial"/>
          <w:color w:val="1A1A1A"/>
          <w:sz w:val="22"/>
          <w:szCs w:val="22"/>
        </w:rPr>
        <w:t xml:space="preserve">A lab with multiple isolated nodes — each running builds — can share a single cookbook instance or run independent instances. The right choice depends on whether the nodes can reach each other over the internal network.</w:t>
      </w:r>
    </w:p>
    <w:p>
      <w:pPr>
        <w:spacing w:before="0" w:after="80"/>
      </w:pPr>
      <w:r>
        <w:t xml:space="preserve"/>
      </w:r>
    </w:p>
    <w:p>
      <w:pPr>
        <w:pStyle w:val="Heading2"/>
        <w:pBdr>
          <w:bottom w:val="single" w:color="2E75B6" w:sz="3" w:space="4"/>
        </w:pBdr>
        <w:spacing w:before="320" w:after="120"/>
      </w:pPr>
      <w:r>
        <w:rPr>
          <w:rFonts w:ascii="Arial" w:cs="Arial" w:eastAsia="Arial" w:hAnsi="Arial"/>
          <w:b/>
          <w:bCs/>
          <w:color w:val="1A3A5C"/>
          <w:sz w:val="28"/>
          <w:szCs w:val="28"/>
        </w:rPr>
        <w:t xml:space="preserve">A.5.1  Shared registry (nodes on the same internal network)</w:t>
      </w:r>
    </w:p>
    <w:p>
      <w:pPr>
        <w:spacing w:before="60" w:after="100"/>
      </w:pPr>
      <w:r>
        <w:rPr>
          <w:rFonts w:ascii="Arial" w:cs="Arial" w:eastAsia="Arial" w:hAnsi="Arial"/>
          <w:color w:val="1A1A1A"/>
          <w:sz w:val="22"/>
          <w:szCs w:val="22"/>
        </w:rPr>
        <w:t xml:space="preserve">One cookbook instance, one MinIO, one Postgres. All lab nodes point their now.pasta repos[] at the shared instance. This is the simplest topology and is preferred when the internal network is reliable.</w:t>
      </w:r>
    </w:p>
    <w:p>
      <w:pPr>
        <w:spacing w:before="0" w:after="80"/>
      </w:pPr>
      <w:r>
        <w:t xml:space="preserve"/>
      </w:r>
    </w:p>
    <w:p>
      <w:pPr>
        <w:pBdr>
          <w:left w:val="single" w:color="2E75B6" w:sz="6" w:space="4"/>
        </w:pBdr>
        <w:shd w:fill="F0F4F8" w:val="clear"/>
        <w:spacing w:before="40" w:after="40"/>
        <w:ind w:left="360" w:right="360"/>
      </w:pPr>
      <w:r>
        <w:rPr>
          <w:rFonts w:ascii="Courier New" w:cs="Courier New" w:eastAsia="Courier New" w:hAnsi="Courier New"/>
          <w:color w:val="2B4B7E"/>
          <w:sz w:val="18"/>
          <w:szCs w:val="18"/>
        </w:rPr>
        <w:t xml:space="preserve">; now.pasta on each lab node</w:t>
      </w:r>
    </w:p>
    <w:p>
      <w:pPr>
        <w:pBdr>
          <w:left w:val="single" w:color="2E75B6" w:sz="6" w:space="4"/>
        </w:pBdr>
        <w:shd w:fill="F0F4F8" w:val="clear"/>
        <w:spacing w:before="40" w:after="40"/>
        <w:ind w:left="360" w:right="360"/>
      </w:pPr>
      <w:r>
        <w:rPr>
          <w:rFonts w:ascii="Courier New" w:cs="Courier New" w:eastAsia="Courier New" w:hAnsi="Courier New"/>
          <w:color w:val="2B4B7E"/>
          <w:sz w:val="18"/>
          <w:szCs w:val="18"/>
        </w:rPr>
        <w:t xml:space="preserve">repos: [</w:t>
      </w:r>
    </w:p>
    <w:p>
      <w:pPr>
        <w:pBdr>
          <w:left w:val="single" w:color="2E75B6" w:sz="6" w:space="4"/>
        </w:pBdr>
        <w:shd w:fill="F0F4F8" w:val="clear"/>
        <w:spacing w:before="40" w:after="40"/>
        <w:ind w:left="360" w:right="360"/>
      </w:pPr>
      <w:r>
        <w:rPr>
          <w:rFonts w:ascii="Courier New" w:cs="Courier New" w:eastAsia="Courier New" w:hAnsi="Courier New"/>
          <w:color w:val="2B4B7E"/>
          <w:sz w:val="18"/>
          <w:szCs w:val="18"/>
        </w:rPr>
        <w:t xml:space="preserve">  "http://cookbook.lab.internal:8080"   ; shared lab registry</w:t>
      </w:r>
    </w:p>
    <w:p>
      <w:pPr>
        <w:pBdr>
          <w:left w:val="single" w:color="2E75B6" w:sz="6" w:space="4"/>
        </w:pBdr>
        <w:shd w:fill="F0F4F8" w:val="clear"/>
        <w:spacing w:before="40" w:after="40"/>
        <w:ind w:left="360" w:right="360"/>
      </w:pPr>
      <w:r>
        <w:rPr>
          <w:rFonts w:ascii="Courier New" w:cs="Courier New" w:eastAsia="Courier New" w:hAnsi="Courier New"/>
          <w:color w:val="2B4B7E"/>
          <w:sz w:val="18"/>
          <w:szCs w:val="18"/>
        </w:rPr>
        <w:t xml:space="preserve">]</w:t>
      </w:r>
    </w:p>
    <w:p>
      <w:pPr>
        <w:spacing w:before="0" w:after="80"/>
      </w:pPr>
      <w:r>
        <w:t xml:space="preserve"/>
      </w:r>
    </w:p>
    <w:p>
      <w:pPr>
        <w:pStyle w:val="Heading2"/>
        <w:pBdr>
          <w:bottom w:val="single" w:color="2E75B6" w:sz="3" w:space="4"/>
        </w:pBdr>
        <w:spacing w:before="320" w:after="120"/>
      </w:pPr>
      <w:r>
        <w:rPr>
          <w:rFonts w:ascii="Arial" w:cs="Arial" w:eastAsia="Arial" w:hAnsi="Arial"/>
          <w:b/>
          <w:bCs/>
          <w:color w:val="1A3A5C"/>
          <w:sz w:val="28"/>
          <w:szCs w:val="28"/>
        </w:rPr>
        <w:t xml:space="preserve">A.5.2  Independent registries (fully isolated nodes)</w:t>
      </w:r>
    </w:p>
    <w:p>
      <w:pPr>
        <w:spacing w:before="60" w:after="100"/>
      </w:pPr>
      <w:r>
        <w:rPr>
          <w:rFonts w:ascii="Arial" w:cs="Arial" w:eastAsia="Arial" w:hAnsi="Arial"/>
          <w:color w:val="1A1A1A"/>
          <w:sz w:val="22"/>
          <w:szCs w:val="22"/>
        </w:rPr>
        <w:t xml:space="preserve">Each node runs its own cookbook + MinIO + Postgres stack. Artifact seeding (A.3) is performed independently per node. This topology is required when nodes cannot communicate — for example, different security domains or physically separate labs.</w:t>
      </w:r>
    </w:p>
    <w:p>
      <w:pPr>
        <w:spacing w:before="0" w:after="80"/>
      </w:pPr>
      <w:r>
        <w:t xml:space="preserve"/>
      </w:r>
    </w:p>
    <w:p>
      <w:pPr>
        <w:spacing w:before="60" w:after="100"/>
      </w:pPr>
      <w:r>
        <w:rPr>
          <w:rFonts w:ascii="Arial" w:cs="Arial" w:eastAsia="Arial" w:hAnsi="Arial"/>
          <w:color w:val="1A1A1A"/>
          <w:sz w:val="22"/>
          <w:szCs w:val="22"/>
        </w:rPr>
        <w:t xml:space="preserve">In this topology, each node is a complete, self-contained registry. The now client on each node is configured to use only its local registry. No cross-node coordination is required or possible.</w:t>
      </w:r>
    </w:p>
    <w:p>
      <w:pPr>
        <w:spacing w:before="0" w:after="80"/>
      </w:pPr>
      <w:r>
        <w:t xml:space="preserve"/>
      </w:r>
    </w:p>
    <w:p>
      <w:pPr>
        <w:pStyle w:val="Heading2"/>
        <w:pBdr>
          <w:bottom w:val="single" w:color="2E75B6" w:sz="3" w:space="4"/>
        </w:pBdr>
        <w:spacing w:before="320" w:after="120"/>
      </w:pPr>
      <w:r>
        <w:rPr>
          <w:rFonts w:ascii="Arial" w:cs="Arial" w:eastAsia="Arial" w:hAnsi="Arial"/>
          <w:b/>
          <w:bCs/>
          <w:color w:val="1A3A5C"/>
          <w:sz w:val="28"/>
          <w:szCs w:val="28"/>
        </w:rPr>
        <w:t xml:space="preserve">A.5.3  Relationship to §10.4 distributed topology</w:t>
      </w:r>
    </w:p>
    <w:p>
      <w:pPr>
        <w:spacing w:before="60" w:after="100"/>
      </w:pPr>
      <w:r>
        <w:rPr>
          <w:rFonts w:ascii="Arial" w:cs="Arial" w:eastAsia="Arial" w:hAnsi="Arial"/>
          <w:color w:val="1A1A1A"/>
          <w:sz w:val="22"/>
          <w:szCs w:val="22"/>
        </w:rPr>
        <w:t xml:space="preserve">The grid peer model described in §10.4 of the main document applies to cloud or internally-networked lab deployments where nodes can communicate. The pull-through cache mesh requires HTTP reachability between nodes. For fully isolated air-gapped nodes (A.5.2), the §10.4 topology does not apply — each node is an origin unto itself with no peers. This is not a limitation; it is the correct model for fully isolated environments.</w:t>
      </w:r>
    </w:p>
    <w:p>
      <w:pPr>
        <w:spacing w:before="0" w:after="80"/>
      </w:pPr>
      <w:r>
        <w:t xml:space="preserve"/>
      </w:r>
    </w:p>
    <w:p>
      <w:r>
        <w:br w:type="page"/>
      </w:r>
    </w:p>
    <w:p>
      <w:pPr>
        <w:pStyle w:val="Heading1"/>
        <w:pBdr>
          <w:bottom w:val="single" w:color="2E75B6" w:sz="4"/>
        </w:pBdr>
        <w:shd w:fill="1A3A5C" w:val="clear"/>
        <w:spacing w:before="360" w:after="160"/>
        <w:ind w:left="200" w:right="200"/>
      </w:pPr>
      <w:r>
        <w:rPr>
          <w:rFonts w:ascii="Arial" w:cs="Arial" w:eastAsia="Arial" w:hAnsi="Arial"/>
          <w:b/>
          <w:bCs/>
          <w:color w:val="FFFFFF"/>
          <w:sz w:val="36"/>
          <w:szCs w:val="36"/>
        </w:rPr>
        <w:t xml:space="preserve">A.6  Air-Gapped Configuration Reference</w:t>
      </w:r>
    </w:p>
    <w:p>
      <w:pPr>
        <w:spacing w:before="60" w:after="100"/>
      </w:pPr>
      <w:r>
        <w:rPr>
          <w:rFonts w:ascii="Arial" w:cs="Arial" w:eastAsia="Arial" w:hAnsi="Arial"/>
          <w:color w:val="1A1A1A"/>
          <w:sz w:val="22"/>
          <w:szCs w:val="22"/>
        </w:rPr>
        <w:t xml:space="preserve">Summary of all environment variables relevant to air-gapped lab deployment. Variables already defined in §10.1 of the main document are repeated here for convenience.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rPr>
          <w:tblHeader/>
        </w:trPr>
        <w:tc>
          <w:tcPr>
            <w:tcW w:type="dxa" w:w="2800"/>
            <w:tcBorders>
              <w:top w:val="single" w:color="BECFE0" w:sz="1"/>
              <w:left w:val="single" w:color="BECFE0" w:sz="1"/>
              <w:bottom w:val="single" w:color="BECFE0" w:sz="1"/>
              <w:right w:val="single" w:color="BECFE0"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Variable</w:t>
            </w:r>
          </w:p>
        </w:tc>
        <w:tc>
          <w:tcPr>
            <w:tcW w:type="dxa" w:w="3000"/>
            <w:tcBorders>
              <w:top w:val="single" w:color="BECFE0" w:sz="1"/>
              <w:left w:val="single" w:color="BECFE0" w:sz="1"/>
              <w:bottom w:val="single" w:color="BECFE0" w:sz="1"/>
              <w:right w:val="single" w:color="BECFE0"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Lab value</w:t>
            </w:r>
          </w:p>
        </w:tc>
        <w:tc>
          <w:tcPr>
            <w:tcW w:type="dxa" w:w="3560"/>
            <w:tcBorders>
              <w:top w:val="single" w:color="BECFE0" w:sz="1"/>
              <w:left w:val="single" w:color="BECFE0" w:sz="1"/>
              <w:bottom w:val="single" w:color="BECFE0" w:sz="1"/>
              <w:right w:val="single" w:color="BECFE0"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800"/>
            <w:tcBorders>
              <w:top w:val="single" w:color="BECFE0" w:sz="1"/>
              <w:left w:val="single" w:color="BECFE0" w:sz="1"/>
              <w:bottom w:val="single" w:color="BECFE0" w:sz="1"/>
              <w:right w:val="single" w:color="BECFE0" w:sz="1"/>
            </w:tcBorders>
            <w:shd w:fill="FFFFFF" w:val="clear"/>
            <w:tcMar>
              <w:top w:type="dxa" w:w="80"/>
              <w:left w:type="dxa" w:w="120"/>
              <w:bottom w:type="dxa" w:w="80"/>
              <w:right w:type="dxa" w:w="120"/>
            </w:tcMar>
          </w:tcPr>
          <w:p>
            <w:r>
              <w:rPr>
                <w:rFonts w:ascii="Courier New" w:cs="Courier New" w:eastAsia="Courier New" w:hAnsi="Courier New"/>
                <w:color w:val="2B4B7E"/>
                <w:sz w:val="18"/>
                <w:szCs w:val="18"/>
              </w:rPr>
              <w:t xml:space="preserve">COOKBOOK_S3_ENDPOINT</w:t>
            </w:r>
          </w:p>
        </w:tc>
        <w:tc>
          <w:tcPr>
            <w:tcW w:type="dxa" w:w="3000"/>
            <w:tcBorders>
              <w:top w:val="single" w:color="BECFE0" w:sz="1"/>
              <w:left w:val="single" w:color="BECFE0" w:sz="1"/>
              <w:bottom w:val="single" w:color="BECFE0" w:sz="1"/>
              <w:right w:val="single" w:color="BECF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http://minio.lab.internal:9000</w:t>
            </w:r>
          </w:p>
        </w:tc>
        <w:tc>
          <w:tcPr>
            <w:tcW w:type="dxa" w:w="3560"/>
            <w:tcBorders>
              <w:top w:val="single" w:color="BECFE0" w:sz="1"/>
              <w:left w:val="single" w:color="BECFE0" w:sz="1"/>
              <w:bottom w:val="single" w:color="BECFE0" w:sz="1"/>
              <w:right w:val="single" w:color="BECF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Points to local MinIO. http:// acceptable on isolated nets.</w:t>
            </w:r>
          </w:p>
        </w:tc>
      </w:tr>
      <w:tr>
        <w:tc>
          <w:tcPr>
            <w:tcW w:type="dxa" w:w="2800"/>
            <w:tcBorders>
              <w:top w:val="single" w:color="BECFE0" w:sz="1"/>
              <w:left w:val="single" w:color="BECFE0" w:sz="1"/>
              <w:bottom w:val="single" w:color="BECFE0" w:sz="1"/>
              <w:right w:val="single" w:color="BECFE0" w:sz="1"/>
            </w:tcBorders>
            <w:shd w:fill="F2F7FC" w:val="clear"/>
            <w:tcMar>
              <w:top w:type="dxa" w:w="80"/>
              <w:left w:type="dxa" w:w="120"/>
              <w:bottom w:type="dxa" w:w="80"/>
              <w:right w:type="dxa" w:w="120"/>
            </w:tcMar>
          </w:tcPr>
          <w:p>
            <w:r>
              <w:rPr>
                <w:rFonts w:ascii="Courier New" w:cs="Courier New" w:eastAsia="Courier New" w:hAnsi="Courier New"/>
                <w:color w:val="2B4B7E"/>
                <w:sz w:val="18"/>
                <w:szCs w:val="18"/>
              </w:rPr>
              <w:t xml:space="preserve">COOKBOOK_S3_BUCKET</w:t>
            </w:r>
          </w:p>
        </w:tc>
        <w:tc>
          <w:tcPr>
            <w:tcW w:type="dxa" w:w="3000"/>
            <w:tcBorders>
              <w:top w:val="single" w:color="BECFE0" w:sz="1"/>
              <w:left w:val="single" w:color="BECFE0" w:sz="1"/>
              <w:bottom w:val="single" w:color="BECFE0" w:sz="1"/>
              <w:right w:val="single" w:color="BECFE0" w:sz="1"/>
            </w:tcBorders>
            <w:shd w:fill="F2F7FC" w:val="clear"/>
            <w:tcMar>
              <w:top w:type="dxa" w:w="80"/>
              <w:left w:type="dxa" w:w="120"/>
              <w:bottom w:type="dxa" w:w="80"/>
              <w:right w:type="dxa" w:w="120"/>
            </w:tcMar>
          </w:tcPr>
          <w:p>
            <w:r>
              <w:rPr>
                <w:rFonts w:ascii="Arial" w:cs="Arial" w:eastAsia="Arial" w:hAnsi="Arial"/>
                <w:color w:val="1A1A1A"/>
                <w:sz w:val="18"/>
                <w:szCs w:val="18"/>
              </w:rPr>
              <w:t xml:space="preserve">cookbook-artifacts</w:t>
            </w:r>
          </w:p>
        </w:tc>
        <w:tc>
          <w:tcPr>
            <w:tcW w:type="dxa" w:w="3560"/>
            <w:tcBorders>
              <w:top w:val="single" w:color="BECFE0" w:sz="1"/>
              <w:left w:val="single" w:color="BECFE0" w:sz="1"/>
              <w:bottom w:val="single" w:color="BECFE0" w:sz="1"/>
              <w:right w:val="single" w:color="BECFE0" w:sz="1"/>
            </w:tcBorders>
            <w:shd w:fill="F2F7FC" w:val="clear"/>
            <w:tcMar>
              <w:top w:type="dxa" w:w="80"/>
              <w:left w:type="dxa" w:w="120"/>
              <w:bottom w:type="dxa" w:w="80"/>
              <w:right w:type="dxa" w:w="120"/>
            </w:tcMar>
          </w:tcPr>
          <w:p>
            <w:r>
              <w:rPr>
                <w:rFonts w:ascii="Arial" w:cs="Arial" w:eastAsia="Arial" w:hAnsi="Arial"/>
                <w:color w:val="1A1A1A"/>
                <w:sz w:val="18"/>
                <w:szCs w:val="18"/>
              </w:rPr>
              <w:t xml:space="preserve">MinIO bucket name. Create before first run.</w:t>
            </w:r>
          </w:p>
        </w:tc>
      </w:tr>
      <w:tr>
        <w:tc>
          <w:tcPr>
            <w:tcW w:type="dxa" w:w="2800"/>
            <w:tcBorders>
              <w:top w:val="single" w:color="BECFE0" w:sz="1"/>
              <w:left w:val="single" w:color="BECFE0" w:sz="1"/>
              <w:bottom w:val="single" w:color="BECFE0" w:sz="1"/>
              <w:right w:val="single" w:color="BECFE0" w:sz="1"/>
            </w:tcBorders>
            <w:shd w:fill="FFFFFF" w:val="clear"/>
            <w:tcMar>
              <w:top w:type="dxa" w:w="80"/>
              <w:left w:type="dxa" w:w="120"/>
              <w:bottom w:type="dxa" w:w="80"/>
              <w:right w:type="dxa" w:w="120"/>
            </w:tcMar>
          </w:tcPr>
          <w:p>
            <w:r>
              <w:rPr>
                <w:rFonts w:ascii="Courier New" w:cs="Courier New" w:eastAsia="Courier New" w:hAnsi="Courier New"/>
                <w:color w:val="2B4B7E"/>
                <w:sz w:val="18"/>
                <w:szCs w:val="18"/>
              </w:rPr>
              <w:t xml:space="preserve">COOKBOOK_DB_URL</w:t>
            </w:r>
          </w:p>
        </w:tc>
        <w:tc>
          <w:tcPr>
            <w:tcW w:type="dxa" w:w="3000"/>
            <w:tcBorders>
              <w:top w:val="single" w:color="BECFE0" w:sz="1"/>
              <w:left w:val="single" w:color="BECFE0" w:sz="1"/>
              <w:bottom w:val="single" w:color="BECFE0" w:sz="1"/>
              <w:right w:val="single" w:color="BECF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postgres://...@pg.lab.internal:5432/cookbook</w:t>
            </w:r>
          </w:p>
        </w:tc>
        <w:tc>
          <w:tcPr>
            <w:tcW w:type="dxa" w:w="3560"/>
            <w:tcBorders>
              <w:top w:val="single" w:color="BECFE0" w:sz="1"/>
              <w:left w:val="single" w:color="BECFE0" w:sz="1"/>
              <w:bottom w:val="single" w:color="BECFE0" w:sz="1"/>
              <w:right w:val="single" w:color="BECF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Local Postgres instance.</w:t>
            </w:r>
          </w:p>
        </w:tc>
      </w:tr>
      <w:tr>
        <w:tc>
          <w:tcPr>
            <w:tcW w:type="dxa" w:w="2800"/>
            <w:tcBorders>
              <w:top w:val="single" w:color="BECFE0" w:sz="1"/>
              <w:left w:val="single" w:color="BECFE0" w:sz="1"/>
              <w:bottom w:val="single" w:color="BECFE0" w:sz="1"/>
              <w:right w:val="single" w:color="BECFE0" w:sz="1"/>
            </w:tcBorders>
            <w:shd w:fill="F2F7FC" w:val="clear"/>
            <w:tcMar>
              <w:top w:type="dxa" w:w="80"/>
              <w:left w:type="dxa" w:w="120"/>
              <w:bottom w:type="dxa" w:w="80"/>
              <w:right w:type="dxa" w:w="120"/>
            </w:tcMar>
          </w:tcPr>
          <w:p>
            <w:r>
              <w:rPr>
                <w:rFonts w:ascii="Courier New" w:cs="Courier New" w:eastAsia="Courier New" w:hAnsi="Courier New"/>
                <w:color w:val="2B4B7E"/>
                <w:sz w:val="18"/>
                <w:szCs w:val="18"/>
              </w:rPr>
              <w:t xml:space="preserve">COOKBOOK_PORT</w:t>
            </w:r>
          </w:p>
        </w:tc>
        <w:tc>
          <w:tcPr>
            <w:tcW w:type="dxa" w:w="3000"/>
            <w:tcBorders>
              <w:top w:val="single" w:color="BECFE0" w:sz="1"/>
              <w:left w:val="single" w:color="BECFE0" w:sz="1"/>
              <w:bottom w:val="single" w:color="BECFE0" w:sz="1"/>
              <w:right w:val="single" w:color="BECFE0" w:sz="1"/>
            </w:tcBorders>
            <w:shd w:fill="F2F7FC" w:val="clear"/>
            <w:tcMar>
              <w:top w:type="dxa" w:w="80"/>
              <w:left w:type="dxa" w:w="120"/>
              <w:bottom w:type="dxa" w:w="80"/>
              <w:right w:type="dxa" w:w="120"/>
            </w:tcMar>
          </w:tcPr>
          <w:p>
            <w:r>
              <w:rPr>
                <w:rFonts w:ascii="Arial" w:cs="Arial" w:eastAsia="Arial" w:hAnsi="Arial"/>
                <w:color w:val="1A1A1A"/>
                <w:sz w:val="18"/>
                <w:szCs w:val="18"/>
              </w:rPr>
              <w:t xml:space="preserve">8080</w:t>
            </w:r>
          </w:p>
        </w:tc>
        <w:tc>
          <w:tcPr>
            <w:tcW w:type="dxa" w:w="3560"/>
            <w:tcBorders>
              <w:top w:val="single" w:color="BECFE0" w:sz="1"/>
              <w:left w:val="single" w:color="BECFE0" w:sz="1"/>
              <w:bottom w:val="single" w:color="BECFE0" w:sz="1"/>
              <w:right w:val="single" w:color="BECFE0" w:sz="1"/>
            </w:tcBorders>
            <w:shd w:fill="F2F7FC" w:val="clear"/>
            <w:tcMar>
              <w:top w:type="dxa" w:w="80"/>
              <w:left w:type="dxa" w:w="120"/>
              <w:bottom w:type="dxa" w:w="80"/>
              <w:right w:type="dxa" w:w="120"/>
            </w:tcMar>
          </w:tcPr>
          <w:p>
            <w:r>
              <w:rPr>
                <w:rFonts w:ascii="Arial" w:cs="Arial" w:eastAsia="Arial" w:hAnsi="Arial"/>
                <w:color w:val="1A1A1A"/>
                <w:sz w:val="18"/>
                <w:szCs w:val="18"/>
              </w:rPr>
              <w:t xml:space="preserve">No change from cloud default.</w:t>
            </w:r>
          </w:p>
        </w:tc>
      </w:tr>
      <w:tr>
        <w:tc>
          <w:tcPr>
            <w:tcW w:type="dxa" w:w="2800"/>
            <w:tcBorders>
              <w:top w:val="single" w:color="BECFE0" w:sz="1"/>
              <w:left w:val="single" w:color="BECFE0" w:sz="1"/>
              <w:bottom w:val="single" w:color="BECFE0" w:sz="1"/>
              <w:right w:val="single" w:color="BECFE0" w:sz="1"/>
            </w:tcBorders>
            <w:shd w:fill="FFFFFF" w:val="clear"/>
            <w:tcMar>
              <w:top w:type="dxa" w:w="80"/>
              <w:left w:type="dxa" w:w="120"/>
              <w:bottom w:type="dxa" w:w="80"/>
              <w:right w:type="dxa" w:w="120"/>
            </w:tcMar>
          </w:tcPr>
          <w:p>
            <w:r>
              <w:rPr>
                <w:rFonts w:ascii="Courier New" w:cs="Courier New" w:eastAsia="Courier New" w:hAnsi="Courier New"/>
                <w:color w:val="2B4B7E"/>
                <w:sz w:val="18"/>
                <w:szCs w:val="18"/>
              </w:rPr>
              <w:t xml:space="preserve">COOKBOOK_JWT_SECRET</w:t>
            </w:r>
          </w:p>
        </w:tc>
        <w:tc>
          <w:tcPr>
            <w:tcW w:type="dxa" w:w="3000"/>
            <w:tcBorders>
              <w:top w:val="single" w:color="BECFE0" w:sz="1"/>
              <w:left w:val="single" w:color="BECFE0" w:sz="1"/>
              <w:bottom w:val="single" w:color="BECFE0" w:sz="1"/>
              <w:right w:val="single" w:color="BECF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&lt;generated&gt;</w:t>
            </w:r>
          </w:p>
        </w:tc>
        <w:tc>
          <w:tcPr>
            <w:tcW w:type="dxa" w:w="3560"/>
            <w:tcBorders>
              <w:top w:val="single" w:color="BECFE0" w:sz="1"/>
              <w:left w:val="single" w:color="BECFE0" w:sz="1"/>
              <w:bottom w:val="single" w:color="BECFE0" w:sz="1"/>
              <w:right w:val="single" w:color="BECF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Generate once per lab deployment; store securely.</w:t>
            </w:r>
          </w:p>
        </w:tc>
      </w:tr>
      <w:tr>
        <w:tc>
          <w:tcPr>
            <w:tcW w:type="dxa" w:w="2800"/>
            <w:tcBorders>
              <w:top w:val="single" w:color="BECFE0" w:sz="1"/>
              <w:left w:val="single" w:color="BECFE0" w:sz="1"/>
              <w:bottom w:val="single" w:color="BECFE0" w:sz="1"/>
              <w:right w:val="single" w:color="BECFE0" w:sz="1"/>
            </w:tcBorders>
            <w:shd w:fill="F2F7FC" w:val="clear"/>
            <w:tcMar>
              <w:top w:type="dxa" w:w="80"/>
              <w:left w:type="dxa" w:w="120"/>
              <w:bottom w:type="dxa" w:w="80"/>
              <w:right w:type="dxa" w:w="120"/>
            </w:tcMar>
          </w:tcPr>
          <w:p>
            <w:r>
              <w:rPr>
                <w:rFonts w:ascii="Courier New" w:cs="Courier New" w:eastAsia="Courier New" w:hAnsi="Courier New"/>
                <w:color w:val="2B4B7E"/>
                <w:sz w:val="18"/>
                <w:szCs w:val="18"/>
              </w:rPr>
              <w:t xml:space="preserve">COOKBOOK_PENDING_TIMEOUT_MINUTES</w:t>
            </w:r>
          </w:p>
        </w:tc>
        <w:tc>
          <w:tcPr>
            <w:tcW w:type="dxa" w:w="3000"/>
            <w:tcBorders>
              <w:top w:val="single" w:color="BECFE0" w:sz="1"/>
              <w:left w:val="single" w:color="BECFE0" w:sz="1"/>
              <w:bottom w:val="single" w:color="BECFE0" w:sz="1"/>
              <w:right w:val="single" w:color="BECFE0" w:sz="1"/>
            </w:tcBorders>
            <w:shd w:fill="F2F7FC" w:val="clear"/>
            <w:tcMar>
              <w:top w:type="dxa" w:w="80"/>
              <w:left w:type="dxa" w:w="120"/>
              <w:bottom w:type="dxa" w:w="80"/>
              <w:right w:type="dxa" w:w="120"/>
            </w:tcMar>
          </w:tcPr>
          <w:p>
            <w:r>
              <w:rPr>
                <w:rFonts w:ascii="Arial" w:cs="Arial" w:eastAsia="Arial" w:hAnsi="Arial"/>
                <w:color w:val="1A1A1A"/>
                <w:sz w:val="18"/>
                <w:szCs w:val="18"/>
              </w:rPr>
              <w:t xml:space="preserve">30</w:t>
            </w:r>
          </w:p>
        </w:tc>
        <w:tc>
          <w:tcPr>
            <w:tcW w:type="dxa" w:w="3560"/>
            <w:tcBorders>
              <w:top w:val="single" w:color="BECFE0" w:sz="1"/>
              <w:left w:val="single" w:color="BECFE0" w:sz="1"/>
              <w:bottom w:val="single" w:color="BECFE0" w:sz="1"/>
              <w:right w:val="single" w:color="BECFE0" w:sz="1"/>
            </w:tcBorders>
            <w:shd w:fill="F2F7FC" w:val="clear"/>
            <w:tcMar>
              <w:top w:type="dxa" w:w="80"/>
              <w:left w:type="dxa" w:w="120"/>
              <w:bottom w:type="dxa" w:w="80"/>
              <w:right w:type="dxa" w:w="120"/>
            </w:tcMar>
          </w:tcPr>
          <w:p>
            <w:r>
              <w:rPr>
                <w:rFonts w:ascii="Arial" w:cs="Arial" w:eastAsia="Arial" w:hAnsi="Arial"/>
                <w:color w:val="1A1A1A"/>
                <w:sz w:val="18"/>
                <w:szCs w:val="18"/>
              </w:rPr>
              <w:t xml:space="preserve">Increase on slow lab hardware. Default 15 may be tight.</w:t>
            </w:r>
          </w:p>
        </w:tc>
      </w:tr>
      <w:tr>
        <w:tc>
          <w:tcPr>
            <w:tcW w:type="dxa" w:w="2800"/>
            <w:tcBorders>
              <w:top w:val="single" w:color="BECFE0" w:sz="1"/>
              <w:left w:val="single" w:color="BECFE0" w:sz="1"/>
              <w:bottom w:val="single" w:color="BECFE0" w:sz="1"/>
              <w:right w:val="single" w:color="BECFE0" w:sz="1"/>
            </w:tcBorders>
            <w:shd w:fill="FFFFFF" w:val="clear"/>
            <w:tcMar>
              <w:top w:type="dxa" w:w="80"/>
              <w:left w:type="dxa" w:w="120"/>
              <w:bottom w:type="dxa" w:w="80"/>
              <w:right w:type="dxa" w:w="120"/>
            </w:tcMar>
          </w:tcPr>
          <w:p>
            <w:r>
              <w:rPr>
                <w:rFonts w:ascii="Courier New" w:cs="Courier New" w:eastAsia="Courier New" w:hAnsi="Courier New"/>
                <w:color w:val="2B4B7E"/>
                <w:sz w:val="18"/>
                <w:szCs w:val="18"/>
              </w:rPr>
              <w:t xml:space="preserve">COOKBOOK_MAX_ARTIFACT_MB</w:t>
            </w:r>
          </w:p>
        </w:tc>
        <w:tc>
          <w:tcPr>
            <w:tcW w:type="dxa" w:w="3000"/>
            <w:tcBorders>
              <w:top w:val="single" w:color="BECFE0" w:sz="1"/>
              <w:left w:val="single" w:color="BECFE0" w:sz="1"/>
              <w:bottom w:val="single" w:color="BECFE0" w:sz="1"/>
              <w:right w:val="single" w:color="BECF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512</w:t>
            </w:r>
          </w:p>
        </w:tc>
        <w:tc>
          <w:tcPr>
            <w:tcW w:type="dxa" w:w="3560"/>
            <w:tcBorders>
              <w:top w:val="single" w:color="BECFE0" w:sz="1"/>
              <w:left w:val="single" w:color="BECFE0" w:sz="1"/>
              <w:bottom w:val="single" w:color="BECFE0" w:sz="1"/>
              <w:right w:val="single" w:color="BECF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Increase if lab artifacts are large (e.g. prebuilt toolchains).</w:t>
            </w:r>
          </w:p>
        </w:tc>
      </w:tr>
      <w:tr>
        <w:tc>
          <w:tcPr>
            <w:tcW w:type="dxa" w:w="2800"/>
            <w:tcBorders>
              <w:top w:val="single" w:color="BECFE0" w:sz="1"/>
              <w:left w:val="single" w:color="BECFE0" w:sz="1"/>
              <w:bottom w:val="single" w:color="BECFE0" w:sz="1"/>
              <w:right w:val="single" w:color="BECFE0" w:sz="1"/>
            </w:tcBorders>
            <w:shd w:fill="F2F7FC" w:val="clear"/>
            <w:tcMar>
              <w:top w:type="dxa" w:w="80"/>
              <w:left w:type="dxa" w:w="120"/>
              <w:bottom w:type="dxa" w:w="80"/>
              <w:right w:type="dxa" w:w="120"/>
            </w:tcMar>
          </w:tcPr>
          <w:p>
            <w:r>
              <w:rPr>
                <w:rFonts w:ascii="Arial" w:cs="Arial" w:eastAsia="Arial" w:hAnsi="Arial"/>
                <w:color w:val="1A1A1A"/>
                <w:sz w:val="18"/>
                <w:szCs w:val="18"/>
              </w:rPr>
              <w:t xml:space="preserve">AWS_ACCESS_KEY_ID</w:t>
            </w:r>
          </w:p>
        </w:tc>
        <w:tc>
          <w:tcPr>
            <w:tcW w:type="dxa" w:w="3000"/>
            <w:tcBorders>
              <w:top w:val="single" w:color="BECFE0" w:sz="1"/>
              <w:left w:val="single" w:color="BECFE0" w:sz="1"/>
              <w:bottom w:val="single" w:color="BECFE0" w:sz="1"/>
              <w:right w:val="single" w:color="BECFE0" w:sz="1"/>
            </w:tcBorders>
            <w:shd w:fill="F2F7FC" w:val="clear"/>
            <w:tcMar>
              <w:top w:type="dxa" w:w="80"/>
              <w:left w:type="dxa" w:w="120"/>
              <w:bottom w:type="dxa" w:w="80"/>
              <w:right w:type="dxa" w:w="120"/>
            </w:tcMar>
          </w:tcPr>
          <w:p>
            <w:r>
              <w:rPr>
                <w:rFonts w:ascii="Arial" w:cs="Arial" w:eastAsia="Arial" w:hAnsi="Arial"/>
                <w:color w:val="1A1A1A"/>
                <w:sz w:val="18"/>
                <w:szCs w:val="18"/>
              </w:rPr>
              <w:t xml:space="preserve">minioadmin</w:t>
            </w:r>
          </w:p>
        </w:tc>
        <w:tc>
          <w:tcPr>
            <w:tcW w:type="dxa" w:w="3560"/>
            <w:tcBorders>
              <w:top w:val="single" w:color="BECFE0" w:sz="1"/>
              <w:left w:val="single" w:color="BECFE0" w:sz="1"/>
              <w:bottom w:val="single" w:color="BECFE0" w:sz="1"/>
              <w:right w:val="single" w:color="BECFE0" w:sz="1"/>
            </w:tcBorders>
            <w:shd w:fill="F2F7FC" w:val="clear"/>
            <w:tcMar>
              <w:top w:type="dxa" w:w="80"/>
              <w:left w:type="dxa" w:w="120"/>
              <w:bottom w:type="dxa" w:w="80"/>
              <w:right w:type="dxa" w:w="120"/>
            </w:tcMar>
          </w:tcPr>
          <w:p>
            <w:r>
              <w:rPr>
                <w:rFonts w:ascii="Arial" w:cs="Arial" w:eastAsia="Arial" w:hAnsi="Arial"/>
                <w:color w:val="1A1A1A"/>
                <w:sz w:val="18"/>
                <w:szCs w:val="18"/>
              </w:rPr>
              <w:t xml:space="preserve">MinIO access key. Use a non-default key in production labs.</w:t>
            </w:r>
          </w:p>
        </w:tc>
      </w:tr>
      <w:tr>
        <w:tc>
          <w:tcPr>
            <w:tcW w:type="dxa" w:w="2800"/>
            <w:tcBorders>
              <w:top w:val="single" w:color="BECFE0" w:sz="1"/>
              <w:left w:val="single" w:color="BECFE0" w:sz="1"/>
              <w:bottom w:val="single" w:color="BECFE0" w:sz="1"/>
              <w:right w:val="single" w:color="BECF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AWS_SECRET_ACCESS_KEY</w:t>
            </w:r>
          </w:p>
        </w:tc>
        <w:tc>
          <w:tcPr>
            <w:tcW w:type="dxa" w:w="3000"/>
            <w:tcBorders>
              <w:top w:val="single" w:color="BECFE0" w:sz="1"/>
              <w:left w:val="single" w:color="BECFE0" w:sz="1"/>
              <w:bottom w:val="single" w:color="BECFE0" w:sz="1"/>
              <w:right w:val="single" w:color="BECF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&lt;minio-secret&gt;</w:t>
            </w:r>
          </w:p>
        </w:tc>
        <w:tc>
          <w:tcPr>
            <w:tcW w:type="dxa" w:w="3560"/>
            <w:tcBorders>
              <w:top w:val="single" w:color="BECFE0" w:sz="1"/>
              <w:left w:val="single" w:color="BECFE0" w:sz="1"/>
              <w:bottom w:val="single" w:color="BECFE0" w:sz="1"/>
              <w:right w:val="single" w:color="BECF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MinIO secret. Rotate on personnel changes.</w:t>
            </w:r>
          </w:p>
        </w:tc>
      </w:tr>
      <w:tr>
        <w:tc>
          <w:tcPr>
            <w:tcW w:type="dxa" w:w="2800"/>
            <w:tcBorders>
              <w:top w:val="single" w:color="BECFE0" w:sz="1"/>
              <w:left w:val="single" w:color="BECFE0" w:sz="1"/>
              <w:bottom w:val="single" w:color="BECFE0" w:sz="1"/>
              <w:right w:val="single" w:color="BECFE0" w:sz="1"/>
            </w:tcBorders>
            <w:shd w:fill="F2F7FC" w:val="clear"/>
            <w:tcMar>
              <w:top w:type="dxa" w:w="80"/>
              <w:left w:type="dxa" w:w="120"/>
              <w:bottom w:type="dxa" w:w="80"/>
              <w:right w:type="dxa" w:w="120"/>
            </w:tcMar>
          </w:tcPr>
          <w:p>
            <w:r>
              <w:rPr>
                <w:rFonts w:ascii="Arial" w:cs="Arial" w:eastAsia="Arial" w:hAnsi="Arial"/>
                <w:color w:val="1A1A1A"/>
                <w:sz w:val="18"/>
                <w:szCs w:val="18"/>
              </w:rPr>
              <w:t xml:space="preserve">AWS_REGION</w:t>
            </w:r>
          </w:p>
        </w:tc>
        <w:tc>
          <w:tcPr>
            <w:tcW w:type="dxa" w:w="3000"/>
            <w:tcBorders>
              <w:top w:val="single" w:color="BECFE0" w:sz="1"/>
              <w:left w:val="single" w:color="BECFE0" w:sz="1"/>
              <w:bottom w:val="single" w:color="BECFE0" w:sz="1"/>
              <w:right w:val="single" w:color="BECFE0" w:sz="1"/>
            </w:tcBorders>
            <w:shd w:fill="F2F7FC" w:val="clear"/>
            <w:tcMar>
              <w:top w:type="dxa" w:w="80"/>
              <w:left w:type="dxa" w:w="120"/>
              <w:bottom w:type="dxa" w:w="80"/>
              <w:right w:type="dxa" w:w="120"/>
            </w:tcMar>
          </w:tcPr>
          <w:p>
            <w:r>
              <w:rPr>
                <w:rFonts w:ascii="Arial" w:cs="Arial" w:eastAsia="Arial" w:hAnsi="Arial"/>
                <w:color w:val="1A1A1A"/>
                <w:sz w:val="18"/>
                <w:szCs w:val="18"/>
              </w:rPr>
              <w:t xml:space="preserve">us-east-1</w:t>
            </w:r>
          </w:p>
        </w:tc>
        <w:tc>
          <w:tcPr>
            <w:tcW w:type="dxa" w:w="3560"/>
            <w:tcBorders>
              <w:top w:val="single" w:color="BECFE0" w:sz="1"/>
              <w:left w:val="single" w:color="BECFE0" w:sz="1"/>
              <w:bottom w:val="single" w:color="BECFE0" w:sz="1"/>
              <w:right w:val="single" w:color="BECFE0" w:sz="1"/>
            </w:tcBorders>
            <w:shd w:fill="F2F7FC" w:val="clear"/>
            <w:tcMar>
              <w:top w:type="dxa" w:w="80"/>
              <w:left w:type="dxa" w:w="120"/>
              <w:bottom w:type="dxa" w:w="80"/>
              <w:right w:type="dxa" w:w="120"/>
            </w:tcMar>
          </w:tcPr>
          <w:p>
            <w:r>
              <w:rPr>
                <w:rFonts w:ascii="Arial" w:cs="Arial" w:eastAsia="Arial" w:hAnsi="Arial"/>
                <w:color w:val="1A1A1A"/>
                <w:sz w:val="18"/>
                <w:szCs w:val="18"/>
              </w:rPr>
              <w:t xml:space="preserve">Required by S3 SDK. Ignored by MinIO; any value works.</w:t>
            </w:r>
          </w:p>
        </w:tc>
      </w:tr>
    </w:tbl>
    <w:p>
      <w:pPr>
        <w:spacing w:before="0" w:after="80"/>
      </w:pPr>
      <w:r>
        <w:t xml:space="preserve"/>
      </w:r>
    </w:p>
    <w:p>
      <w:pPr>
        <w:pBdr>
          <w:bottom w:val="single" w:color="BECFE0" w:sz="2"/>
        </w:pBdr>
        <w:spacing w:before="200" w:after="200"/>
      </w:pPr>
    </w:p>
    <w:p>
      <w:pPr>
        <w:spacing w:before="60" w:after="100"/>
        <w:jc w:val="center"/>
      </w:pPr>
      <w:r>
        <w:rPr>
          <w:rFonts w:ascii="Arial" w:cs="Arial" w:eastAsia="Arial" w:hAnsi="Arial"/>
          <w:color w:val="6B7C8E"/>
          <w:sz w:val="20"/>
          <w:szCs w:val="20"/>
        </w:rPr>
        <w:t xml:space="preserve">cookbook Architecture Addendum — Air-Gapped Lab Deployment</w:t>
      </w:r>
      <w:r>
        <w:rPr>
          <w:rFonts w:ascii="Arial" w:cs="Arial" w:eastAsia="Arial" w:hAnsi="Arial"/>
          <w:color w:val="6B7C8E"/>
          <w:sz w:val="20"/>
          <w:szCs w:val="20"/>
        </w:rPr>
        <w:t xml:space="preserve">  ·  companion to d3 (final)  ·  2026-03-06</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ECFE0" w:sz="2"/>
      </w:pBdr>
    </w:pPr>
    <w:r>
      <w:rPr>
        <w:rFonts w:ascii="Arial" w:cs="Arial" w:eastAsia="Arial" w:hAnsi="Arial"/>
        <w:color w:val="6B7C8E"/>
        <w:sz w:val="16"/>
        <w:szCs w:val="16"/>
      </w:rPr>
      <w:t xml:space="preserve">© now build project  ·  Internal use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ECFE0" w:sz="2"/>
      </w:pBdr>
      <w:tabs>
        <w:tab w:val="right" w:pos="9360"/>
      </w:tabs>
    </w:pPr>
    <w:r>
      <w:rPr>
        <w:rFonts w:ascii="Arial" w:cs="Arial" w:eastAsia="Arial" w:hAnsi="Arial"/>
        <w:color w:val="6B7C8E"/>
        <w:sz w:val="18"/>
        <w:szCs w:val="18"/>
      </w:rPr>
      <w:t xml:space="preserve">cookbook — Air-Gapped Lab Deployment Addendum</w:t>
    </w:r>
    <w:r>
      <w:rPr>
        <w:sz w:val="18"/>
        <w:szCs w:val="18"/>
      </w:rPr>
      <w:t xml:space="preserve">		</w:t>
    </w:r>
    <w:r>
      <w:rPr>
        <w:rFonts w:ascii="Arial" w:cs="Arial" w:eastAsia="Arial" w:hAnsi="Arial"/>
        <w:color w:val="6B7C8E"/>
        <w:sz w:val="18"/>
        <w:szCs w:val="18"/>
      </w:rPr>
      <w:t xml:space="preserve">companion to d3 (final)  ·  APPROVED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FFFFFF"/>
      <w:sz w:val="36"/>
      <w:szCs w:val="36"/>
    </w:rPr>
  </w:style>
  <w:style w:type="paragraph" w:styleId="Heading2">
    <w:name w:val="Heading 2"/>
    <w:basedOn w:val="Normal"/>
    <w:next w:val="Normal"/>
    <w:qFormat/>
    <w:pPr>
      <w:spacing w:before="320" w:after="120"/>
      <w:outlineLvl w:val="1"/>
    </w:pPr>
    <w:rPr>
      <w:rFonts w:ascii="Arial" w:cs="Arial" w:eastAsia="Arial" w:hAnsi="Arial"/>
      <w:b/>
      <w:bCs/>
      <w:color w:val="1A3A5C"/>
      <w:sz w:val="28"/>
      <w:szCs w:val="28"/>
    </w:rPr>
  </w:style>
  <w:style w:type="paragraph" w:styleId="Heading3">
    <w:name w:val="Heading 3"/>
    <w:basedOn w:val="Normal"/>
    <w:next w:val="Normal"/>
    <w:qFormat/>
    <w:pPr>
      <w:spacing w:before="240" w:after="8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2026-03-06T17:40:29.754Z</dcterms:created>
  <dcterms:modified xsi:type="dcterms:W3CDTF">2026-03-06T17:40:29.755Z</dcterms:modified>
</cp:coreProperties>
</file>

<file path=docProps/custom.xml><?xml version="1.0" encoding="utf-8"?>
<Properties xmlns="http://schemas.openxmlformats.org/officeDocument/2006/custom-properties" xmlns:vt="http://schemas.openxmlformats.org/officeDocument/2006/docPropsVTypes"/>
</file>