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80"/>
        <w:jc w:val="center"/>
      </w:pPr>
      <w:r>
        <w:rPr>
          <w:rFonts w:ascii="Arial" w:cs="Arial" w:eastAsia="Arial" w:hAnsi="Arial"/>
          <w:b/>
          <w:bCs/>
          <w:color w:val="1A3A5C"/>
          <w:sz w:val="72"/>
          <w:szCs w:val="72"/>
        </w:rPr>
        <w:t xml:space="preserve">cookbook</w:t>
      </w:r>
    </w:p>
    <w:p>
      <w:pPr>
        <w:spacing w:before="0" w:after="200"/>
        <w:jc w:val="center"/>
      </w:pPr>
      <w:r>
        <w:rPr>
          <w:rFonts w:ascii="Arial" w:cs="Arial" w:eastAsia="Arial" w:hAnsi="Arial"/>
          <w:color w:val="2E75B6"/>
          <w:sz w:val="36"/>
          <w:szCs w:val="36"/>
        </w:rPr>
        <w:t xml:space="preserve">Artifact Registry</w:t>
      </w:r>
    </w:p>
    <w:p>
      <w:pPr>
        <w:spacing w:before="0" w:after="600"/>
        <w:jc w:val="center"/>
      </w:pPr>
      <w:r>
        <w:rPr>
          <w:rFonts w:ascii="Arial" w:cs="Arial" w:eastAsia="Arial" w:hAnsi="Arial"/>
          <w:color w:val="6B7C8E"/>
          <w:sz w:val="26"/>
          <w:szCs w:val="26"/>
        </w:rPr>
        <w:t xml:space="preserve">Architecture &amp; Design Specification</w:t>
      </w:r>
    </w:p>
    <w:p>
      <w:pPr>
        <w:pBdr>
          <w:bottom w:val="single" w:color="2E75B6" w:sz="8"/>
        </w:pBdr>
        <w:spacing w:before="0" w:after="400"/>
      </w:pPr>
    </w:p>
    <w:p>
      <w:pPr>
        <w:spacing w:before="0" w:after="80"/>
        <w:jc w:val="center"/>
      </w:pPr>
      <w:r>
        <w:rPr>
          <w:rFonts w:ascii="Arial" w:cs="Arial" w:eastAsia="Arial" w:hAnsi="Arial"/>
          <w:color w:val="6B7C8E"/>
          <w:sz w:val="22"/>
          <w:szCs w:val="22"/>
        </w:rPr>
        <w:t xml:space="preserve">Companion service to the </w:t>
      </w:r>
      <w:r>
        <w:rPr>
          <w:rFonts w:ascii="Courier New" w:cs="Courier New" w:eastAsia="Courier New" w:hAnsi="Courier New"/>
          <w:b/>
          <w:bCs/>
          <w:color w:val="2E75B6"/>
          <w:sz w:val="22"/>
          <w:szCs w:val="22"/>
        </w:rPr>
        <w:t xml:space="preserve">now</w:t>
      </w:r>
      <w:r>
        <w:rPr>
          <w:rFonts w:ascii="Arial" w:cs="Arial" w:eastAsia="Arial" w:hAnsi="Arial"/>
          <w:color w:val="6B7C8E"/>
          <w:sz w:val="22"/>
          <w:szCs w:val="22"/>
        </w:rPr>
        <w:t xml:space="preserve"> build system</w:t>
      </w:r>
    </w:p>
    <w:p>
      <w:pPr>
        <w:spacing w:before="0" w:after="80"/>
        <w:jc w:val="center"/>
      </w:pPr>
      <w:r>
        <w:rPr>
          <w:rFonts w:ascii="Arial" w:cs="Arial" w:eastAsia="Arial" w:hAnsi="Arial"/>
          <w:color w:val="6B7C8E"/>
          <w:sz w:val="20"/>
          <w:szCs w:val="20"/>
        </w:rPr>
        <w:t xml:space="preserve">v1.0  ·  Draft for Review</w:t>
      </w:r>
    </w:p>
    <w:p>
      <w:pPr>
        <w:jc w:val="center"/>
      </w:pPr>
      <w:r>
        <w:rPr>
          <w:rFonts w:ascii="Arial" w:cs="Arial" w:eastAsia="Arial" w:hAnsi="Arial"/>
          <w:b/>
          <w:bCs/>
          <w:color w:val="D4701E"/>
          <w:sz w:val="20"/>
          <w:szCs w:val="20"/>
        </w:rPr>
        <w:t xml:space="preserve">Status: d3 (final) — approved, proceed to M1</w:t>
      </w:r>
    </w:p>
    <w:p>
      <w:r>
        <w:br w:type="page"/>
      </w:r>
    </w:p>
    <w:p>
      <w:pPr>
        <w:pStyle w:val="Heading1"/>
        <w:pBdr>
          <w:bottom w:val="single" w:color="2E75B6" w:sz="4"/>
        </w:pBdr>
        <w:shd w:fill="1A3A5C" w:val="clear"/>
        <w:spacing w:before="360" w:after="160"/>
        <w:ind w:left="200" w:right="200"/>
      </w:pPr>
      <w:r>
        <w:rPr>
          <w:rFonts w:ascii="Arial" w:cs="Arial" w:eastAsia="Arial" w:hAnsi="Arial"/>
          <w:b/>
          <w:bCs/>
          <w:color w:val="FFFFFF"/>
          <w:sz w:val="36"/>
          <w:szCs w:val="36"/>
        </w:rPr>
        <w:t xml:space="preserve">1  Purpose &amp; Scope</w:t>
      </w:r>
    </w:p>
    <w:p>
      <w:pPr>
        <w:spacing w:before="60" w:after="100"/>
      </w:pPr>
      <w:r>
        <w:rPr>
          <w:rFonts w:ascii="Arial" w:cs="Arial" w:eastAsia="Arial" w:hAnsi="Arial"/>
          <w:color w:val="1A1A1A"/>
          <w:sz w:val="22"/>
          <w:szCs w:val="22"/>
        </w:rPr>
        <w:t xml:space="preserve">cookbook is the canonical artifact registry for the now build system. It provides the HTTP API that now clients use to resolve version ranges, fetch pre-built artifacts, and publish new releases. cookbook is a companion service — it knows nothing about compiling code; it stores, serves, and signs binary packages produced by now.</w:t>
      </w:r>
    </w:p>
    <w:p>
      <w:pPr>
        <w:spacing w:before="0" w:after="80"/>
      </w:pPr>
      <w:r>
        <w:t xml:space="preserve"/>
      </w:r>
    </w:p>
    <w:p>
      <w:pPr>
        <w:spacing w:before="60" w:after="100"/>
      </w:pPr>
      <w:r>
        <w:rPr>
          <w:rFonts w:ascii="Arial" w:cs="Arial" w:eastAsia="Arial" w:hAnsi="Arial"/>
          <w:b/>
          <w:bCs/>
          <w:sz w:val="22"/>
          <w:szCs w:val="22"/>
        </w:rPr>
        <w:t xml:space="preserve">Relationship to now.  </w:t>
      </w:r>
      <w:r>
        <w:rPr>
          <w:rFonts w:ascii="Arial" w:cs="Arial" w:eastAsia="Arial" w:hAnsi="Arial"/>
          <w:color w:val="1A1A1A"/>
          <w:sz w:val="22"/>
          <w:szCs w:val="22"/>
        </w:rPr>
        <w:t xml:space="preserve">The now spec (§6.5) defines the repository HTTP protocol that cookbook must implement. cookbook is the hosted, multi-tenant realisation of that protocol. A self-hosted instance is also supported for enterprise deployments.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ℹ</w:t>
            </w:r>
          </w:p>
        </w:tc>
        <w:tc>
          <w:tcPr>
            <w:tcW w:type="dxa" w:w="8760"/>
            <w:tcBorders>
              <w:top w:val="none" w:color="FFFFFF" w:sz="0"/>
              <w:left w:val="none" w:color="FFFFFF" w:sz="0"/>
              <w:bottom w:val="none" w:color="FFFFFF" w:sz="0"/>
              <w:right w:val="none" w:color="FFFFFF" w:sz="0"/>
            </w:tcBorders>
            <w:shd w:fill="EBF3FA" w:val="clear"/>
            <w:tcMar>
              <w:top w:type="dxa" w:w="100"/>
              <w:left w:type="dxa" w:w="160"/>
              <w:bottom w:type="dxa" w:w="100"/>
              <w:right w:type="dxa" w:w="160"/>
            </w:tcMar>
          </w:tcPr>
          <w:p>
            <w:r>
              <w:rPr>
                <w:rFonts w:ascii="Arial" w:cs="Arial" w:eastAsia="Arial" w:hAnsi="Arial"/>
                <w:color w:val="1A1A1A"/>
                <w:sz w:val="20"/>
                <w:szCs w:val="20"/>
              </w:rPr>
              <w:t xml:space="preserve">The public instance is reachable at https://registry.now.build/central — the default registry URL baked into now.</w:t>
            </w:r>
          </w:p>
        </w:tc>
      </w:tr>
    </w:tbl>
    <w:p>
      <w:pPr>
        <w:spacing w:before="0" w:after="80"/>
      </w:pPr>
      <w:r>
        <w:t xml:space="preserve"/>
      </w:r>
    </w:p>
    <w:p>
      <w:pPr>
        <w:spacing w:before="280" w:after="60"/>
      </w:pPr>
      <w:r>
        <w:rPr>
          <w:rFonts w:ascii="Arial" w:cs="Arial" w:eastAsia="Arial" w:hAnsi="Arial"/>
          <w:b/>
          <w:bCs/>
          <w:color w:val="6B7C8E"/>
          <w:sz w:val="16"/>
          <w:szCs w:val="16"/>
        </w:rPr>
        <w:t xml:space="preserve">IN SCOPE —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656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Version resolution</w:t>
            </w:r>
          </w:p>
        </w:tc>
        <w:tc>
          <w:tcPr>
            <w:tcW w:type="dxa" w:w="65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Courier New" w:cs="Courier New" w:eastAsia="Courier New" w:hAnsi="Courier New"/>
                <w:color w:val="2B4B7E"/>
                <w:sz w:val="18"/>
                <w:szCs w:val="18"/>
              </w:rPr>
              <w:t xml:space="preserve">GET /resolve — return matching versions for a semver range</w:t>
            </w:r>
          </w:p>
        </w:tc>
      </w:tr>
      <w:tr>
        <w:tc>
          <w:tcPr>
            <w:tcW w:type="dxa" w:w="28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Artifact fetch</w:t>
            </w:r>
          </w:p>
        </w:tc>
        <w:tc>
          <w:tcPr>
            <w:tcW w:type="dxa" w:w="65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Courier New" w:cs="Courier New" w:eastAsia="Courier New" w:hAnsi="Courier New"/>
                <w:color w:val="2B4B7E"/>
                <w:sz w:val="18"/>
                <w:szCs w:val="18"/>
              </w:rPr>
              <w:t xml:space="preserve">GET /artifact — serve .tar.gz, .sha256, .sig files</w:t>
            </w:r>
          </w:p>
        </w:tc>
      </w:tr>
      <w:tr>
        <w:tc>
          <w:tcPr>
            <w:tcW w:type="dxa" w:w="28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Artifact publish</w:t>
            </w:r>
          </w:p>
        </w:tc>
        <w:tc>
          <w:tcPr>
            <w:tcW w:type="dxa" w:w="65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Courier New" w:cs="Courier New" w:eastAsia="Courier New" w:hAnsi="Courier New"/>
                <w:color w:val="2B4B7E"/>
                <w:sz w:val="18"/>
                <w:szCs w:val="18"/>
              </w:rPr>
              <w:t xml:space="preserve">PUT /artifact — authenticated upload of release archives</w:t>
            </w:r>
          </w:p>
        </w:tc>
      </w:tr>
      <w:tr>
        <w:tc>
          <w:tcPr>
            <w:tcW w:type="dxa" w:w="28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Publisher keys</w:t>
            </w:r>
          </w:p>
        </w:tc>
        <w:tc>
          <w:tcPr>
            <w:tcW w:type="dxa" w:w="65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Store Ed25519 public keys; verify publisher identity on upload</w:t>
            </w:r>
          </w:p>
        </w:tc>
      </w:tr>
      <w:tr>
        <w:tc>
          <w:tcPr>
            <w:tcW w:type="dxa" w:w="28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Group namespacing</w:t>
            </w:r>
          </w:p>
        </w:tc>
        <w:tc>
          <w:tcPr>
            <w:tcW w:type="dxa" w:w="65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Enforce group ownership; prevent dependency confusion</w:t>
            </w:r>
          </w:p>
        </w:tc>
      </w:tr>
      <w:tr>
        <w:tc>
          <w:tcPr>
            <w:tcW w:type="dxa" w:w="28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Signature storage</w:t>
            </w:r>
          </w:p>
        </w:tc>
        <w:tc>
          <w:tcPr>
            <w:tcW w:type="dxa" w:w="65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Store and serve detached minisign .sig files</w:t>
            </w:r>
          </w:p>
        </w:tc>
      </w:tr>
      <w:tr>
        <w:tc>
          <w:tcPr>
            <w:tcW w:type="dxa" w:w="28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Snapshot policy</w:t>
            </w:r>
          </w:p>
        </w:tc>
        <w:tc>
          <w:tcPr>
            <w:tcW w:type="dxa" w:w="65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Honour release / snapshot flags from repo declarations</w:t>
            </w:r>
          </w:p>
        </w:tc>
      </w:tr>
      <w:tr>
        <w:tc>
          <w:tcPr>
            <w:tcW w:type="dxa" w:w="28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Offline cache mirror</w:t>
            </w:r>
          </w:p>
        </w:tc>
        <w:tc>
          <w:tcPr>
            <w:tcW w:type="dxa" w:w="65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now cache --mirror pulls a portable registry subset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4701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t>
            </w:r>
          </w:p>
        </w:tc>
        <w:tc>
          <w:tcPr>
            <w:tcW w:type="dxa" w:w="8760"/>
            <w:tcBorders>
              <w:top w:val="none" w:color="FFFFFF" w:sz="0"/>
              <w:left w:val="none" w:color="FFFFFF" w:sz="0"/>
              <w:bottom w:val="none" w:color="FFFFFF" w:sz="0"/>
              <w:right w:val="none" w:color="FFFFFF" w:sz="0"/>
            </w:tcBorders>
            <w:shd w:fill="FDF3E7" w:val="clear"/>
            <w:tcMar>
              <w:top w:type="dxa" w:w="100"/>
              <w:left w:type="dxa" w:w="160"/>
              <w:bottom w:type="dxa" w:w="100"/>
              <w:right w:type="dxa" w:w="160"/>
            </w:tcMar>
          </w:tcPr>
          <w:p>
            <w:r>
              <w:rPr>
                <w:rFonts w:ascii="Arial" w:cs="Arial" w:eastAsia="Arial" w:hAnsi="Arial"/>
                <w:color w:val="1A1A1A"/>
                <w:sz w:val="20"/>
                <w:szCs w:val="20"/>
              </w:rPr>
              <w:t xml:space="preserve">Post-v1: vulnerability advisory integration (dep:check), CDN edge distribution, search/discovery UI, and webhook notifications are deferred to subsequent releases.</w:t>
            </w:r>
          </w:p>
        </w:tc>
      </w:tr>
    </w:tbl>
    <w:p>
      <w:r>
        <w:br w:type="page"/>
      </w:r>
    </w:p>
    <w:p>
      <w:pPr>
        <w:pStyle w:val="Heading1"/>
        <w:pBdr>
          <w:bottom w:val="single" w:color="2E75B6" w:sz="4"/>
        </w:pBdr>
        <w:shd w:fill="1A3A5C" w:val="clear"/>
        <w:spacing w:before="360" w:after="160"/>
        <w:ind w:left="200" w:right="200"/>
      </w:pPr>
      <w:r>
        <w:rPr>
          <w:rFonts w:ascii="Arial" w:cs="Arial" w:eastAsia="Arial" w:hAnsi="Arial"/>
          <w:b/>
          <w:bCs/>
          <w:color w:val="FFFFFF"/>
          <w:sz w:val="36"/>
          <w:szCs w:val="36"/>
        </w:rPr>
        <w:t xml:space="preserve">2  Architecture Overview</w:t>
      </w:r>
    </w:p>
    <w:p>
      <w:pPr>
        <w:spacing w:before="60" w:after="100"/>
      </w:pPr>
      <w:r>
        <w:rPr>
          <w:rFonts w:ascii="Arial" w:cs="Arial" w:eastAsia="Arial" w:hAnsi="Arial"/>
          <w:color w:val="1A1A1A"/>
          <w:sz w:val="22"/>
          <w:szCs w:val="22"/>
        </w:rPr>
        <w:t xml:space="preserve">cookbook is a stateless HTTP service fronting an object store and a metadata database. All persistent state lives in those two backends; the service tier can be scaled horizontally without coordination.</w:t>
      </w:r>
    </w:p>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2.1  Component Map</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cookbook service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   ┌───────────────┐   ┌────────────────┐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  Resolver  │   │  Auth / ACL   │   │  Publish Gate  │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  (semver)  │   │  (JWT + keys) │   │  (sig verify)  │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   └───────┬───────┘   └───────┬────────┘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                  │                   │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               Core HTTP Router (§3)                  │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                  ▼                  ▼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  ┌──────────────┐  ┌──────────────┐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  Metadata   │  │ Object Store │  │  Trust Store │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  (Postgres) │  │  (S3-compat) │  │  (Postgres)  │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  └──────────────┘  └──────────────┘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 now clients (procure / publish)   ↑ CI pipelines</w:t>
      </w:r>
    </w:p>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2.2  Design Principles</w:t>
      </w:r>
    </w:p>
    <w:p>
      <w:pPr>
        <w:pStyle w:val="ListParagraph"/>
        <w:numPr>
          <w:ilvl w:val="0"/>
          <w:numId w:val="2"/>
        </w:numPr>
        <w:spacing w:before="40" w:after="40"/>
      </w:pPr>
      <w:r>
        <w:rPr>
          <w:rFonts w:ascii="Arial" w:cs="Arial" w:eastAsia="Arial" w:hAnsi="Arial"/>
          <w:color w:val="1A1A1A"/>
          <w:sz w:val="22"/>
          <w:szCs w:val="22"/>
        </w:rPr>
        <w:t xml:space="preserve">Content-addressed storage. Every artifact file is identified by its SHA-256 hash. The object key is derived from the artifact coordinate plus the hash, making accidental overwrite impossible.</w:t>
      </w:r>
    </w:p>
    <w:p>
      <w:pPr>
        <w:pStyle w:val="ListParagraph"/>
        <w:numPr>
          <w:ilvl w:val="0"/>
          <w:numId w:val="2"/>
        </w:numPr>
        <w:spacing w:before="40" w:after="40"/>
      </w:pPr>
      <w:r>
        <w:rPr>
          <w:rFonts w:ascii="Arial" w:cs="Arial" w:eastAsia="Arial" w:hAnsi="Arial"/>
          <w:color w:val="1A1A1A"/>
          <w:sz w:val="22"/>
          <w:szCs w:val="22"/>
        </w:rPr>
        <w:t xml:space="preserve">Immutability. Published release artifacts are immutable. A coordinate (group:artifact:version) can only be published once. Snapshot coordinates may be overwritten.</w:t>
      </w:r>
    </w:p>
    <w:p>
      <w:pPr>
        <w:pStyle w:val="ListParagraph"/>
        <w:numPr>
          <w:ilvl w:val="0"/>
          <w:numId w:val="2"/>
        </w:numPr>
        <w:spacing w:before="40" w:after="40"/>
      </w:pPr>
      <w:r>
        <w:rPr>
          <w:rFonts w:ascii="Arial" w:cs="Arial" w:eastAsia="Arial" w:hAnsi="Arial"/>
          <w:color w:val="1A1A1A"/>
          <w:sz w:val="22"/>
          <w:szCs w:val="22"/>
        </w:rPr>
        <w:t xml:space="preserve">Protocol fidelity. The HTTP API is the normative contract. Any conforming implementation of the §6.5 protocol is a valid cookbook replacement.</w:t>
      </w:r>
    </w:p>
    <w:p>
      <w:pPr>
        <w:pStyle w:val="ListParagraph"/>
        <w:numPr>
          <w:ilvl w:val="0"/>
          <w:numId w:val="2"/>
        </w:numPr>
        <w:spacing w:before="40" w:after="40"/>
      </w:pPr>
      <w:r>
        <w:rPr>
          <w:rFonts w:ascii="Arial" w:cs="Arial" w:eastAsia="Arial" w:hAnsi="Arial"/>
          <w:color w:val="1A1A1A"/>
          <w:sz w:val="22"/>
          <w:szCs w:val="22"/>
        </w:rPr>
        <w:t xml:space="preserve">Thin service. Business logic lives in the protocol spec (now.pasta resolver, semver, signing). cookbook enforces and stores; it does not invent.</w:t>
      </w:r>
    </w:p>
    <w:p>
      <w:pPr>
        <w:pStyle w:val="ListParagraph"/>
        <w:numPr>
          <w:ilvl w:val="0"/>
          <w:numId w:val="2"/>
        </w:numPr>
        <w:spacing w:before="40" w:after="40"/>
      </w:pPr>
      <w:r>
        <w:rPr>
          <w:rFonts w:ascii="Arial" w:cs="Arial" w:eastAsia="Arial" w:hAnsi="Arial"/>
          <w:color w:val="1A1A1A"/>
          <w:sz w:val="22"/>
          <w:szCs w:val="22"/>
        </w:rPr>
        <w:t xml:space="preserve">No vendor lock-in for clients. The object store is accessed over standard S3 API; the service may be self-hosted against any S3-compatible backend (MinIO, GCS, R2).</w:t>
      </w:r>
    </w:p>
    <w:p>
      <w:pPr>
        <w:spacing w:before="0" w:after="80"/>
      </w:pPr>
      <w:r>
        <w:t xml:space="preserve"/>
      </w:r>
    </w:p>
    <w:p>
      <w:r>
        <w:br w:type="page"/>
      </w:r>
    </w:p>
    <w:p>
      <w:pPr>
        <w:pStyle w:val="Heading1"/>
        <w:pBdr>
          <w:bottom w:val="single" w:color="2E75B6" w:sz="4"/>
        </w:pBdr>
        <w:shd w:fill="1A3A5C" w:val="clear"/>
        <w:spacing w:before="360" w:after="160"/>
        <w:ind w:left="200" w:right="200"/>
      </w:pPr>
      <w:r>
        <w:rPr>
          <w:rFonts w:ascii="Arial" w:cs="Arial" w:eastAsia="Arial" w:hAnsi="Arial"/>
          <w:b/>
          <w:bCs/>
          <w:color w:val="FFFFFF"/>
          <w:sz w:val="36"/>
          <w:szCs w:val="36"/>
        </w:rPr>
        <w:t xml:space="preserve">3  HTTP API</w:t>
      </w:r>
    </w:p>
    <w:p>
      <w:pPr>
        <w:spacing w:before="60" w:after="100"/>
      </w:pPr>
      <w:r>
        <w:rPr>
          <w:rFonts w:ascii="Arial" w:cs="Arial" w:eastAsia="Arial" w:hAnsi="Arial"/>
          <w:color w:val="1A1A1A"/>
          <w:sz w:val="22"/>
          <w:szCs w:val="22"/>
        </w:rPr>
        <w:t xml:space="preserve">Base path: </w:t>
      </w:r>
      <w:r>
        <w:rPr>
          <w:rFonts w:ascii="Courier New" w:cs="Courier New" w:eastAsia="Courier New" w:hAnsi="Courier New"/>
          <w:color w:val="2B4B7E"/>
          <w:sz w:val="20"/>
          <w:szCs w:val="20"/>
        </w:rPr>
        <w:t xml:space="preserve">https://registry.now.build/{registry-id}</w:t>
      </w:r>
    </w:p>
    <w:p>
      <w:pPr>
        <w:spacing w:before="60" w:after="100"/>
      </w:pPr>
      <w:r>
        <w:rPr>
          <w:rFonts w:ascii="Arial" w:cs="Arial" w:eastAsia="Arial" w:hAnsi="Arial"/>
          <w:color w:val="1A1A1A"/>
          <w:sz w:val="22"/>
          <w:szCs w:val="22"/>
        </w:rPr>
        <w:t xml:space="preserve">All responses are UTF-8 unless otherwise specified. JSON payloads use application/json; charset=UTF-8. Pasta payloads use application/x-pasta; charset=US-ASCII (pending §23 spec registration). Binary file responses use application/octet-stream.</w:t>
      </w:r>
    </w:p>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3.1  Version Resolution</w:t>
      </w:r>
    </w:p>
    <w:p>
      <w:pPr>
        <w:pStyle w:val="Heading3"/>
        <w:spacing w:before="240" w:after="80"/>
      </w:pPr>
      <w:r>
        <w:rPr>
          <w:rFonts w:ascii="Arial" w:cs="Arial" w:eastAsia="Arial" w:hAnsi="Arial"/>
          <w:b/>
          <w:bCs/>
          <w:color w:val="2E75B6"/>
          <w:sz w:val="24"/>
          <w:szCs w:val="24"/>
        </w:rPr>
        <w:t xml:space="preserve">GET /resolve/{group}/{artifact}/{version-range}</w:t>
      </w:r>
    </w:p>
    <w:p>
      <w:pPr>
        <w:spacing w:before="60" w:after="100"/>
      </w:pPr>
      <w:r>
        <w:rPr>
          <w:rFonts w:ascii="Arial" w:cs="Arial" w:eastAsia="Arial" w:hAnsi="Arial"/>
          <w:color w:val="1A1A1A"/>
          <w:sz w:val="22"/>
          <w:szCs w:val="22"/>
        </w:rPr>
        <w:t xml:space="preserve">Returns the set of versions available in this registry that satisfy the requested semver range. The now client uses this to implement Step 3 of the resolution algorithm (spec §6.2).</w:t>
      </w:r>
    </w:p>
    <w:p>
      <w:pPr>
        <w:spacing w:before="0" w:after="80"/>
      </w:pPr>
      <w:r>
        <w:t xml:space="preserve"/>
      </w:r>
    </w:p>
    <w:p>
      <w:pPr>
        <w:spacing w:before="60" w:after="100"/>
      </w:pPr>
      <w:r>
        <w:rPr>
          <w:rFonts w:ascii="Arial" w:cs="Arial" w:eastAsia="Arial" w:hAnsi="Arial"/>
          <w:color w:val="1A1A1A"/>
          <w:sz w:val="22"/>
          <w:szCs w:val="22"/>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356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36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2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group</w:t>
            </w:r>
          </w:p>
        </w:tc>
        <w:tc>
          <w:tcPr>
            <w:tcW w:type="dxa" w:w="35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group string with dots replaced by slashes — unbounded depth, max 128 chars total</w:t>
            </w:r>
          </w:p>
        </w:tc>
        <w:tc>
          <w:tcPr>
            <w:tcW w:type="dxa" w:w="36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org/acme  or  org/acme/internal</w:t>
            </w:r>
          </w:p>
        </w:tc>
      </w:tr>
      <w:tr>
        <w:tc>
          <w:tcPr>
            <w:tcW w:type="dxa" w:w="22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artifact</w:t>
            </w:r>
          </w:p>
        </w:tc>
        <w:tc>
          <w:tcPr>
            <w:tcW w:type="dxa" w:w="35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Lowercase, hyphens allowed</w:t>
            </w:r>
          </w:p>
        </w:tc>
        <w:tc>
          <w:tcPr>
            <w:tcW w:type="dxa" w:w="36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rocketlib</w:t>
            </w:r>
          </w:p>
        </w:tc>
      </w:tr>
      <w:tr>
        <w:tc>
          <w:tcPr>
            <w:tcW w:type="dxa" w:w="22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version-range</w:t>
            </w:r>
          </w:p>
        </w:tc>
        <w:tc>
          <w:tcPr>
            <w:tcW w:type="dxa" w:w="35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Semver range per spec §6.10 — URL-encoded</w:t>
            </w:r>
          </w:p>
        </w:tc>
        <w:tc>
          <w:tcPr>
            <w:tcW w:type="dxa" w:w="36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%5E1.3.0</w:t>
            </w:r>
          </w:p>
        </w:tc>
      </w:tr>
    </w:tbl>
    <w:p>
      <w:pPr>
        <w:spacing w:before="0" w:after="80"/>
      </w:pPr>
      <w:r>
        <w:t xml:space="preserve"/>
      </w:r>
    </w:p>
    <w:p>
      <w:pPr>
        <w:spacing w:before="60" w:after="100"/>
      </w:pPr>
      <w:r>
        <w:rPr>
          <w:rFonts w:ascii="Arial" w:cs="Arial" w:eastAsia="Arial" w:hAnsi="Arial"/>
          <w:color w:val="1A1A1A"/>
          <w:sz w:val="22"/>
          <w:szCs w:val="22"/>
        </w:rPr>
        <w:t xml:space="preserve">Response — 200 OK:</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"versions":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 "version": "1.3.1", "snapshot": false, "triples": ["linux-amd64-gnu", "macos-arm64-none"]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 "version": "1.4.0", "snapshot": false, "triples": ["linux-amd64-gnu", "linux-arm64-gnu", "macos-arm64-none", "noarch"]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4701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t>
            </w:r>
          </w:p>
        </w:tc>
        <w:tc>
          <w:tcPr>
            <w:tcW w:type="dxa" w:w="8760"/>
            <w:tcBorders>
              <w:top w:val="none" w:color="FFFFFF" w:sz="0"/>
              <w:left w:val="none" w:color="FFFFFF" w:sz="0"/>
              <w:bottom w:val="none" w:color="FFFFFF" w:sz="0"/>
              <w:right w:val="none" w:color="FFFFFF" w:sz="0"/>
            </w:tcBorders>
            <w:shd w:fill="FDF3E7" w:val="clear"/>
            <w:tcMar>
              <w:top w:type="dxa" w:w="100"/>
              <w:left w:type="dxa" w:w="160"/>
              <w:bottom w:type="dxa" w:w="100"/>
              <w:right w:type="dxa" w:w="160"/>
            </w:tcMar>
          </w:tcPr>
          <w:p>
            <w:r>
              <w:rPr>
                <w:rFonts w:ascii="Arial" w:cs="Arial" w:eastAsia="Arial" w:hAnsi="Arial"/>
                <w:color w:val="1A1A1A"/>
                <w:sz w:val="20"/>
                <w:szCs w:val="20"/>
              </w:rPr>
              <w:t xml:space="preserve">triples is advisory metadata only. Resolution is version-first per spec §6.2: the client selects the highest version satisfying the range, then attempts to fetch the triple-specific archive. A missing triple is a fetch-time error, not a resolution-time filter. The now client must not exclude versions from resolution based on the triples field.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816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12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200</w:t>
            </w:r>
          </w:p>
        </w:tc>
        <w:tc>
          <w:tcPr>
            <w:tcW w:type="dxa" w:w="81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Versions found; array may be empty if range matches nothing</w:t>
            </w:r>
          </w:p>
        </w:tc>
      </w:tr>
      <w:tr>
        <w:tc>
          <w:tcPr>
            <w:tcW w:type="dxa" w:w="12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400</w:t>
            </w:r>
          </w:p>
        </w:tc>
        <w:tc>
          <w:tcPr>
            <w:tcW w:type="dxa" w:w="81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Malformed range string</w:t>
            </w:r>
          </w:p>
        </w:tc>
      </w:tr>
      <w:tr>
        <w:tc>
          <w:tcPr>
            <w:tcW w:type="dxa" w:w="12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404</w:t>
            </w:r>
          </w:p>
        </w:tc>
        <w:tc>
          <w:tcPr>
            <w:tcW w:type="dxa" w:w="81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Group or artifact not found in this registry</w:t>
            </w:r>
          </w:p>
        </w:tc>
      </w:tr>
    </w:tbl>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3.2  Artifact Download</w:t>
      </w:r>
    </w:p>
    <w:p>
      <w:pPr>
        <w:pStyle w:val="Heading3"/>
        <w:spacing w:before="240" w:after="80"/>
      </w:pPr>
      <w:r>
        <w:rPr>
          <w:rFonts w:ascii="Arial" w:cs="Arial" w:eastAsia="Arial" w:hAnsi="Arial"/>
          <w:b/>
          <w:bCs/>
          <w:color w:val="2E75B6"/>
          <w:sz w:val="24"/>
          <w:szCs w:val="24"/>
        </w:rPr>
        <w:t xml:space="preserve">GET /artifact/{group}/{artifact}/{version}/{filename}</w:t>
      </w:r>
    </w:p>
    <w:p>
      <w:pPr>
        <w:spacing w:before="60" w:after="100"/>
      </w:pPr>
      <w:r>
        <w:rPr>
          <w:rFonts w:ascii="Arial" w:cs="Arial" w:eastAsia="Arial" w:hAnsi="Arial"/>
          <w:color w:val="1A1A1A"/>
          <w:sz w:val="22"/>
          <w:szCs w:val="22"/>
        </w:rPr>
        <w:t xml:space="preserve">Serves a single artifact file. The filename encodes the type of file being requested.</w:t>
      </w:r>
    </w:p>
    <w:p>
      <w:pPr>
        <w:spacing w:before="0" w:after="80"/>
      </w:pPr>
      <w:r>
        <w:t xml:space="preserve"/>
      </w:r>
    </w:p>
    <w:p>
      <w:pPr>
        <w:spacing w:before="60" w:after="100"/>
      </w:pPr>
      <w:r>
        <w:rPr>
          <w:rFonts w:ascii="Arial" w:cs="Arial" w:eastAsia="Arial" w:hAnsi="Arial"/>
          <w:color w:val="1A1A1A"/>
          <w:sz w:val="22"/>
          <w:szCs w:val="22"/>
        </w:rPr>
        <w:t xml:space="preserve">Filename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160"/>
        <w:gridCol w:w="2600"/>
      </w:tblGrid>
      <w:tr>
        <w:trPr>
          <w:tblHeader/>
        </w:trPr>
        <w:tc>
          <w:tcPr>
            <w:tcW w:type="dxa" w:w="36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Filename Pattern</w:t>
            </w:r>
          </w:p>
        </w:tc>
        <w:tc>
          <w:tcPr>
            <w:tcW w:type="dxa" w:w="316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Content</w:t>
            </w:r>
          </w:p>
        </w:tc>
        <w:tc>
          <w:tcPr>
            <w:tcW w:type="dxa" w:w="26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Signed?</w:t>
            </w:r>
          </w:p>
        </w:tc>
      </w:tr>
      <w:tr>
        <w:tc>
          <w:tcPr>
            <w:tcW w:type="dxa" w:w="36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{artifact}-{version}-{triple}.tar.gz</w:t>
            </w:r>
          </w:p>
        </w:tc>
        <w:tc>
          <w:tcPr>
            <w:tcW w:type="dxa" w:w="31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Binary archive</w:t>
            </w:r>
          </w:p>
        </w:tc>
        <w:tc>
          <w:tcPr>
            <w:tcW w:type="dxa" w:w="26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Optional (.sig)</w:t>
            </w:r>
          </w:p>
        </w:tc>
      </w:tr>
      <w:tr>
        <w:tc>
          <w:tcPr>
            <w:tcW w:type="dxa" w:w="36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{artifact}-{version}-noarch.tar.gz</w:t>
            </w:r>
          </w:p>
        </w:tc>
        <w:tc>
          <w:tcPr>
            <w:tcW w:type="dxa" w:w="31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Header-only / source archive</w:t>
            </w:r>
          </w:p>
        </w:tc>
        <w:tc>
          <w:tcPr>
            <w:tcW w:type="dxa" w:w="26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Optional (.sig)</w:t>
            </w:r>
          </w:p>
        </w:tc>
      </w:tr>
      <w:tr>
        <w:tc>
          <w:tcPr>
            <w:tcW w:type="dxa" w:w="36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{artifact}-{version}-{triple}.tar.gz.sha256</w:t>
            </w:r>
          </w:p>
        </w:tc>
        <w:tc>
          <w:tcPr>
            <w:tcW w:type="dxa" w:w="31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Hex SHA-256 of the archive</w:t>
            </w:r>
          </w:p>
        </w:tc>
        <w:tc>
          <w:tcPr>
            <w:tcW w:type="dxa" w:w="26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36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{artifact}-{version}-{triple}.tar.gz.sig</w:t>
            </w:r>
          </w:p>
        </w:tc>
        <w:tc>
          <w:tcPr>
            <w:tcW w:type="dxa" w:w="31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Detached minisign signature</w:t>
            </w:r>
          </w:p>
        </w:tc>
        <w:tc>
          <w:tcPr>
            <w:tcW w:type="dxa" w:w="26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36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now.pasta</w:t>
            </w:r>
          </w:p>
        </w:tc>
        <w:tc>
          <w:tcPr>
            <w:tcW w:type="dxa" w:w="31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Installed descriptor (text)</w:t>
            </w:r>
          </w:p>
        </w:tc>
        <w:tc>
          <w:tcPr>
            <w:tcW w:type="dxa" w:w="26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36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now.lock.pasta</w:t>
            </w:r>
          </w:p>
        </w:tc>
        <w:tc>
          <w:tcPr>
            <w:tcW w:type="dxa" w:w="31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Locked dep graph (text)</w:t>
            </w:r>
          </w:p>
        </w:tc>
        <w:tc>
          <w:tcPr>
            <w:tcW w:type="dxa" w:w="26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w:t>
            </w:r>
          </w:p>
        </w:tc>
      </w:tr>
    </w:tbl>
    <w:p>
      <w:pPr>
        <w:spacing w:before="0" w:after="80"/>
      </w:pPr>
      <w:r>
        <w:t xml:space="preserve"/>
      </w:r>
    </w:p>
    <w:p>
      <w:pPr>
        <w:spacing w:before="60" w:after="100"/>
      </w:pPr>
      <w:r>
        <w:rPr>
          <w:rFonts w:ascii="Arial" w:cs="Arial" w:eastAsia="Arial" w:hAnsi="Arial"/>
          <w:color w:val="1A1A1A"/>
          <w:sz w:val="22"/>
          <w:szCs w:val="22"/>
        </w:rPr>
        <w:t xml:space="preserve">The service redirects to a pre-signed object store URL (302) or streams the content directly. Clients must follow redirects.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796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14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200 / 302</w:t>
            </w:r>
          </w:p>
        </w:tc>
        <w:tc>
          <w:tcPr>
            <w:tcW w:type="dxa" w:w="79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File served or redirected to object store</w:t>
            </w:r>
          </w:p>
        </w:tc>
      </w:tr>
      <w:tr>
        <w:tc>
          <w:tcPr>
            <w:tcW w:type="dxa" w:w="14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404</w:t>
            </w:r>
          </w:p>
        </w:tc>
        <w:tc>
          <w:tcPr>
            <w:tcW w:type="dxa" w:w="79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Coordinate or filename not found</w:t>
            </w:r>
          </w:p>
        </w:tc>
      </w:tr>
      <w:tr>
        <w:tc>
          <w:tcPr>
            <w:tcW w:type="dxa" w:w="14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410</w:t>
            </w:r>
          </w:p>
        </w:tc>
        <w:tc>
          <w:tcPr>
            <w:tcW w:type="dxa" w:w="79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Artifact was yanked (see §3.4)</w:t>
            </w:r>
          </w:p>
        </w:tc>
      </w:tr>
    </w:tbl>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3.3  Artifact Publish</w:t>
      </w:r>
    </w:p>
    <w:p>
      <w:pPr>
        <w:pStyle w:val="Heading3"/>
        <w:spacing w:before="240" w:after="80"/>
      </w:pPr>
      <w:r>
        <w:rPr>
          <w:rFonts w:ascii="Arial" w:cs="Arial" w:eastAsia="Arial" w:hAnsi="Arial"/>
          <w:b/>
          <w:bCs/>
          <w:color w:val="2E75B6"/>
          <w:sz w:val="24"/>
          <w:szCs w:val="24"/>
        </w:rPr>
        <w:t xml:space="preserve">PUT /artifact/{group}/{artifact}/{version}/{filename}</w:t>
      </w:r>
    </w:p>
    <w:p>
      <w:pPr>
        <w:spacing w:before="60" w:after="100"/>
      </w:pPr>
      <w:r>
        <w:rPr>
          <w:rFonts w:ascii="Arial" w:cs="Arial" w:eastAsia="Arial" w:hAnsi="Arial"/>
          <w:color w:val="1A1A1A"/>
          <w:sz w:val="22"/>
          <w:szCs w:val="22"/>
        </w:rPr>
        <w:t xml:space="preserve">Uploads an artifact file. Authentication is required (§5). The service enforces:</w:t>
      </w:r>
    </w:p>
    <w:p>
      <w:pPr>
        <w:pStyle w:val="ListParagraph"/>
        <w:numPr>
          <w:ilvl w:val="0"/>
          <w:numId w:val="2"/>
        </w:numPr>
        <w:spacing w:before="40" w:after="40"/>
      </w:pPr>
      <w:r>
        <w:rPr>
          <w:rFonts w:ascii="Arial" w:cs="Arial" w:eastAsia="Arial" w:hAnsi="Arial"/>
          <w:color w:val="1A1A1A"/>
          <w:sz w:val="22"/>
          <w:szCs w:val="22"/>
        </w:rPr>
        <w:t xml:space="preserve">The caller's JWT must claim the group being published to.</w:t>
      </w:r>
    </w:p>
    <w:p>
      <w:pPr>
        <w:pStyle w:val="ListParagraph"/>
        <w:numPr>
          <w:ilvl w:val="0"/>
          <w:numId w:val="2"/>
        </w:numPr>
        <w:spacing w:before="40" w:after="40"/>
      </w:pPr>
      <w:r>
        <w:rPr>
          <w:rFonts w:ascii="Arial" w:cs="Arial" w:eastAsia="Arial" w:hAnsi="Arial"/>
          <w:color w:val="1A1A1A"/>
          <w:sz w:val="22"/>
          <w:szCs w:val="22"/>
        </w:rPr>
        <w:t xml:space="preserve">Release coordinates are immutable — a second PUT to an existing release coordinate returns 409 Conflict.</w:t>
      </w:r>
    </w:p>
    <w:p>
      <w:pPr>
        <w:pStyle w:val="ListParagraph"/>
        <w:numPr>
          <w:ilvl w:val="0"/>
          <w:numId w:val="2"/>
        </w:numPr>
        <w:spacing w:before="40" w:after="40"/>
      </w:pPr>
      <w:r>
        <w:rPr>
          <w:rFonts w:ascii="Arial" w:cs="Arial" w:eastAsia="Arial" w:hAnsi="Arial"/>
          <w:color w:val="1A1A1A"/>
          <w:sz w:val="22"/>
          <w:szCs w:val="22"/>
        </w:rPr>
        <w:t xml:space="preserve">If a .sig file is uploaded alongside the archive, the service verifies the signature against the publisher's registered public key before accepting.</w:t>
      </w:r>
    </w:p>
    <w:p>
      <w:pPr>
        <w:pStyle w:val="ListParagraph"/>
        <w:numPr>
          <w:ilvl w:val="0"/>
          <w:numId w:val="2"/>
        </w:numPr>
        <w:spacing w:before="40" w:after="40"/>
      </w:pPr>
      <w:r>
        <w:rPr>
          <w:rFonts w:ascii="Arial" w:cs="Arial" w:eastAsia="Arial" w:hAnsi="Arial"/>
          <w:color w:val="1A1A1A"/>
          <w:sz w:val="22"/>
          <w:szCs w:val="22"/>
        </w:rPr>
        <w:t xml:space="preserve">The SHA-256 of the uploaded body is computed server-side and stored; the client may also upload the .sha256 file as a cross-check.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736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0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201 Created</w:t>
            </w:r>
          </w:p>
        </w:tc>
        <w:tc>
          <w:tcPr>
            <w:tcW w:type="dxa" w:w="73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File accepted and stored</w:t>
            </w:r>
          </w:p>
        </w:tc>
      </w:tr>
      <w:tr>
        <w:tc>
          <w:tcPr>
            <w:tcW w:type="dxa" w:w="20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400</w:t>
            </w:r>
          </w:p>
        </w:tc>
        <w:tc>
          <w:tcPr>
            <w:tcW w:type="dxa" w:w="73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Malformed request or failed signature verification</w:t>
            </w:r>
          </w:p>
        </w:tc>
      </w:tr>
      <w:tr>
        <w:tc>
          <w:tcPr>
            <w:tcW w:type="dxa" w:w="20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401</w:t>
            </w:r>
          </w:p>
        </w:tc>
        <w:tc>
          <w:tcPr>
            <w:tcW w:type="dxa" w:w="73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Missing or invalid JWT</w:t>
            </w:r>
          </w:p>
        </w:tc>
      </w:tr>
      <w:tr>
        <w:tc>
          <w:tcPr>
            <w:tcW w:type="dxa" w:w="20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403</w:t>
            </w:r>
          </w:p>
        </w:tc>
        <w:tc>
          <w:tcPr>
            <w:tcW w:type="dxa" w:w="73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JWT does not claim the target group</w:t>
            </w:r>
          </w:p>
        </w:tc>
      </w:tr>
      <w:tr>
        <w:tc>
          <w:tcPr>
            <w:tcW w:type="dxa" w:w="20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409 Conflict</w:t>
            </w:r>
          </w:p>
        </w:tc>
        <w:tc>
          <w:tcPr>
            <w:tcW w:type="dxa" w:w="73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Release coordinate already published (immutable)</w:t>
            </w:r>
          </w:p>
        </w:tc>
      </w:tr>
      <w:tr>
        <w:tc>
          <w:tcPr>
            <w:tcW w:type="dxa" w:w="20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413</w:t>
            </w:r>
          </w:p>
        </w:tc>
        <w:tc>
          <w:tcPr>
            <w:tcW w:type="dxa" w:w="73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Payload exceeds maximum artifact size (default: 512 MB)</w:t>
            </w:r>
          </w:p>
        </w:tc>
      </w:tr>
    </w:tbl>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3.4  Yank</w:t>
      </w:r>
    </w:p>
    <w:p>
      <w:pPr>
        <w:pStyle w:val="Heading3"/>
        <w:spacing w:before="240" w:after="80"/>
      </w:pPr>
      <w:r>
        <w:rPr>
          <w:rFonts w:ascii="Arial" w:cs="Arial" w:eastAsia="Arial" w:hAnsi="Arial"/>
          <w:b/>
          <w:bCs/>
          <w:color w:val="2E75B6"/>
          <w:sz w:val="24"/>
          <w:szCs w:val="24"/>
        </w:rPr>
        <w:t xml:space="preserve">POST /artifact/{group}/{artifact}/{version}/yank</w:t>
      </w:r>
    </w:p>
    <w:p>
      <w:pPr>
        <w:spacing w:before="60" w:after="100"/>
      </w:pPr>
      <w:r>
        <w:rPr>
          <w:rFonts w:ascii="Arial" w:cs="Arial" w:eastAsia="Arial" w:hAnsi="Arial"/>
          <w:color w:val="1A1A1A"/>
          <w:sz w:val="22"/>
          <w:szCs w:val="22"/>
        </w:rPr>
        <w:t xml:space="preserve">Marks a release as yanked. Yanked artifacts are still downloadable (direct fetch returns 200 with a </w:t>
      </w:r>
      <w:r>
        <w:rPr>
          <w:rFonts w:ascii="Courier New" w:cs="Courier New" w:eastAsia="Courier New" w:hAnsi="Courier New"/>
          <w:color w:val="2B4B7E"/>
          <w:sz w:val="20"/>
          <w:szCs w:val="20"/>
        </w:rPr>
        <w:t xml:space="preserve">X-Now-Yanked: true</w:t>
      </w:r>
      <w:r>
        <w:rPr>
          <w:rFonts w:ascii="Arial" w:cs="Arial" w:eastAsia="Arial" w:hAnsi="Arial"/>
          <w:color w:val="1A1A1A"/>
          <w:sz w:val="22"/>
          <w:szCs w:val="22"/>
        </w:rPr>
        <w:t xml:space="preserve"> header) but are excluded from /resolve results. This mirrors Cargo's yank semantics. Consumers that have already resolved the version continue to build; new resolutions skip it.</w:t>
      </w:r>
    </w:p>
    <w:p>
      <w:pPr>
        <w:spacing w:before="0" w:after="80"/>
      </w:pPr>
      <w:r>
        <w:t xml:space="preserve"/>
      </w:r>
    </w:p>
    <w:p>
      <w:r>
        <w:br w:type="page"/>
      </w:r>
    </w:p>
    <w:p>
      <w:pPr>
        <w:pStyle w:val="Heading1"/>
        <w:pBdr>
          <w:bottom w:val="single" w:color="2E75B6" w:sz="4"/>
        </w:pBdr>
        <w:shd w:fill="1A3A5C" w:val="clear"/>
        <w:spacing w:before="360" w:after="160"/>
        <w:ind w:left="200" w:right="200"/>
      </w:pPr>
      <w:r>
        <w:rPr>
          <w:rFonts w:ascii="Arial" w:cs="Arial" w:eastAsia="Arial" w:hAnsi="Arial"/>
          <w:b/>
          <w:bCs/>
          <w:color w:val="FFFFFF"/>
          <w:sz w:val="36"/>
          <w:szCs w:val="36"/>
        </w:rPr>
        <w:t xml:space="preserve">4  Data Model</w:t>
      </w:r>
    </w:p>
    <w:p>
      <w:pPr>
        <w:spacing w:before="60" w:after="100"/>
      </w:pPr>
      <w:r>
        <w:rPr>
          <w:rFonts w:ascii="Arial" w:cs="Arial" w:eastAsia="Arial" w:hAnsi="Arial"/>
          <w:color w:val="1A1A1A"/>
          <w:sz w:val="22"/>
          <w:szCs w:val="22"/>
        </w:rPr>
        <w:t xml:space="preserve">cookbook maintains two stores: a relational database for metadata and an object store for artifact bytes.</w:t>
      </w:r>
    </w:p>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4.1  Metadata Schema (Postgres)</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Group namespace ownership</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groups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group_id    TEXT PRIMARY KEY,   -- e.g. 'org.acme'</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owner_sub   TEXT NOT NULL,      -- JWT subject of registrant</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created_at  TIMESTAMPTZ,</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description TEXT</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Publisher signing keys (Ed25519 via minisign)</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publisher_keys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key_id      UUID PRIMARY KEY DEFAULT gen_random_uuid(),</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group_id    TEXT REFERENCES groups,</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public_key  TEXT NOT NULL,      -- minisign base64 public key</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comment     TEXT,</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added_at    TIMESTAMPTZ,</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revoked_at  TIMESTAMPTZ         -- NULL = active</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Artifact metadata</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Logical primary key: (id, triple) per §6.3 finalised schema</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coord_id encodes group:artifact:version:triple as a single opaque key</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artifacts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coord_id         TEXT PRIMARY KEY,   -- '{group}:{artifact}:{version}:{triple}'</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group_id         TEXT REFERENCES groups,</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artifact         TEXT NOT NULL,</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version          TEXT NOT NULL,      -- normalised semver</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triple           TEXT NOT NULL,      -- platform triple (colons) or 'noarch'</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snapshot         BOOLEAN DEFAULT false,</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yanked           BOOLEAN DEFAULT false,</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status           TEXT DEFAULT 'pending',  -- pending | published (two-phase write)</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sha256           TEXT NOT NULL,      -- hex SHA-256 of .tar.gz</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descriptor_sha256 TEXT,             -- hex SHA-256 of now.pasta</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signed           BOOLEAN DEFAULT false,</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size_bytes       BIGINT,</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published_at     TIMESTAMPTZ,</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published_by     TEXT,              -- JWT subject</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UNIQUE (group_id, artifact, version, triple)</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Semver index for fast range queries</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artifact_semver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coord_id    TEXT REFERENCES artifacts,</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major INT, minor INT, patch INT,</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pre_release TEXT,</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build_meta  TEXT</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w:t>
      </w:r>
    </w:p>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4.2  Object Store Layout</w:t>
      </w:r>
    </w:p>
    <w:p>
      <w:pPr>
        <w:spacing w:before="60" w:after="100"/>
      </w:pPr>
      <w:r>
        <w:rPr>
          <w:rFonts w:ascii="Arial" w:cs="Arial" w:eastAsia="Arial" w:hAnsi="Arial"/>
          <w:color w:val="1A1A1A"/>
          <w:sz w:val="22"/>
          <w:szCs w:val="22"/>
        </w:rPr>
        <w:t xml:space="preserve">Object keys mirror the local repo layout defined in spec §3.4, enabling direct filesystem mirroring:</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central/org/acme/core/4.2.1/</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core-4.2.1-linux-amd64-gnu.tar.gz</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core-4.2.1-linux-amd64-gnu.tar.gz.sha256</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core-4.2.1-linux-amd64-gnu.tar.gz.sig   (if signed)</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core-4.2.1-noarch.tar.gz                (header-only variant)</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now.pasta</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now.pasta.sha256</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now.lock.pasta</w:t>
      </w:r>
    </w:p>
    <w:p>
      <w:pPr>
        <w:spacing w:before="0" w:after="80"/>
      </w:pPr>
      <w:r>
        <w:t xml:space="preserve"/>
      </w:r>
    </w:p>
    <w:p>
      <w:pPr>
        <w:spacing w:before="60" w:after="100"/>
      </w:pPr>
      <w:r>
        <w:rPr>
          <w:rFonts w:ascii="Arial" w:cs="Arial" w:eastAsia="Arial" w:hAnsi="Arial"/>
          <w:color w:val="1A1A1A"/>
          <w:sz w:val="22"/>
          <w:szCs w:val="22"/>
        </w:rPr>
        <w:t xml:space="preserve">Two normalisation rules apply to object store keys. Groups: dots are replaced by slashes (org.acme → org/acme), unbounded depth. Triples: colons are replaced by hyphens (linux:amd64:gnu → linux-amd64-gnu), matching the spec §3.4 filesystem layout. The coord_id primary key in Postgres retains colons throughout as a logical identifier — it is never used directly as an object key.</w:t>
      </w:r>
    </w:p>
    <w:p>
      <w:pPr>
        <w:spacing w:before="0" w:after="80"/>
      </w:pPr>
      <w:r>
        <w:t xml:space="preserve"/>
      </w:r>
    </w:p>
    <w:p>
      <w:pPr>
        <w:spacing w:before="60" w:after="100"/>
      </w:pPr>
      <w:r>
        <w:rPr>
          <w:rFonts w:ascii="Arial" w:cs="Arial" w:eastAsia="Arial" w:hAnsi="Arial"/>
          <w:color w:val="1A1A1A"/>
          <w:sz w:val="22"/>
          <w:szCs w:val="22"/>
        </w:rPr>
        <w:t xml:space="preserve">Object store writes follow a two-phase protocol to ensure Postgres metadata and S3 objects are never permanently inconsistent. The metadata row is written first with status: 'pending'; S3 upload follows; the row is flipped to status: 'published' only after S3 confirms. A periodic reconciliation job scans for rows that have been 'pending' longer than a configurable threshold and marks them as failed, making the slot available for retry. The threshold defaults to 15 minutes and is configurable via COOKBOOK_PENDING_TIMEOUT_MINUTES from day one to allow deployment-specific tuning. This eliminates the orphan-object failure mode where S3 has the artifact but Postgres does not, and vice versa.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4701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t>
            </w:r>
          </w:p>
        </w:tc>
        <w:tc>
          <w:tcPr>
            <w:tcW w:type="dxa" w:w="8760"/>
            <w:tcBorders>
              <w:top w:val="none" w:color="FFFFFF" w:sz="0"/>
              <w:left w:val="none" w:color="FFFFFF" w:sz="0"/>
              <w:bottom w:val="none" w:color="FFFFFF" w:sz="0"/>
              <w:right w:val="none" w:color="FFFFFF" w:sz="0"/>
            </w:tcBorders>
            <w:shd w:fill="FDF3E7" w:val="clear"/>
            <w:tcMar>
              <w:top w:type="dxa" w:w="100"/>
              <w:left w:type="dxa" w:w="160"/>
              <w:bottom w:type="dxa" w:w="100"/>
              <w:right w:type="dxa" w:w="160"/>
            </w:tcMar>
          </w:tcPr>
          <w:p>
            <w:r>
              <w:rPr>
                <w:rFonts w:ascii="Arial" w:cs="Arial" w:eastAsia="Arial" w:hAnsi="Arial"/>
                <w:color w:val="1A1A1A"/>
                <w:sz w:val="20"/>
                <w:szCs w:val="20"/>
              </w:rPr>
              <w:t xml:space="preserve">now.pasta.sha256 is served alongside the descriptor to allow clients to integrity-pin the installed descriptor independently of the archive. The descriptor_sha256 field in now.lock.pasta (§7.1) contains this value.</w:t>
            </w:r>
          </w:p>
        </w:tc>
      </w:tr>
    </w:tbl>
    <w:p>
      <w:pPr>
        <w:spacing w:before="0" w:after="80"/>
      </w:pPr>
      <w:r>
        <w:t xml:space="preserve"/>
      </w:r>
    </w:p>
    <w:p>
      <w:r>
        <w:br w:type="page"/>
      </w:r>
    </w:p>
    <w:p>
      <w:pPr>
        <w:pStyle w:val="Heading1"/>
        <w:pBdr>
          <w:bottom w:val="single" w:color="2E75B6" w:sz="4"/>
        </w:pBdr>
        <w:shd w:fill="1A3A5C" w:val="clear"/>
        <w:spacing w:before="360" w:after="160"/>
        <w:ind w:left="200" w:right="200"/>
      </w:pPr>
      <w:r>
        <w:rPr>
          <w:rFonts w:ascii="Arial" w:cs="Arial" w:eastAsia="Arial" w:hAnsi="Arial"/>
          <w:b/>
          <w:bCs/>
          <w:color w:val="FFFFFF"/>
          <w:sz w:val="36"/>
          <w:szCs w:val="36"/>
        </w:rPr>
        <w:t xml:space="preserve">5  Authentication &amp; Authorization</w:t>
      </w:r>
    </w:p>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5.1  Client Authentication</w:t>
      </w:r>
    </w:p>
    <w:p>
      <w:pPr>
        <w:spacing w:before="60" w:after="100"/>
      </w:pPr>
      <w:r>
        <w:rPr>
          <w:rFonts w:ascii="Arial" w:cs="Arial" w:eastAsia="Arial" w:hAnsi="Arial"/>
          <w:color w:val="1A1A1A"/>
          <w:sz w:val="22"/>
          <w:szCs w:val="22"/>
        </w:rPr>
        <w:t xml:space="preserve">The now spec §6.5 defines credential storage in ~/.now/credentials.pasta but does not specify a token exchange protocol. Two flows are in scope; the choice is a now team decision that must be reflected in a now spec §6.5 extension before M5 begins.</w:t>
      </w:r>
    </w:p>
    <w:p>
      <w:pPr>
        <w:spacing w:before="0" w:after="80"/>
      </w:pPr>
      <w:r>
        <w:t xml:space="preserve"/>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~/.now/credentials.pasta (as defined in now spec §6.5)</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registries: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 url: "https://registry.now.build/central", username: "alice", token: "ghp_xxx"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w:t>
      </w:r>
    </w:p>
    <w:p>
      <w:pPr>
        <w:spacing w:before="0" w:after="80"/>
      </w:pPr>
      <w:r>
        <w:t xml:space="preserve"/>
      </w:r>
    </w:p>
    <w:p>
      <w:pPr>
        <w:pStyle w:val="Heading3"/>
        <w:spacing w:before="240" w:after="80"/>
      </w:pPr>
      <w:r>
        <w:rPr>
          <w:rFonts w:ascii="Arial" w:cs="Arial" w:eastAsia="Arial" w:hAnsi="Arial"/>
          <w:b/>
          <w:bCs/>
          <w:color w:val="2E75B6"/>
          <w:sz w:val="24"/>
          <w:szCs w:val="24"/>
        </w:rPr>
        <w:t xml:space="preserve">Option A — Direct token as Bearer (no exchange, simpler)</w:t>
      </w:r>
    </w:p>
    <w:p>
      <w:pPr>
        <w:spacing w:before="60" w:after="100"/>
      </w:pPr>
      <w:r>
        <w:rPr>
          <w:rFonts w:ascii="Arial" w:cs="Arial" w:eastAsia="Arial" w:hAnsi="Arial"/>
          <w:color w:val="1A1A1A"/>
          <w:sz w:val="22"/>
          <w:szCs w:val="22"/>
        </w:rPr>
        <w:t xml:space="preserve">The token field is used directly as a Bearer token on all requests. No exchange endpoint. The now client sends it as-is. Operationally simpler; tokens must be treated as long-lived secrets.</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PUT /artifact/...</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Authorization: Bearer ghp_xxx</w:t>
      </w:r>
    </w:p>
    <w:p>
      <w:pPr>
        <w:spacing w:before="0" w:after="80"/>
      </w:pPr>
      <w:r>
        <w:t xml:space="preserve"/>
      </w:r>
    </w:p>
    <w:p>
      <w:pPr>
        <w:pStyle w:val="Heading3"/>
        <w:spacing w:before="240" w:after="80"/>
      </w:pPr>
      <w:r>
        <w:rPr>
          <w:rFonts w:ascii="Arial" w:cs="Arial" w:eastAsia="Arial" w:hAnsi="Arial"/>
          <w:b/>
          <w:bCs/>
          <w:color w:val="2E75B6"/>
          <w:sz w:val="24"/>
          <w:szCs w:val="24"/>
        </w:rPr>
        <w:t xml:space="preserve">Option B — Token exchange for short-lived JWT (preferred for public registry)</w:t>
      </w:r>
    </w:p>
    <w:p>
      <w:pPr>
        <w:spacing w:before="60" w:after="100"/>
      </w:pPr>
      <w:r>
        <w:rPr>
          <w:rFonts w:ascii="Arial" w:cs="Arial" w:eastAsia="Arial" w:hAnsi="Arial"/>
          <w:color w:val="1A1A1A"/>
          <w:sz w:val="22"/>
          <w:szCs w:val="22"/>
        </w:rPr>
        <w:t xml:space="preserve">An exchange endpoint is added to the now spec §6.5. The token from credentials.pasta is traded for a short-lived JWT at session start. All subsequent requests use the JWT. Requires a now spec extension; the now client must implement the exchange.</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POST /auth/token</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Authorization: Basic base64({username}:{token})</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 "access_token": "eyJ...", "expires_in": 3600 }</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4701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t>
            </w:r>
          </w:p>
        </w:tc>
        <w:tc>
          <w:tcPr>
            <w:tcW w:type="dxa" w:w="8760"/>
            <w:tcBorders>
              <w:top w:val="none" w:color="FFFFFF" w:sz="0"/>
              <w:left w:val="none" w:color="FFFFFF" w:sz="0"/>
              <w:bottom w:val="none" w:color="FFFFFF" w:sz="0"/>
              <w:right w:val="none" w:color="FFFFFF" w:sz="0"/>
            </w:tcBorders>
            <w:shd w:fill="FDF3E7" w:val="clear"/>
            <w:tcMar>
              <w:top w:type="dxa" w:w="100"/>
              <w:left w:type="dxa" w:w="160"/>
              <w:bottom w:type="dxa" w:w="100"/>
              <w:right w:type="dxa" w:w="160"/>
            </w:tcMar>
          </w:tcPr>
          <w:p>
            <w:r>
              <w:rPr>
                <w:rFonts w:ascii="Arial" w:cs="Arial" w:eastAsia="Arial" w:hAnsi="Arial"/>
                <w:color w:val="1A1A1A"/>
                <w:sz w:val="20"/>
                <w:szCs w:val="20"/>
              </w:rPr>
              <w:t xml:space="preserve">M5 (auth/ACL implementation) is blocked on this decision. cookbook will implement whichever option the now team ratifies in the spec. Do not proceed with M5 until the now spec §6.5 extension is agreed.</w:t>
            </w:r>
          </w:p>
        </w:tc>
      </w:tr>
    </w:tbl>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5.2  Group Authorization</w:t>
      </w:r>
    </w:p>
    <w:p>
      <w:pPr>
        <w:spacing w:before="60" w:after="100"/>
      </w:pPr>
      <w:r>
        <w:rPr>
          <w:rFonts w:ascii="Arial" w:cs="Arial" w:eastAsia="Arial" w:hAnsi="Arial"/>
          <w:color w:val="1A1A1A"/>
          <w:sz w:val="22"/>
          <w:szCs w:val="22"/>
        </w:rPr>
        <w:t xml:space="preserve">The JWT payload includes a groups claim listing all group namespaces the bearer may publish to:</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"sub": "alice", "groups": ["org.acme", "com.example"], "exp": 1735000000 }</w:t>
      </w:r>
    </w:p>
    <w:p>
      <w:pPr>
        <w:spacing w:before="0" w:after="80"/>
      </w:pPr>
      <w:r>
        <w:t xml:space="preserve"/>
      </w:r>
    </w:p>
    <w:p>
      <w:pPr>
        <w:spacing w:before="60" w:after="100"/>
      </w:pPr>
      <w:r>
        <w:rPr>
          <w:rFonts w:ascii="Arial" w:cs="Arial" w:eastAsia="Arial" w:hAnsi="Arial"/>
          <w:color w:val="1A1A1A"/>
          <w:sz w:val="22"/>
          <w:szCs w:val="22"/>
        </w:rPr>
        <w:t xml:space="preserve">The publish endpoint (§3.3) compares the artifact's group field against the JWT groups claim. A mismatch returns 403. Groups are registered once at account creation; additional groups require a separate claim request (out-of-band process, not part of the v1 API).</w:t>
      </w:r>
    </w:p>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5.3  Publisher Key Registration</w:t>
      </w:r>
    </w:p>
    <w:p>
      <w:pPr>
        <w:spacing w:before="60" w:after="100"/>
      </w:pPr>
      <w:r>
        <w:rPr>
          <w:rFonts w:ascii="Arial" w:cs="Arial" w:eastAsia="Arial" w:hAnsi="Arial"/>
          <w:color w:val="1A1A1A"/>
          <w:sz w:val="22"/>
          <w:szCs w:val="22"/>
        </w:rPr>
        <w:t xml:space="preserve">To enable signature verification, publishers register their Ed25519 public key with the registry before the first signed publish:</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POST /keys</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Authorization: Bearer {jwt}</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Content-Type: application/json</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"group": "org.acme", "public_key": "RWTnKf5...", "comment": "ACME CI key 2025" }</w:t>
      </w:r>
    </w:p>
    <w:p>
      <w:pPr>
        <w:spacing w:before="0" w:after="80"/>
      </w:pPr>
      <w:r>
        <w:t xml:space="preserve"/>
      </w:r>
    </w:p>
    <w:p>
      <w:pPr>
        <w:spacing w:before="60" w:after="100"/>
      </w:pPr>
      <w:r>
        <w:rPr>
          <w:rFonts w:ascii="Arial" w:cs="Arial" w:eastAsia="Arial" w:hAnsi="Arial"/>
          <w:color w:val="1A1A1A"/>
          <w:sz w:val="22"/>
          <w:szCs w:val="22"/>
        </w:rPr>
        <w:t xml:space="preserve">On a signed publish, the service looks up the active key for the group, verifies the .sig file against the archive, and stores the sig alongside the archive only if verification passes. If no key is registered, signed publishes are rejected.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ℹ</w:t>
            </w:r>
          </w:p>
        </w:tc>
        <w:tc>
          <w:tcPr>
            <w:tcW w:type="dxa" w:w="8760"/>
            <w:tcBorders>
              <w:top w:val="none" w:color="FFFFFF" w:sz="0"/>
              <w:left w:val="none" w:color="FFFFFF" w:sz="0"/>
              <w:bottom w:val="none" w:color="FFFFFF" w:sz="0"/>
              <w:right w:val="none" w:color="FFFFFF" w:sz="0"/>
            </w:tcBorders>
            <w:shd w:fill="EBF3FA" w:val="clear"/>
            <w:tcMar>
              <w:top w:type="dxa" w:w="100"/>
              <w:left w:type="dxa" w:w="160"/>
              <w:bottom w:type="dxa" w:w="100"/>
              <w:right w:type="dxa" w:w="160"/>
            </w:tcMar>
          </w:tcPr>
          <w:p>
            <w:r>
              <w:rPr>
                <w:rFonts w:ascii="Arial" w:cs="Arial" w:eastAsia="Arial" w:hAnsi="Arial"/>
                <w:color w:val="1A1A1A"/>
                <w:sz w:val="20"/>
                <w:szCs w:val="20"/>
              </w:rPr>
              <w:t xml:space="preserve">Key rotation: publishing a new key does not revoke the old one. Explicit key revocation is a separate POST /keys/{key_id}/revoke operation. Revoked keys cannot verify future artifacts but already-verified artifacts are unaffected.</w:t>
            </w:r>
          </w:p>
        </w:tc>
      </w:tr>
    </w:tbl>
    <w:p>
      <w:pPr>
        <w:spacing w:before="0" w:after="80"/>
      </w:pPr>
      <w:r>
        <w:t xml:space="preserve"/>
      </w:r>
    </w:p>
    <w:p>
      <w:r>
        <w:br w:type="page"/>
      </w:r>
    </w:p>
    <w:p>
      <w:pPr>
        <w:pStyle w:val="Heading1"/>
        <w:pBdr>
          <w:bottom w:val="single" w:color="2E75B6" w:sz="4"/>
        </w:pBdr>
        <w:shd w:fill="1A3A5C" w:val="clear"/>
        <w:spacing w:before="360" w:after="160"/>
        <w:ind w:left="200" w:right="200"/>
      </w:pPr>
      <w:r>
        <w:rPr>
          <w:rFonts w:ascii="Arial" w:cs="Arial" w:eastAsia="Arial" w:hAnsi="Arial"/>
          <w:b/>
          <w:bCs/>
          <w:color w:val="FFFFFF"/>
          <w:sz w:val="36"/>
          <w:szCs w:val="36"/>
        </w:rPr>
        <w:t xml:space="preserve">6  Versioning &amp; Resolution</w:t>
      </w:r>
    </w:p>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6.1  Semver Storage &amp; Indexing</w:t>
      </w:r>
    </w:p>
    <w:p>
      <w:pPr>
        <w:spacing w:before="60" w:after="100"/>
      </w:pPr>
      <w:r>
        <w:rPr>
          <w:rFonts w:ascii="Arial" w:cs="Arial" w:eastAsia="Arial" w:hAnsi="Arial"/>
          <w:color w:val="1A1A1A"/>
          <w:sz w:val="22"/>
          <w:szCs w:val="22"/>
        </w:rPr>
        <w:t xml:space="preserve">Versions are stored normalised (leading zeros stripped, build metadata preserved). The artifact_semver table decomposes each version into integer components for efficient range queries without regex scanning.</w:t>
      </w:r>
    </w:p>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6.2  Range Evaluation</w:t>
      </w:r>
    </w:p>
    <w:p>
      <w:pPr>
        <w:spacing w:before="60" w:after="100"/>
      </w:pPr>
      <w:r>
        <w:rPr>
          <w:rFonts w:ascii="Arial" w:cs="Arial" w:eastAsia="Arial" w:hAnsi="Arial"/>
          <w:color w:val="1A1A1A"/>
          <w:sz w:val="22"/>
          <w:szCs w:val="22"/>
        </w:rPr>
        <w:t xml:space="preserve">cookbook evaluates semver ranges using the algorithm from spec §6.10. The resolver returns all matching versions sorted newest-first; the client applies its convergence policy (§6.11) to pick one.</w:t>
      </w:r>
    </w:p>
    <w:p>
      <w:pPr>
        <w:spacing w:before="0" w:after="80"/>
      </w:pPr>
      <w:r>
        <w:t xml:space="preserve"/>
      </w:r>
    </w:p>
    <w:p>
      <w:pPr>
        <w:spacing w:before="60" w:after="100"/>
      </w:pPr>
      <w:r>
        <w:rPr>
          <w:rFonts w:ascii="Arial" w:cs="Arial" w:eastAsia="Arial" w:hAnsi="Arial"/>
          <w:color w:val="1A1A1A"/>
          <w:sz w:val="22"/>
          <w:szCs w:val="22"/>
        </w:rPr>
        <w:t xml:space="preserve">Supported range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Operator</w:t>
            </w:r>
          </w:p>
        </w:tc>
        <w:tc>
          <w:tcPr>
            <w:tcW w:type="dxa" w:w="24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516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18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Exact</w:t>
            </w:r>
          </w:p>
        </w:tc>
        <w:tc>
          <w:tcPr>
            <w:tcW w:type="dxa" w:w="24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1.3.0</w:t>
            </w:r>
          </w:p>
        </w:tc>
        <w:tc>
          <w:tcPr>
            <w:tcW w:type="dxa" w:w="51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Exactly this version</w:t>
            </w:r>
          </w:p>
        </w:tc>
      </w:tr>
      <w:tr>
        <w:tc>
          <w:tcPr>
            <w:tcW w:type="dxa" w:w="18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Caret</w:t>
            </w:r>
          </w:p>
        </w:tc>
        <w:tc>
          <w:tcPr>
            <w:tcW w:type="dxa" w:w="24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^1.3.0</w:t>
            </w:r>
          </w:p>
        </w:tc>
        <w:tc>
          <w:tcPr>
            <w:tcW w:type="dxa" w:w="51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≥1.3.0, &lt;2.0.0 (compatible)</w:t>
            </w:r>
          </w:p>
        </w:tc>
      </w:tr>
      <w:tr>
        <w:tc>
          <w:tcPr>
            <w:tcW w:type="dxa" w:w="18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Tilde</w:t>
            </w:r>
          </w:p>
        </w:tc>
        <w:tc>
          <w:tcPr>
            <w:tcW w:type="dxa" w:w="24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~1.3.0</w:t>
            </w:r>
          </w:p>
        </w:tc>
        <w:tc>
          <w:tcPr>
            <w:tcW w:type="dxa" w:w="51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≥1.3.0, &lt;1.4.0 (patch-level)</w:t>
            </w:r>
          </w:p>
        </w:tc>
      </w:tr>
      <w:tr>
        <w:tc>
          <w:tcPr>
            <w:tcW w:type="dxa" w:w="18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Wildcard</w:t>
            </w:r>
          </w:p>
        </w:tc>
        <w:tc>
          <w:tcPr>
            <w:tcW w:type="dxa" w:w="24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51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Any 1.x version</w:t>
            </w:r>
          </w:p>
        </w:tc>
      </w:tr>
      <w:tr>
        <w:tc>
          <w:tcPr>
            <w:tcW w:type="dxa" w:w="18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Any</w:t>
            </w:r>
          </w:p>
        </w:tc>
        <w:tc>
          <w:tcPr>
            <w:tcW w:type="dxa" w:w="24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51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Any version — forbidden in published artifacts</w:t>
            </w:r>
          </w:p>
        </w:tc>
      </w:tr>
      <w:tr>
        <w:tc>
          <w:tcPr>
            <w:tcW w:type="dxa" w:w="18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Range</w:t>
            </w:r>
          </w:p>
        </w:tc>
        <w:tc>
          <w:tcPr>
            <w:tcW w:type="dxa" w:w="24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[1.0.0,2.0.0)</w:t>
            </w:r>
          </w:p>
        </w:tc>
        <w:tc>
          <w:tcPr>
            <w:tcW w:type="dxa" w:w="51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Maven-style closed/open bounds</w:t>
            </w:r>
          </w:p>
        </w:tc>
      </w:tr>
    </w:tbl>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6.3  Snapshot Policy</w:t>
      </w:r>
    </w:p>
    <w:p>
      <w:pPr>
        <w:spacing w:before="60" w:after="100"/>
      </w:pPr>
      <w:r>
        <w:rPr>
          <w:rFonts w:ascii="Arial" w:cs="Arial" w:eastAsia="Arial" w:hAnsi="Arial"/>
          <w:color w:val="1A1A1A"/>
          <w:sz w:val="22"/>
          <w:szCs w:val="22"/>
        </w:rPr>
        <w:t xml:space="preserve">Snapshot versions (containing a pre-release label, e.g. 1.4.0-beta.1) are excluded from resolution results unless the requesting client's repo declaration includes snapshot: true. This matches the spec §6.16 snapshot policy.</w:t>
      </w:r>
    </w:p>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6.4  Dependency Confusion Protection</w:t>
      </w:r>
    </w:p>
    <w:p>
      <w:pPr>
        <w:spacing w:before="60" w:after="100"/>
      </w:pPr>
      <w:r>
        <w:rPr>
          <w:rFonts w:ascii="Arial" w:cs="Arial" w:eastAsia="Arial" w:hAnsi="Arial"/>
          <w:color w:val="1A1A1A"/>
          <w:sz w:val="22"/>
          <w:szCs w:val="22"/>
        </w:rPr>
        <w:t xml:space="preserve">cookbook implements the spec §21 dependency confusion protections:</w:t>
      </w:r>
    </w:p>
    <w:p>
      <w:pPr>
        <w:pStyle w:val="ListParagraph"/>
        <w:numPr>
          <w:ilvl w:val="0"/>
          <w:numId w:val="2"/>
        </w:numPr>
        <w:spacing w:before="40" w:after="40"/>
      </w:pPr>
      <w:r>
        <w:rPr>
          <w:rFonts w:ascii="Arial" w:cs="Arial" w:eastAsia="Arial" w:hAnsi="Arial"/>
          <w:color w:val="1A1A1A"/>
          <w:sz w:val="22"/>
          <w:szCs w:val="22"/>
        </w:rPr>
        <w:t xml:space="preserve">Group namespace validation. A group may only be published to by JWT subjects that hold a claim for that group (§5.2). There is no fallback to a secondary registry from the client for groups present in this registry.</w:t>
      </w:r>
    </w:p>
    <w:p>
      <w:pPr>
        <w:pStyle w:val="ListParagraph"/>
        <w:numPr>
          <w:ilvl w:val="0"/>
          <w:numId w:val="2"/>
        </w:numPr>
        <w:spacing w:before="40" w:after="40"/>
      </w:pPr>
      <w:r>
        <w:rPr>
          <w:rFonts w:ascii="Arial" w:cs="Arial" w:eastAsia="Arial" w:hAnsi="Arial"/>
          <w:color w:val="1A1A1A"/>
          <w:sz w:val="22"/>
          <w:szCs w:val="22"/>
        </w:rPr>
        <w:t xml:space="preserve">Private registry priority. The now client always checks registries in declaration order (local repo first). cookbook does not override client-side ordering.</w:t>
      </w:r>
    </w:p>
    <w:p>
      <w:pPr>
        <w:pStyle w:val="ListParagraph"/>
        <w:numPr>
          <w:ilvl w:val="0"/>
          <w:numId w:val="2"/>
        </w:numPr>
        <w:spacing w:before="40" w:after="40"/>
      </w:pPr>
      <w:r>
        <w:rPr>
          <w:rFonts w:ascii="Arial" w:cs="Arial" w:eastAsia="Arial" w:hAnsi="Arial"/>
          <w:color w:val="1A1A1A"/>
          <w:sz w:val="22"/>
          <w:szCs w:val="22"/>
        </w:rPr>
        <w:t xml:space="preserve">Group squatting prevention. Group registration requires email verification and is rate-limited. An unregistered group cannot be silently resolved from a public registry fallback.</w:t>
      </w:r>
    </w:p>
    <w:p>
      <w:pPr>
        <w:spacing w:before="0" w:after="80"/>
      </w:pPr>
      <w:r>
        <w:t xml:space="preserve"/>
      </w:r>
    </w:p>
    <w:p>
      <w:r>
        <w:br w:type="page"/>
      </w:r>
    </w:p>
    <w:p>
      <w:pPr>
        <w:pStyle w:val="Heading1"/>
        <w:pBdr>
          <w:bottom w:val="single" w:color="2E75B6" w:sz="4"/>
        </w:pBdr>
        <w:shd w:fill="1A3A5C" w:val="clear"/>
        <w:spacing w:before="360" w:after="160"/>
        <w:ind w:left="200" w:right="200"/>
      </w:pPr>
      <w:r>
        <w:rPr>
          <w:rFonts w:ascii="Arial" w:cs="Arial" w:eastAsia="Arial" w:hAnsi="Arial"/>
          <w:b/>
          <w:bCs/>
          <w:color w:val="FFFFFF"/>
          <w:sz w:val="36"/>
          <w:szCs w:val="36"/>
        </w:rPr>
        <w:t xml:space="preserve">7  Signing &amp; Integrity</w:t>
      </w:r>
    </w:p>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7.1  SHA-256 Integrity</w:t>
      </w:r>
    </w:p>
    <w:p>
      <w:pPr>
        <w:spacing w:before="60" w:after="100"/>
      </w:pPr>
      <w:r>
        <w:rPr>
          <w:rFonts w:ascii="Arial" w:cs="Arial" w:eastAsia="Arial" w:hAnsi="Arial"/>
          <w:color w:val="1A1A1A"/>
          <w:sz w:val="22"/>
          <w:szCs w:val="22"/>
        </w:rPr>
        <w:t xml:space="preserve">Every artifact archive is accompanied by a .sha256 file containing the hex digest. The service computes this independently on ingest and refuses uploads where the client-provided .sha256 does not match the server computation. The stored digest is served to clients who then cross-reference it against their now.lock.pasta entry.</w:t>
      </w:r>
    </w:p>
    <w:p>
      <w:pPr>
        <w:spacing w:before="0" w:after="80"/>
      </w:pPr>
      <w:r>
        <w:t xml:space="preserve"/>
      </w:r>
    </w:p>
    <w:p>
      <w:pPr>
        <w:spacing w:before="60" w:after="100"/>
      </w:pPr>
      <w:r>
        <w:rPr>
          <w:rFonts w:ascii="Arial" w:cs="Arial" w:eastAsia="Arial" w:hAnsi="Arial"/>
          <w:color w:val="1A1A1A"/>
          <w:sz w:val="22"/>
          <w:szCs w:val="22"/>
        </w:rPr>
        <w:t xml:space="preserve">The installed descriptor (now.pasta) is also integrity-pinned. A now.pasta.sha256 file is generated and served alongside the descriptor. The corresponding now.lock.pasta entry gains a descriptor_sha256 field:</w:t>
      </w:r>
    </w:p>
    <w:p>
      <w:pPr>
        <w:spacing w:before="60" w:after="100"/>
      </w:pPr>
      <w:r>
        <w:rPr>
          <w:rFonts w:ascii="Arial" w:cs="Arial" w:eastAsia="Arial" w:hAnsi="Arial"/>
          <w:color w:val="1A1A1A"/>
          <w:sz w:val="22"/>
          <w:szCs w:val="22"/>
        </w:rPr>
        <w:t xml:space="preserve">The finalised now.lock.pasta schema (now spec §6.3) uses (id, triple) as the logical primary key. A project targeting multiple triples has one entry per coordinate per triple, each with a fully resolved concrete url. The now.pasta descriptor URL is derived normatively from the archive url by replacing the filename component with now.pasta — this derivation rule is specified in now spec §6.3 and is not an implementation detail.</w:t>
      </w:r>
    </w:p>
    <w:p>
      <w:pPr>
        <w:spacing w:before="0" w:after="80"/>
      </w:pPr>
      <w:r>
        <w:t xml:space="preserve"/>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now.lock.pasta — finalised §6.3 schema, multi-triple example</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now_version: "1.1.0",</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generated:   "2026-03-06T10:00:00Z",</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resolved: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id:                "org.acme:core:4.2.1",</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triple:            "linux:amd64:gnu",</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url:               "https://registry.now.build/central/org/acme/core/4.2.1/core-4.2.1-linux-amd64-gnu.tar.gz",</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sha256:            "a3f8c2d1...",</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descriptor_sha256: "d4e5f6...",   ; per-coordinate, same across all triples</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scope:             "compile",</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deps:              ["zlib:zlib:1.3.1"]</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id:                "org.acme:core:4.2.1",</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triple:            "macos:arm64:none",</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url:               "https://registry.now.build/central/org/acme/core/4.2.1/core-4.2.1-macos-arm64-none.tar.gz",</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sha256:            "b82e14f9...",</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descriptor_sha256: "d4e5f6...",   ; same descriptor, different archive</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scope:             "compile",</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deps:              ["zlib:zlib:1.3.1"]</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4701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t>
            </w:r>
          </w:p>
        </w:tc>
        <w:tc>
          <w:tcPr>
            <w:tcW w:type="dxa" w:w="8760"/>
            <w:tcBorders>
              <w:top w:val="none" w:color="FFFFFF" w:sz="0"/>
              <w:left w:val="none" w:color="FFFFFF" w:sz="0"/>
              <w:bottom w:val="none" w:color="FFFFFF" w:sz="0"/>
              <w:right w:val="none" w:color="FFFFFF" w:sz="0"/>
            </w:tcBorders>
            <w:shd w:fill="FDF3E7" w:val="clear"/>
            <w:tcMar>
              <w:top w:type="dxa" w:w="100"/>
              <w:left w:type="dxa" w:w="160"/>
              <w:bottom w:type="dxa" w:w="100"/>
              <w:right w:type="dxa" w:w="160"/>
            </w:tcMar>
          </w:tcPr>
          <w:p>
            <w:r>
              <w:rPr>
                <w:rFonts w:ascii="Arial" w:cs="Arial" w:eastAsia="Arial" w:hAnsi="Arial"/>
                <w:color w:val="1A1A1A"/>
                <w:sz w:val="20"/>
                <w:szCs w:val="20"/>
              </w:rPr>
              <w:t xml:space="preserve">descriptor_sha256 is per-coordinate, not per-triple — now.pasta is platform-independent by design (spec §5.10). now procure populates all declared target triples at lock-write time, so a developer on one platform has pinned hashes for all other platforms committed to VCS. The mirror endpoint receives concrete archive URLs directly from the lock with no transformation required.</w:t>
            </w:r>
          </w:p>
        </w:tc>
      </w:tr>
    </w:tbl>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7.2  Detached Signatures (minisign / Ed25519)</w:t>
      </w:r>
    </w:p>
    <w:p>
      <w:pPr>
        <w:spacing w:before="60" w:after="100"/>
      </w:pPr>
      <w:r>
        <w:rPr>
          <w:rFonts w:ascii="Arial" w:cs="Arial" w:eastAsia="Arial" w:hAnsi="Arial"/>
          <w:color w:val="1A1A1A"/>
          <w:sz w:val="22"/>
          <w:szCs w:val="22"/>
        </w:rPr>
        <w:t xml:space="preserve">Artifact signing uses minisign (Ed25519). The publisher signs locally before upload:</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Publisher workflow</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now package                          ; produces rocketlib-3.0.0-linux-amd64-gnu.tar.gz</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now publish --sign                   ; signs and uploads .tar.gz + .sha256 + .sig</w:t>
      </w:r>
    </w:p>
    <w:p>
      <w:pPr>
        <w:spacing w:before="0" w:after="80"/>
      </w:pPr>
      <w:r>
        <w:t xml:space="preserve"/>
      </w:r>
    </w:p>
    <w:p>
      <w:pPr>
        <w:spacing w:before="60" w:after="100"/>
      </w:pPr>
      <w:r>
        <w:rPr>
          <w:rFonts w:ascii="Arial" w:cs="Arial" w:eastAsia="Arial" w:hAnsi="Arial"/>
          <w:color w:val="1A1A1A"/>
          <w:sz w:val="22"/>
          <w:szCs w:val="22"/>
        </w:rPr>
        <w:t xml:space="preserve">Server-side verification sequence on PUT:</w:t>
      </w:r>
    </w:p>
    <w:p>
      <w:pPr>
        <w:pStyle w:val="ListParagraph"/>
        <w:numPr>
          <w:ilvl w:val="0"/>
          <w:numId w:val="2"/>
        </w:numPr>
        <w:spacing w:before="40" w:after="40"/>
      </w:pPr>
      <w:r>
        <w:rPr>
          <w:rFonts w:ascii="Arial" w:cs="Arial" w:eastAsia="Arial" w:hAnsi="Arial"/>
          <w:color w:val="1A1A1A"/>
          <w:sz w:val="22"/>
          <w:szCs w:val="22"/>
        </w:rPr>
        <w:t xml:space="preserve">Extract the .sig file from the upload batch.</w:t>
      </w:r>
    </w:p>
    <w:p>
      <w:pPr>
        <w:pStyle w:val="ListParagraph"/>
        <w:numPr>
          <w:ilvl w:val="0"/>
          <w:numId w:val="2"/>
        </w:numPr>
        <w:spacing w:before="40" w:after="40"/>
      </w:pPr>
      <w:r>
        <w:rPr>
          <w:rFonts w:ascii="Arial" w:cs="Arial" w:eastAsia="Arial" w:hAnsi="Arial"/>
          <w:color w:val="1A1A1A"/>
          <w:sz w:val="22"/>
          <w:szCs w:val="22"/>
        </w:rPr>
        <w:t xml:space="preserve">Look up the active publisher_keys for the artifact's group.</w:t>
      </w:r>
    </w:p>
    <w:p>
      <w:pPr>
        <w:pStyle w:val="ListParagraph"/>
        <w:numPr>
          <w:ilvl w:val="0"/>
          <w:numId w:val="2"/>
        </w:numPr>
        <w:spacing w:before="40" w:after="40"/>
      </w:pPr>
      <w:r>
        <w:rPr>
          <w:rFonts w:ascii="Arial" w:cs="Arial" w:eastAsia="Arial" w:hAnsi="Arial"/>
          <w:color w:val="1A1A1A"/>
          <w:sz w:val="22"/>
          <w:szCs w:val="22"/>
        </w:rPr>
        <w:t xml:space="preserve">Verify the .sig against each active key in turn; accept on first success.</w:t>
      </w:r>
    </w:p>
    <w:p>
      <w:pPr>
        <w:pStyle w:val="ListParagraph"/>
        <w:numPr>
          <w:ilvl w:val="0"/>
          <w:numId w:val="2"/>
        </w:numPr>
        <w:spacing w:before="40" w:after="40"/>
      </w:pPr>
      <w:r>
        <w:rPr>
          <w:rFonts w:ascii="Arial" w:cs="Arial" w:eastAsia="Arial" w:hAnsi="Arial"/>
          <w:color w:val="1A1A1A"/>
          <w:sz w:val="22"/>
          <w:szCs w:val="22"/>
        </w:rPr>
        <w:t xml:space="preserve">On failure: return 400 with a descriptive error; do not store any file.</w:t>
      </w:r>
    </w:p>
    <w:p>
      <w:pPr>
        <w:pStyle w:val="ListParagraph"/>
        <w:numPr>
          <w:ilvl w:val="0"/>
          <w:numId w:val="2"/>
        </w:numPr>
        <w:spacing w:before="40" w:after="40"/>
      </w:pPr>
      <w:r>
        <w:rPr>
          <w:rFonts w:ascii="Arial" w:cs="Arial" w:eastAsia="Arial" w:hAnsi="Arial"/>
          <w:color w:val="1A1A1A"/>
          <w:sz w:val="22"/>
          <w:szCs w:val="22"/>
        </w:rPr>
        <w:t xml:space="preserve">On success: store .tar.gz, .sha256, and .sig atomically.</w:t>
      </w:r>
    </w:p>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7.3  Registry Signing Key</w:t>
      </w:r>
    </w:p>
    <w:p>
      <w:pPr>
        <w:spacing w:before="60" w:after="100"/>
      </w:pPr>
      <w:r>
        <w:rPr>
          <w:rFonts w:ascii="Arial" w:cs="Arial" w:eastAsia="Arial" w:hAnsi="Arial"/>
          <w:color w:val="1A1A1A"/>
          <w:sz w:val="22"/>
          <w:szCs w:val="22"/>
        </w:rPr>
        <w:t xml:space="preserve">The central registry optionally countersigns all accepted artifacts with its own key. This allows clients configured with require_known_keys: true to trust the central key transitively, without needing individual publisher keys in their trust store. The registry key is published at:</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GET /.well-known/now-registry-key</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 "public_key": "RWTcentralkey...", "comment": "now central registry" }</w:t>
      </w:r>
    </w:p>
    <w:p>
      <w:pPr>
        <w:spacing w:before="0" w:after="80"/>
      </w:pPr>
      <w:r>
        <w:t xml:space="preserve"/>
      </w:r>
    </w:p>
    <w:p>
      <w:r>
        <w:br w:type="page"/>
      </w:r>
    </w:p>
    <w:p>
      <w:pPr>
        <w:pStyle w:val="Heading1"/>
        <w:pBdr>
          <w:bottom w:val="single" w:color="2E75B6" w:sz="4"/>
        </w:pBdr>
        <w:shd w:fill="1A3A5C" w:val="clear"/>
        <w:spacing w:before="360" w:after="160"/>
        <w:ind w:left="200" w:right="200"/>
      </w:pPr>
      <w:r>
        <w:rPr>
          <w:rFonts w:ascii="Arial" w:cs="Arial" w:eastAsia="Arial" w:hAnsi="Arial"/>
          <w:b/>
          <w:bCs/>
          <w:color w:val="FFFFFF"/>
          <w:sz w:val="36"/>
          <w:szCs w:val="36"/>
        </w:rPr>
        <w:t xml:space="preserve">8  Pasta Format Integration</w:t>
      </w:r>
    </w:p>
    <w:p>
      <w:pPr>
        <w:spacing w:before="60" w:after="100"/>
      </w:pPr>
      <w:r>
        <w:rPr>
          <w:rFonts w:ascii="Arial" w:cs="Arial" w:eastAsia="Arial" w:hAnsi="Arial"/>
          <w:color w:val="1A1A1A"/>
          <w:sz w:val="22"/>
          <w:szCs w:val="22"/>
        </w:rPr>
        <w:t xml:space="preserve">cookbook uses the Pasta library (</w:t>
      </w:r>
      <w:r>
        <w:rPr>
          <w:rFonts w:ascii="Courier New" w:cs="Courier New" w:eastAsia="Courier New" w:hAnsi="Courier New"/>
          <w:color w:val="2B4B7E"/>
          <w:sz w:val="20"/>
          <w:szCs w:val="20"/>
        </w:rPr>
        <w:t xml:space="preserve">iridiumfx.pasta:libpasta</w:t>
      </w:r>
      <w:r>
        <w:rPr>
          <w:rFonts w:ascii="Arial" w:cs="Arial" w:eastAsia="Arial" w:hAnsi="Arial"/>
          <w:color w:val="1A1A1A"/>
          <w:sz w:val="22"/>
          <w:szCs w:val="22"/>
        </w:rPr>
        <w:t xml:space="preserve">) as its serialisation format for stored descriptors and all Pasta-encoded responses. The library is consumed as a now dependency.</w:t>
      </w:r>
    </w:p>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8.1  Descriptor Validation</w:t>
      </w:r>
    </w:p>
    <w:p>
      <w:pPr>
        <w:spacing w:before="60" w:after="100"/>
      </w:pPr>
      <w:r>
        <w:rPr>
          <w:rFonts w:ascii="Arial" w:cs="Arial" w:eastAsia="Arial" w:hAnsi="Arial"/>
          <w:color w:val="1A1A1A"/>
          <w:sz w:val="22"/>
          <w:szCs w:val="22"/>
        </w:rPr>
        <w:t xml:space="preserve">On publish, the service parses the uploaded now.pasta using libpasta to validate the descriptor before storage. The following fields are required and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96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Validation rule</w:t>
            </w:r>
          </w:p>
        </w:tc>
      </w:tr>
      <w:tr>
        <w:tc>
          <w:tcPr>
            <w:tcW w:type="dxa" w:w="24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group</w:t>
            </w:r>
          </w:p>
        </w:tc>
        <w:tc>
          <w:tcPr>
            <w:tcW w:type="dxa" w:w="69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Must match the JWT's groups claim</w:t>
            </w:r>
          </w:p>
        </w:tc>
      </w:tr>
      <w:tr>
        <w:tc>
          <w:tcPr>
            <w:tcW w:type="dxa" w:w="24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artifact</w:t>
            </w:r>
          </w:p>
        </w:tc>
        <w:tc>
          <w:tcPr>
            <w:tcW w:type="dxa" w:w="69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Lowercase, hyphens only, no dots</w:t>
            </w:r>
          </w:p>
        </w:tc>
      </w:tr>
      <w:tr>
        <w:tc>
          <w:tcPr>
            <w:tcW w:type="dxa" w:w="24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version</w:t>
            </w:r>
          </w:p>
        </w:tc>
        <w:tc>
          <w:tcPr>
            <w:tcW w:type="dxa" w:w="69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Must be valid SemVer 2.0</w:t>
            </w:r>
          </w:p>
        </w:tc>
      </w:tr>
      <w:tr>
        <w:tc>
          <w:tcPr>
            <w:tcW w:type="dxa" w:w="24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output.type</w:t>
            </w:r>
          </w:p>
        </w:tc>
        <w:tc>
          <w:tcPr>
            <w:tcW w:type="dxa" w:w="69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One of: executable, static, shared, header-only, source, package</w:t>
            </w:r>
          </w:p>
        </w:tc>
      </w:tr>
    </w:tbl>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8.2  Installed Descriptor Stripping</w:t>
      </w:r>
    </w:p>
    <w:p>
      <w:pPr>
        <w:spacing w:before="60" w:after="100"/>
      </w:pPr>
      <w:r>
        <w:rPr>
          <w:rFonts w:ascii="Arial" w:cs="Arial" w:eastAsia="Arial" w:hAnsi="Arial"/>
          <w:color w:val="1A1A1A"/>
          <w:sz w:val="22"/>
          <w:szCs w:val="22"/>
        </w:rPr>
        <w:t xml:space="preserve">The now.pasta stored in the registry is the installed descriptor (spec §5.10) — a consumer-facing subset of the full build descriptor. The publish gate strips build-time-only fields before storage:</w:t>
      </w:r>
    </w:p>
    <w:p>
      <w:pPr>
        <w:pStyle w:val="ListParagraph"/>
        <w:numPr>
          <w:ilvl w:val="0"/>
          <w:numId w:val="2"/>
        </w:numPr>
        <w:spacing w:before="40" w:after="40"/>
      </w:pPr>
      <w:r>
        <w:rPr>
          <w:rFonts w:ascii="Arial" w:cs="Arial" w:eastAsia="Arial" w:hAnsi="Arial"/>
          <w:color w:val="1A1A1A"/>
          <w:sz w:val="22"/>
          <w:szCs w:val="22"/>
        </w:rPr>
        <w:t xml:space="preserve">Retained: group, artifact, version, lang, output, consumer_compile, consumer_link, consumer_asm, deps (compile-scope only), trust, publish metadata.</w:t>
      </w:r>
    </w:p>
    <w:p>
      <w:pPr>
        <w:pStyle w:val="ListParagraph"/>
        <w:numPr>
          <w:ilvl w:val="0"/>
          <w:numId w:val="2"/>
        </w:numPr>
        <w:spacing w:before="40" w:after="40"/>
      </w:pPr>
      <w:r>
        <w:rPr>
          <w:rFonts w:ascii="Arial" w:cs="Arial" w:eastAsia="Arial" w:hAnsi="Arial"/>
          <w:color w:val="1A1A1A"/>
          <w:sz w:val="22"/>
          <w:szCs w:val="22"/>
        </w:rPr>
        <w:t xml:space="preserve">Stripped: compile, link, profiles, properties, sources, tests, plugins, assembly, modules, inherit_defaults.</w:t>
      </w:r>
    </w:p>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8.3  Pasta Over HTTP</w:t>
      </w:r>
    </w:p>
    <w:p>
      <w:pPr>
        <w:spacing w:before="60" w:after="100"/>
      </w:pPr>
      <w:r>
        <w:rPr>
          <w:rFonts w:ascii="Arial" w:cs="Arial" w:eastAsia="Arial" w:hAnsi="Arial"/>
          <w:color w:val="1A1A1A"/>
          <w:sz w:val="22"/>
          <w:szCs w:val="22"/>
        </w:rPr>
        <w:t xml:space="preserve">Endpoints that return structured data (e.g. /resolve) may return Pasta in addition to JSON when the client sends </w:t>
      </w:r>
      <w:r>
        <w:rPr>
          <w:rFonts w:ascii="Courier New" w:cs="Courier New" w:eastAsia="Courier New" w:hAnsi="Courier New"/>
          <w:color w:val="2B4B7E"/>
          <w:sz w:val="20"/>
          <w:szCs w:val="20"/>
        </w:rPr>
        <w:t xml:space="preserve">Accept: application/x-pasta</w:t>
      </w:r>
      <w:r>
        <w:rPr>
          <w:rFonts w:ascii="Arial" w:cs="Arial" w:eastAsia="Arial" w:hAnsi="Arial"/>
          <w:color w:val="1A1A1A"/>
          <w:sz w:val="22"/>
          <w:szCs w:val="22"/>
        </w:rPr>
        <w:t xml:space="preserve">. The now client prefers Pasta to avoid a JSON parsing dependency.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4701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t>
            </w:r>
          </w:p>
        </w:tc>
        <w:tc>
          <w:tcPr>
            <w:tcW w:type="dxa" w:w="8760"/>
            <w:tcBorders>
              <w:top w:val="none" w:color="FFFFFF" w:sz="0"/>
              <w:left w:val="none" w:color="FFFFFF" w:sz="0"/>
              <w:bottom w:val="none" w:color="FFFFFF" w:sz="0"/>
              <w:right w:val="none" w:color="FFFFFF" w:sz="0"/>
            </w:tcBorders>
            <w:shd w:fill="FDF3E7" w:val="clear"/>
            <w:tcMar>
              <w:top w:type="dxa" w:w="100"/>
              <w:left w:type="dxa" w:w="160"/>
              <w:bottom w:type="dxa" w:w="100"/>
              <w:right w:type="dxa" w:w="160"/>
            </w:tcMar>
          </w:tcPr>
          <w:p>
            <w:r>
              <w:rPr>
                <w:rFonts w:ascii="Arial" w:cs="Arial" w:eastAsia="Arial" w:hAnsi="Arial"/>
                <w:color w:val="1A1A1A"/>
                <w:sz w:val="20"/>
                <w:szCs w:val="20"/>
              </w:rPr>
              <w:t xml:space="preserve">application/x-pasta is not yet registered in the now spec. Before cookbook ships, the now team will register this MIME type in now spec §23, specifying: type application/x-pasta, charset US-ASCII (Pasta is strict ASCII by design — no byte above 0x7F is valid), extension .pasta, and JSON fallback negotiation rules. The server Content-Type response must carry charset=US-ASCII explicitly; no charset parameter is needed on the Accept header. cookbook must not ship the Pasta content-type until the §23 spec block is merged.</w:t>
            </w:r>
          </w:p>
        </w:tc>
      </w:tr>
    </w:tbl>
    <w:p>
      <w:pPr>
        <w:spacing w:before="0" w:after="80"/>
      </w:pPr>
      <w:r>
        <w:t xml:space="preserve"/>
      </w:r>
    </w:p>
    <w:p>
      <w:r>
        <w:br w:type="page"/>
      </w:r>
    </w:p>
    <w:p>
      <w:pPr>
        <w:pStyle w:val="Heading1"/>
        <w:pBdr>
          <w:bottom w:val="single" w:color="2E75B6" w:sz="4"/>
        </w:pBdr>
        <w:shd w:fill="1A3A5C" w:val="clear"/>
        <w:spacing w:before="360" w:after="160"/>
        <w:ind w:left="200" w:right="200"/>
      </w:pPr>
      <w:r>
        <w:rPr>
          <w:rFonts w:ascii="Arial" w:cs="Arial" w:eastAsia="Arial" w:hAnsi="Arial"/>
          <w:b/>
          <w:bCs/>
          <w:color w:val="FFFFFF"/>
          <w:sz w:val="36"/>
          <w:szCs w:val="36"/>
        </w:rPr>
        <w:t xml:space="preserve">9  Offline Mode &amp; Cache Mirror</w:t>
      </w:r>
    </w:p>
    <w:p>
      <w:pPr>
        <w:spacing w:before="60" w:after="100"/>
      </w:pPr>
      <w:r>
        <w:rPr>
          <w:rFonts w:ascii="Arial" w:cs="Arial" w:eastAsia="Arial" w:hAnsi="Arial"/>
          <w:color w:val="1A1A1A"/>
          <w:sz w:val="22"/>
          <w:szCs w:val="22"/>
        </w:rPr>
        <w:t xml:space="preserve">The now spec §12 defines offline mode. cookbook supports the mirroring protocol that enables it.</w:t>
      </w:r>
    </w:p>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9.1  Mirror Endpoint</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GET /mirror/manifest?coords={coord1},{coord2},...</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JSON list of all files needed for the given coordinates</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"files":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 "path": "/resolve/org/acme/rocketlib/1.3.0", "url": "https://..."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 "path": "/artifact/org/acme/rocketlib/1.3.0/rocketlib-1.3.0-linux-amd64-gnu.tar.gz", "url": "https://..."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w:t>
      </w:r>
    </w:p>
    <w:p>
      <w:pPr>
        <w:spacing w:before="0" w:after="80"/>
      </w:pPr>
      <w:r>
        <w:t xml:space="preserve"/>
      </w:r>
    </w:p>
    <w:p>
      <w:pPr>
        <w:spacing w:before="60" w:after="100"/>
      </w:pPr>
      <w:r>
        <w:rPr>
          <w:rFonts w:ascii="Arial" w:cs="Arial" w:eastAsia="Arial" w:hAnsi="Arial"/>
          <w:color w:val="1A1A1A"/>
          <w:sz w:val="22"/>
          <w:szCs w:val="22"/>
        </w:rPr>
        <w:t xml:space="preserve">The now client drives mirroring with:</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now cache --mirror --output ./offline-cache</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Downloads all files from the manifest and writes a file:// registry tree</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compatible with the ~/.now/repo/ layout</w:t>
      </w:r>
    </w:p>
    <w:p>
      <w:pPr>
        <w:spacing w:before="0" w:after="80"/>
      </w:pPr>
      <w:r>
        <w:t xml:space="preserve"/>
      </w:r>
    </w:p>
    <w:p>
      <w:r>
        <w:br w:type="page"/>
      </w:r>
    </w:p>
    <w:p>
      <w:pPr>
        <w:pStyle w:val="Heading1"/>
        <w:pBdr>
          <w:bottom w:val="single" w:color="2E75B6" w:sz="4"/>
        </w:pBdr>
        <w:shd w:fill="1A3A5C" w:val="clear"/>
        <w:spacing w:before="360" w:after="160"/>
        <w:ind w:left="200" w:right="200"/>
      </w:pPr>
      <w:r>
        <w:rPr>
          <w:rFonts w:ascii="Arial" w:cs="Arial" w:eastAsia="Arial" w:hAnsi="Arial"/>
          <w:b/>
          <w:bCs/>
          <w:color w:val="FFFFFF"/>
          <w:sz w:val="36"/>
          <w:szCs w:val="36"/>
        </w:rPr>
        <w:t xml:space="preserve">10  Deployment &amp; Operations</w:t>
      </w:r>
    </w:p>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10.1  Service Configuration</w:t>
      </w:r>
    </w:p>
    <w:p>
      <w:pPr>
        <w:spacing w:before="60" w:after="100"/>
      </w:pPr>
      <w:r>
        <w:rPr>
          <w:rFonts w:ascii="Arial" w:cs="Arial" w:eastAsia="Arial" w:hAnsi="Arial"/>
          <w:color w:val="1A1A1A"/>
          <w:sz w:val="22"/>
          <w:szCs w:val="22"/>
        </w:rPr>
        <w:t xml:space="preserve">cookbook is configured via environment variables and/or a now.pasta config file mounted at /etc/cookbook/config.pasta.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20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456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COOKBOOK_PORT</w:t>
            </w:r>
          </w:p>
        </w:tc>
        <w:tc>
          <w:tcPr>
            <w:tcW w:type="dxa" w:w="20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8080</w:t>
            </w:r>
          </w:p>
        </w:tc>
        <w:tc>
          <w:tcPr>
            <w:tcW w:type="dxa" w:w="45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HTTP listener port</w:t>
            </w:r>
          </w:p>
        </w:tc>
      </w:tr>
      <w:tr>
        <w:tc>
          <w:tcPr>
            <w:tcW w:type="dxa" w:w="28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COOKBOOK_DB_URL</w:t>
            </w:r>
          </w:p>
        </w:tc>
        <w:tc>
          <w:tcPr>
            <w:tcW w:type="dxa" w:w="20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45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Postgres connection string (required)</w:t>
            </w:r>
          </w:p>
        </w:tc>
      </w:tr>
      <w:tr>
        <w:tc>
          <w:tcPr>
            <w:tcW w:type="dxa" w:w="28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COOKBOOK_S3_BUCKET</w:t>
            </w:r>
          </w:p>
        </w:tc>
        <w:tc>
          <w:tcPr>
            <w:tcW w:type="dxa" w:w="20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45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S3 bucket name for artifact storage (required)</w:t>
            </w:r>
          </w:p>
        </w:tc>
      </w:tr>
      <w:tr>
        <w:tc>
          <w:tcPr>
            <w:tcW w:type="dxa" w:w="28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COOKBOOK_S3_ENDPOINT</w:t>
            </w:r>
          </w:p>
        </w:tc>
        <w:tc>
          <w:tcPr>
            <w:tcW w:type="dxa" w:w="20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AWS default</w:t>
            </w:r>
          </w:p>
        </w:tc>
        <w:tc>
          <w:tcPr>
            <w:tcW w:type="dxa" w:w="45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Override for MinIO / GCS / R2</w:t>
            </w:r>
          </w:p>
        </w:tc>
      </w:tr>
      <w:tr>
        <w:tc>
          <w:tcPr>
            <w:tcW w:type="dxa" w:w="28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COOKBOOK_JWT_SECRET</w:t>
            </w:r>
          </w:p>
        </w:tc>
        <w:tc>
          <w:tcPr>
            <w:tcW w:type="dxa" w:w="20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45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HS256 secret or RS256 public key path</w:t>
            </w:r>
          </w:p>
        </w:tc>
      </w:tr>
      <w:tr>
        <w:tc>
          <w:tcPr>
            <w:tcW w:type="dxa" w:w="28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COOKBOOK_MAX_ARTIFACT_MB</w:t>
            </w:r>
          </w:p>
        </w:tc>
        <w:tc>
          <w:tcPr>
            <w:tcW w:type="dxa" w:w="20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512</w:t>
            </w:r>
          </w:p>
        </w:tc>
        <w:tc>
          <w:tcPr>
            <w:tcW w:type="dxa" w:w="45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Maximum upload size in MB</w:t>
            </w:r>
          </w:p>
        </w:tc>
      </w:tr>
      <w:tr>
        <w:tc>
          <w:tcPr>
            <w:tcW w:type="dxa" w:w="28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COOKBOOK_REGISTRY_KEY_PATH</w:t>
            </w:r>
          </w:p>
        </w:tc>
        <w:tc>
          <w:tcPr>
            <w:tcW w:type="dxa" w:w="20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45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Path to registry signing key (optional)</w:t>
            </w:r>
          </w:p>
        </w:tc>
      </w:tr>
      <w:tr>
        <w:tc>
          <w:tcPr>
            <w:tcW w:type="dxa" w:w="28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COOKBOOK_REGISTRY_ID</w:t>
            </w:r>
          </w:p>
        </w:tc>
        <w:tc>
          <w:tcPr>
            <w:tcW w:type="dxa" w:w="20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central</w:t>
            </w:r>
          </w:p>
        </w:tc>
        <w:tc>
          <w:tcPr>
            <w:tcW w:type="dxa" w:w="45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Registry ID used in URL paths</w:t>
            </w:r>
          </w:p>
        </w:tc>
      </w:tr>
    </w:tbl>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10.2  Health &amp;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636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Courier New" w:cs="Courier New" w:eastAsia="Courier New" w:hAnsi="Courier New"/>
                <w:color w:val="2B4B7E"/>
                <w:sz w:val="18"/>
                <w:szCs w:val="18"/>
              </w:rPr>
              <w:t xml:space="preserve">GET /healthz</w:t>
            </w:r>
          </w:p>
        </w:tc>
        <w:tc>
          <w:tcPr>
            <w:tcW w:type="dxa" w:w="63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Liveness probe — returns 200 if the service can handle requests</w:t>
            </w:r>
          </w:p>
        </w:tc>
      </w:tr>
      <w:tr>
        <w:tc>
          <w:tcPr>
            <w:tcW w:type="dxa" w:w="30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Courier New" w:cs="Courier New" w:eastAsia="Courier New" w:hAnsi="Courier New"/>
                <w:color w:val="2B4B7E"/>
                <w:sz w:val="18"/>
                <w:szCs w:val="18"/>
              </w:rPr>
              <w:t xml:space="preserve">GET /readyz</w:t>
            </w:r>
          </w:p>
        </w:tc>
        <w:tc>
          <w:tcPr>
            <w:tcW w:type="dxa" w:w="63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Readiness probe — returns 200 only if DB and object store are reachable</w:t>
            </w:r>
          </w:p>
        </w:tc>
      </w:tr>
      <w:tr>
        <w:tc>
          <w:tcPr>
            <w:tcW w:type="dxa" w:w="30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Courier New" w:cs="Courier New" w:eastAsia="Courier New" w:hAnsi="Courier New"/>
                <w:color w:val="2B4B7E"/>
                <w:sz w:val="18"/>
                <w:szCs w:val="18"/>
              </w:rPr>
              <w:t xml:space="preserve">GET /metrics</w:t>
            </w:r>
          </w:p>
        </w:tc>
        <w:tc>
          <w:tcPr>
            <w:tcW w:type="dxa" w:w="63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Prometheus metrics (request rates, latencies, upload/download sizes)</w:t>
            </w:r>
          </w:p>
        </w:tc>
      </w:tr>
    </w:tbl>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10.3  Self-Hosting</w:t>
      </w:r>
    </w:p>
    <w:p>
      <w:pPr>
        <w:spacing w:before="60" w:after="100"/>
      </w:pPr>
      <w:r>
        <w:rPr>
          <w:rFonts w:ascii="Arial" w:cs="Arial" w:eastAsia="Arial" w:hAnsi="Arial"/>
          <w:color w:val="1A1A1A"/>
          <w:sz w:val="22"/>
          <w:szCs w:val="22"/>
        </w:rPr>
        <w:t xml:space="preserve">Any organisation may run a private cookbook instance. The now client treats any URL conforming to the §6.5 protocol as a valid repository. Self-hosted instances:</w:t>
      </w:r>
    </w:p>
    <w:p>
      <w:pPr>
        <w:pStyle w:val="ListParagraph"/>
        <w:numPr>
          <w:ilvl w:val="0"/>
          <w:numId w:val="2"/>
        </w:numPr>
        <w:spacing w:before="40" w:after="40"/>
      </w:pPr>
      <w:r>
        <w:rPr>
          <w:rFonts w:ascii="Arial" w:cs="Arial" w:eastAsia="Arial" w:hAnsi="Arial"/>
          <w:color w:val="1A1A1A"/>
          <w:sz w:val="22"/>
          <w:szCs w:val="22"/>
        </w:rPr>
        <w:t xml:space="preserve">Use any S3-compatible backend (MinIO recommended for on-premises).</w:t>
      </w:r>
    </w:p>
    <w:p>
      <w:pPr>
        <w:pStyle w:val="ListParagraph"/>
        <w:numPr>
          <w:ilvl w:val="0"/>
          <w:numId w:val="2"/>
        </w:numPr>
        <w:spacing w:before="40" w:after="40"/>
      </w:pPr>
      <w:r>
        <w:rPr>
          <w:rFonts w:ascii="Arial" w:cs="Arial" w:eastAsia="Arial" w:hAnsi="Arial"/>
          <w:color w:val="1A1A1A"/>
          <w:sz w:val="22"/>
          <w:szCs w:val="22"/>
        </w:rPr>
        <w:t xml:space="preserve">Register their own signing key via /.well-known/now-registry-key.</w:t>
      </w:r>
    </w:p>
    <w:p>
      <w:pPr>
        <w:pStyle w:val="ListParagraph"/>
        <w:numPr>
          <w:ilvl w:val="0"/>
          <w:numId w:val="2"/>
        </w:numPr>
        <w:spacing w:before="40" w:after="40"/>
      </w:pPr>
      <w:r>
        <w:rPr>
          <w:rFonts w:ascii="Arial" w:cs="Arial" w:eastAsia="Arial" w:hAnsi="Arial"/>
          <w:color w:val="1A1A1A"/>
          <w:sz w:val="22"/>
          <w:szCs w:val="22"/>
        </w:rPr>
        <w:t xml:space="preserve">Are declared in now.pasta repos[] with auth: "token" to supply credentials.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ℹ</w:t>
            </w:r>
          </w:p>
        </w:tc>
        <w:tc>
          <w:tcPr>
            <w:tcW w:type="dxa" w:w="8760"/>
            <w:tcBorders>
              <w:top w:val="none" w:color="FFFFFF" w:sz="0"/>
              <w:left w:val="none" w:color="FFFFFF" w:sz="0"/>
              <w:bottom w:val="none" w:color="FFFFFF" w:sz="0"/>
              <w:right w:val="none" w:color="FFFFFF" w:sz="0"/>
            </w:tcBorders>
            <w:shd w:fill="EBF3FA" w:val="clear"/>
            <w:tcMar>
              <w:top w:type="dxa" w:w="100"/>
              <w:left w:type="dxa" w:w="160"/>
              <w:bottom w:type="dxa" w:w="100"/>
              <w:right w:type="dxa" w:w="160"/>
            </w:tcMar>
          </w:tcPr>
          <w:p>
            <w:r>
              <w:rPr>
                <w:rFonts w:ascii="Arial" w:cs="Arial" w:eastAsia="Arial" w:hAnsi="Arial"/>
                <w:color w:val="1A1A1A"/>
                <w:sz w:val="20"/>
                <w:szCs w:val="20"/>
              </w:rPr>
              <w:t xml:space="preserve">The open-source cookbook repository ships a Docker Compose file for local development and a Helm chart for Kubernetes deployment.</w:t>
            </w:r>
          </w:p>
        </w:tc>
      </w:tr>
    </w:tbl>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10.4  Distributed Topology — Future Direction</w:t>
      </w:r>
    </w:p>
    <w:p>
      <w:pPr>
        <w:spacing w:before="60" w:after="100"/>
      </w:pPr>
      <w:r>
        <w:rPr>
          <w:rFonts w:ascii="Arial" w:cs="Arial" w:eastAsia="Arial" w:hAnsi="Arial"/>
          <w:color w:val="1A1A1A"/>
          <w:sz w:val="22"/>
          <w:szCs w:val="22"/>
        </w:rPr>
        <w:t xml:space="preserve">This section describes a post-v1 scaling architecture. It is documented here to establish design intent and ensure v1 decisions do not foreclose it. No v1 implementation work is implied.</w:t>
      </w:r>
    </w:p>
    <w:p>
      <w:pPr>
        <w:spacing w:before="0" w:after="80"/>
      </w:pPr>
      <w:r>
        <w:t xml:space="preserve"/>
      </w:r>
    </w:p>
    <w:p>
      <w:pPr>
        <w:pStyle w:val="Heading3"/>
        <w:spacing w:before="240" w:after="80"/>
      </w:pPr>
      <w:r>
        <w:rPr>
          <w:rFonts w:ascii="Arial" w:cs="Arial" w:eastAsia="Arial" w:hAnsi="Arial"/>
          <w:b/>
          <w:bCs/>
          <w:color w:val="2E75B6"/>
          <w:sz w:val="24"/>
          <w:szCs w:val="24"/>
        </w:rPr>
        <w:t xml:space="preserve">Pull-through cache mesh</w:t>
      </w:r>
    </w:p>
    <w:p>
      <w:pPr>
        <w:spacing w:before="60" w:after="100"/>
      </w:pPr>
      <w:r>
        <w:rPr>
          <w:rFonts w:ascii="Arial" w:cs="Arial" w:eastAsia="Arial" w:hAnsi="Arial"/>
          <w:color w:val="1A1A1A"/>
          <w:sz w:val="22"/>
          <w:szCs w:val="22"/>
        </w:rPr>
        <w:t xml:space="preserve">The target model is a grid of cookbook instances that transparently serve each other's cached artifacts on a miss. This works cleanly because of artifact immutability: a coordinate resolves to exactly one artifact forever, so any node that has it can serve it authoritatively. There is no cache invalidation problem, only a cache population problem.</w:t>
      </w:r>
    </w:p>
    <w:p>
      <w:pPr>
        <w:spacing w:before="0" w:after="80"/>
      </w:pPr>
      <w:r>
        <w:t xml:space="preserve"/>
      </w:r>
    </w:p>
    <w:p>
      <w:pPr>
        <w:spacing w:before="60" w:after="100"/>
      </w:pPr>
      <w:r>
        <w:rPr>
          <w:rFonts w:ascii="Arial" w:cs="Arial" w:eastAsia="Arial" w:hAnsi="Arial"/>
          <w:color w:val="1A1A1A"/>
          <w:sz w:val="22"/>
          <w:szCs w:val="22"/>
        </w:rPr>
        <w:t xml:space="preserve">The grid operates on a clear origin vs. peer distinction. One node is the write authority per group namespace — the only node that accepts PUT /artifact for that group. Peer nodes are read-only; they pull artifacts from the origin on a cache miss and serve subsequent requests locally. This keeps publish semantics simple and avoids split-brain on concurrent writes.</w:t>
      </w:r>
    </w:p>
    <w:p>
      <w:pPr>
        <w:spacing w:before="0" w:after="80"/>
      </w:pPr>
      <w:r>
        <w:t xml:space="preserve"/>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Client → Peer node (cache miss)</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Peer node → Origin node (pull artifact)</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Peer node stores locally → serves client</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Subsequent requests → Peer node serves directly</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Client → Peer node (cache hit) → serves directly</w:t>
      </w:r>
    </w:p>
    <w:p>
      <w:pPr>
        <w:spacing w:before="0" w:after="80"/>
      </w:pPr>
      <w:r>
        <w:t xml:space="preserve"/>
      </w:r>
    </w:p>
    <w:p>
      <w:pPr>
        <w:pStyle w:val="Heading3"/>
        <w:spacing w:before="240" w:after="80"/>
      </w:pPr>
      <w:r>
        <w:rPr>
          <w:rFonts w:ascii="Arial" w:cs="Arial" w:eastAsia="Arial" w:hAnsi="Arial"/>
          <w:b/>
          <w:bCs/>
          <w:color w:val="2E75B6"/>
          <w:sz w:val="24"/>
          <w:szCs w:val="24"/>
        </w:rPr>
        <w:t xml:space="preserve">Yank propagation</w:t>
      </w:r>
    </w:p>
    <w:p>
      <w:pPr>
        <w:spacing w:before="60" w:after="100"/>
      </w:pPr>
      <w:r>
        <w:rPr>
          <w:rFonts w:ascii="Arial" w:cs="Arial" w:eastAsia="Arial" w:hAnsi="Arial"/>
          <w:color w:val="1A1A1A"/>
          <w:sz w:val="22"/>
          <w:szCs w:val="22"/>
        </w:rPr>
        <w:t xml:space="preserve">Yank state is the one mutable exception to immutability. A yanked coordinate must be excluded from /resolve across all nodes. In v1, all nodes share a single Postgres instance — yank propagates instantly. In the grid model, nodes either share Postgres (simplest, one coordination point) or run a lightweight gossip protocol for yank events only. The shared Postgres model is preferred; it preserves the existing metadata architecture and defers distributed consensus complexity to the database layer where it belongs.</w:t>
      </w:r>
    </w:p>
    <w:p>
      <w:pPr>
        <w:spacing w:before="0" w:after="80"/>
      </w:pPr>
      <w:r>
        <w:t xml:space="preserve"/>
      </w:r>
    </w:p>
    <w:p>
      <w:pPr>
        <w:pStyle w:val="Heading3"/>
        <w:spacing w:before="240" w:after="80"/>
      </w:pPr>
      <w:r>
        <w:rPr>
          <w:rFonts w:ascii="Arial" w:cs="Arial" w:eastAsia="Arial" w:hAnsi="Arial"/>
          <w:b/>
          <w:bCs/>
          <w:color w:val="2E75B6"/>
          <w:sz w:val="24"/>
          <w:szCs w:val="24"/>
        </w:rPr>
        <w:t xml:space="preserve">Client transparency</w:t>
      </w:r>
    </w:p>
    <w:p>
      <w:pPr>
        <w:spacing w:before="60" w:after="100"/>
      </w:pPr>
      <w:r>
        <w:rPr>
          <w:rFonts w:ascii="Arial" w:cs="Arial" w:eastAsia="Arial" w:hAnsi="Arial"/>
          <w:color w:val="1A1A1A"/>
          <w:sz w:val="22"/>
          <w:szCs w:val="22"/>
        </w:rPr>
        <w:t xml:space="preserve">Peer nodes serve artifacts via 302 redirect to a presigned S3 URL on a miss rather than proxying the bytes. This is consistent with how v1 serves from S3 already, keeps peer nodes stateless for artifacts they have not yet cached, and allows the client to download directly from storage without the peer node becoming a bandwidth bottleneck. Pull-through caching (peer fetches, stores, then serves) is a named upgrade path once operational data justifies the added complexity.</w:t>
      </w:r>
    </w:p>
    <w:p>
      <w:pPr>
        <w:spacing w:before="0" w:after="80"/>
      </w:pPr>
      <w:r>
        <w:t xml:space="preserve"/>
      </w:r>
    </w:p>
    <w:p>
      <w:pPr>
        <w:pStyle w:val="Heading3"/>
        <w:spacing w:before="240" w:after="80"/>
      </w:pPr>
      <w:r>
        <w:rPr>
          <w:rFonts w:ascii="Arial" w:cs="Arial" w:eastAsia="Arial" w:hAnsi="Arial"/>
          <w:b/>
          <w:bCs/>
          <w:color w:val="2E75B6"/>
          <w:sz w:val="24"/>
          <w:szCs w:val="24"/>
        </w:rPr>
        <w:t xml:space="preserve">Disaster recovery and self-healing</w:t>
      </w:r>
    </w:p>
    <w:p>
      <w:pPr>
        <w:spacing w:before="60" w:after="100"/>
      </w:pPr>
      <w:r>
        <w:rPr>
          <w:rFonts w:ascii="Arial" w:cs="Arial" w:eastAsia="Arial" w:hAnsi="Arial"/>
          <w:color w:val="1A1A1A"/>
          <w:sz w:val="22"/>
          <w:szCs w:val="22"/>
        </w:rPr>
        <w:t xml:space="preserve">Write leader failure is a Postgres failover event, not a cookbook event. With a managed HA Postgres (Patroni, RDS Multi-AZ, or equivalent), the standby promotes automatically and cookbook instances reconnect to the new primary. The S3 object store is independently highly available.</w:t>
      </w:r>
    </w:p>
    <w:p>
      <w:pPr>
        <w:spacing w:before="0" w:after="80"/>
      </w:pPr>
      <w:r>
        <w:t xml:space="preserve"/>
      </w:r>
    </w:p>
    <w:p>
      <w:pPr>
        <w:spacing w:before="60" w:after="100"/>
      </w:pPr>
      <w:r>
        <w:rPr>
          <w:rFonts w:ascii="Arial" w:cs="Arial" w:eastAsia="Arial" w:hAnsi="Arial"/>
          <w:color w:val="1A1A1A"/>
          <w:sz w:val="22"/>
          <w:szCs w:val="22"/>
        </w:rPr>
        <w:t xml:space="preserve">In-flight publishes during a failover window are handled by the two-phase write protocol (§4.2). A publish that completed S3 upload but did not flip the Postgres row to 'published' before failover will be found by the reconciliation job after promotion and either retried or marked failed. No manual intervention is required; the slot becomes available for the publisher to retry.</w:t>
      </w:r>
    </w:p>
    <w:p>
      <w:pPr>
        <w:spacing w:before="0" w:after="80"/>
      </w:pPr>
      <w:r>
        <w:t xml:space="preserve"/>
      </w:r>
    </w:p>
    <w:p>
      <w:pPr>
        <w:spacing w:before="60" w:after="100"/>
      </w:pPr>
      <w:r>
        <w:rPr>
          <w:rFonts w:ascii="Arial" w:cs="Arial" w:eastAsia="Arial" w:hAnsi="Arial"/>
          <w:color w:val="1A1A1A"/>
          <w:sz w:val="22"/>
          <w:szCs w:val="22"/>
        </w:rPr>
        <w:t xml:space="preserve">Peer node failures require no recovery. Peers are stateless HTTP processes fronting their local S3 cache. Clients route to available peers; a failed peer is simply not routed to. Restart is sufficient.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ℹ</w:t>
            </w:r>
          </w:p>
        </w:tc>
        <w:tc>
          <w:tcPr>
            <w:tcW w:type="dxa" w:w="8760"/>
            <w:tcBorders>
              <w:top w:val="none" w:color="FFFFFF" w:sz="0"/>
              <w:left w:val="none" w:color="FFFFFF" w:sz="0"/>
              <w:bottom w:val="none" w:color="FFFFFF" w:sz="0"/>
              <w:right w:val="none" w:color="FFFFFF" w:sz="0"/>
            </w:tcBorders>
            <w:shd w:fill="EBF3FA" w:val="clear"/>
            <w:tcMar>
              <w:top w:type="dxa" w:w="100"/>
              <w:left w:type="dxa" w:w="160"/>
              <w:bottom w:type="dxa" w:w="100"/>
              <w:right w:type="dxa" w:w="160"/>
            </w:tcMar>
          </w:tcPr>
          <w:p>
            <w:r>
              <w:rPr>
                <w:rFonts w:ascii="Arial" w:cs="Arial" w:eastAsia="Arial" w:hAnsi="Arial"/>
                <w:color w:val="1A1A1A"/>
                <w:sz w:val="20"/>
                <w:szCs w:val="20"/>
              </w:rPr>
              <w:t xml:space="preserve">The grid topology is post-v1. v1 ships as a single-origin service with Postgres HA and S3 redundancy. The peer node model is designed to be additive — no v1 protocol or schema changes are required to introduce peers later.</w:t>
            </w:r>
          </w:p>
        </w:tc>
      </w:tr>
    </w:tbl>
    <w:p>
      <w:pPr>
        <w:spacing w:before="0" w:after="80"/>
      </w:pPr>
      <w:r>
        <w:t xml:space="preserve"/>
      </w:r>
    </w:p>
    <w:p>
      <w:r>
        <w:br w:type="page"/>
      </w:r>
    </w:p>
    <w:p>
      <w:pPr>
        <w:pStyle w:val="Heading1"/>
        <w:pBdr>
          <w:bottom w:val="single" w:color="2E75B6" w:sz="4"/>
        </w:pBdr>
        <w:shd w:fill="1A3A5C" w:val="clear"/>
        <w:spacing w:before="360" w:after="160"/>
        <w:ind w:left="200" w:right="200"/>
      </w:pPr>
      <w:r>
        <w:rPr>
          <w:rFonts w:ascii="Arial" w:cs="Arial" w:eastAsia="Arial" w:hAnsi="Arial"/>
          <w:b/>
          <w:bCs/>
          <w:color w:val="FFFFFF"/>
          <w:sz w:val="36"/>
          <w:szCs w:val="36"/>
        </w:rPr>
        <w:t xml:space="preserve">11  Implementation Plan</w:t>
      </w:r>
    </w:p>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11.1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6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Phase 1 choice (CMake / bootstrap)</w:t>
            </w:r>
          </w:p>
        </w:tc>
        <w:tc>
          <w:tcPr>
            <w:tcW w:type="dxa" w:w="376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Phase 2 choice (after now migration)</w:t>
            </w:r>
          </w:p>
        </w:tc>
      </w:tr>
      <w:tr>
        <w:tc>
          <w:tcPr>
            <w:tcW w:type="dxa" w:w="20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Language</w:t>
            </w:r>
          </w:p>
        </w:tc>
        <w:tc>
          <w:tcPr>
            <w:tcW w:type="dxa" w:w="36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 (C11)</w:t>
            </w:r>
          </w:p>
        </w:tc>
        <w:tc>
          <w:tcPr>
            <w:tcW w:type="dxa" w:w="37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 — no change planned; see §11.2</w:t>
            </w:r>
          </w:p>
        </w:tc>
      </w:tr>
      <w:tr>
        <w:tc>
          <w:tcPr>
            <w:tcW w:type="dxa" w:w="20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HTTP server</w:t>
            </w:r>
          </w:p>
        </w:tc>
        <w:tc>
          <w:tcPr>
            <w:tcW w:type="dxa" w:w="36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mongoose (single-file embed) or libmicrohttpd</w:t>
            </w:r>
          </w:p>
        </w:tc>
        <w:tc>
          <w:tcPr>
            <w:tcW w:type="dxa" w:w="37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Same</w:t>
            </w:r>
          </w:p>
        </w:tc>
      </w:tr>
      <w:tr>
        <w:tc>
          <w:tcPr>
            <w:tcW w:type="dxa" w:w="20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Pasta parsing</w:t>
            </w:r>
          </w:p>
        </w:tc>
        <w:tc>
          <w:tcPr>
            <w:tcW w:type="dxa" w:w="36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libpasta — native C, no bridging</w:t>
            </w:r>
          </w:p>
        </w:tc>
        <w:tc>
          <w:tcPr>
            <w:tcW w:type="dxa" w:w="37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libpasta via now dep</w:t>
            </w:r>
          </w:p>
        </w:tc>
      </w:tr>
      <w:tr>
        <w:tc>
          <w:tcPr>
            <w:tcW w:type="dxa" w:w="20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Database</w:t>
            </w:r>
          </w:p>
        </w:tc>
        <w:tc>
          <w:tcPr>
            <w:tcW w:type="dxa" w:w="36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Postgres 15+ (libpq)</w:t>
            </w:r>
          </w:p>
        </w:tc>
        <w:tc>
          <w:tcPr>
            <w:tcW w:type="dxa" w:w="37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Same</w:t>
            </w:r>
          </w:p>
        </w:tc>
      </w:tr>
      <w:tr>
        <w:tc>
          <w:tcPr>
            <w:tcW w:type="dxa" w:w="20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Object store client</w:t>
            </w:r>
          </w:p>
        </w:tc>
        <w:tc>
          <w:tcPr>
            <w:tcW w:type="dxa" w:w="36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libcurl + AWS Sig V4 (or MinIO C SDK)</w:t>
            </w:r>
          </w:p>
        </w:tc>
        <w:tc>
          <w:tcPr>
            <w:tcW w:type="dxa" w:w="37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Same</w:t>
            </w:r>
          </w:p>
        </w:tc>
      </w:tr>
      <w:tr>
        <w:tc>
          <w:tcPr>
            <w:tcW w:type="dxa" w:w="20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Signing</w:t>
            </w:r>
          </w:p>
        </w:tc>
        <w:tc>
          <w:tcPr>
            <w:tcW w:type="dxa" w:w="36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libsodium (Ed25519 / minisign-compatible)</w:t>
            </w:r>
          </w:p>
        </w:tc>
        <w:tc>
          <w:tcPr>
            <w:tcW w:type="dxa" w:w="37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Same</w:t>
            </w:r>
          </w:p>
        </w:tc>
      </w:tr>
      <w:tr>
        <w:tc>
          <w:tcPr>
            <w:tcW w:type="dxa" w:w="20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Auth</w:t>
            </w:r>
          </w:p>
        </w:tc>
        <w:tc>
          <w:tcPr>
            <w:tcW w:type="dxa" w:w="36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verified via libsodium / libjwt</w:t>
            </w:r>
          </w:p>
        </w:tc>
        <w:tc>
          <w:tcPr>
            <w:tcW w:type="dxa" w:w="37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Same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4701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t>
            </w:r>
          </w:p>
        </w:tc>
        <w:tc>
          <w:tcPr>
            <w:tcW w:type="dxa" w:w="8760"/>
            <w:tcBorders>
              <w:top w:val="none" w:color="FFFFFF" w:sz="0"/>
              <w:left w:val="none" w:color="FFFFFF" w:sz="0"/>
              <w:bottom w:val="none" w:color="FFFFFF" w:sz="0"/>
              <w:right w:val="none" w:color="FFFFFF" w:sz="0"/>
            </w:tcBorders>
            <w:shd w:fill="FDF3E7" w:val="clear"/>
            <w:tcMar>
              <w:top w:type="dxa" w:w="100"/>
              <w:left w:type="dxa" w:w="160"/>
              <w:bottom w:type="dxa" w:w="100"/>
              <w:right w:type="dxa" w:w="160"/>
            </w:tcMar>
          </w:tcPr>
          <w:p>
            <w:r>
              <w:rPr>
                <w:rFonts w:ascii="Arial" w:cs="Arial" w:eastAsia="Arial" w:hAnsi="Arial"/>
                <w:color w:val="1A1A1A"/>
                <w:sz w:val="20"/>
                <w:szCs w:val="20"/>
              </w:rPr>
              <w:t xml:space="preserve">Go was proposed in v1.0 of this document. The now team correctly identified that Go + CGo for libpasta integration defeats Go's cross-compilation advantage and violates the C-only bootstrap constraint. The stack is C throughout. libpasta integrates natively with no bridging layer. The CMake build has one toolchain.</w:t>
            </w:r>
          </w:p>
        </w:tc>
      </w:tr>
    </w:tbl>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11.2  Bootstrap Strategy — The Cyclic Dependency</w:t>
      </w:r>
    </w:p>
    <w:p>
      <w:pPr>
        <w:spacing w:before="60" w:after="100"/>
      </w:pPr>
      <w:r>
        <w:rPr>
          <w:rFonts w:ascii="Arial" w:cs="Arial" w:eastAsia="Arial" w:hAnsi="Arial"/>
          <w:color w:val="1A1A1A"/>
          <w:sz w:val="22"/>
          <w:szCs w:val="22"/>
        </w:rPr>
        <w:t xml:space="preserve">cookbook cannot be built with now during its initial development phase for a straightforward reason: now depends on cookbook (to resolve and fetch its own dependencies), and cookbook does not yet exist. Building cookbook with now before the registry is live would require the registry to already be live.</w:t>
      </w:r>
    </w:p>
    <w:p>
      <w:pPr>
        <w:spacing w:before="0" w:after="80"/>
      </w:pPr>
      <w:r>
        <w:t xml:space="preserve"/>
      </w:r>
    </w:p>
    <w:p>
      <w:pPr>
        <w:spacing w:before="60" w:after="100"/>
      </w:pPr>
      <w:r>
        <w:rPr>
          <w:rFonts w:ascii="Arial" w:cs="Arial" w:eastAsia="Arial" w:hAnsi="Arial"/>
          <w:color w:val="1A1A1A"/>
          <w:sz w:val="22"/>
          <w:szCs w:val="22"/>
        </w:rPr>
        <w:t xml:space="preserve">This is the same situation Pasta faced: a library that now will eventually consume, developed before now itself was stable. Pasta solved it with CMake and a documented migration commitment. cookbook follows the same pattern.</w:t>
      </w:r>
    </w:p>
    <w:p>
      <w:pPr>
        <w:spacing w:before="0" w:after="80"/>
      </w:pPr>
      <w:r>
        <w:t xml:space="preserve"/>
      </w:r>
    </w:p>
    <w:p>
      <w:pPr>
        <w:pStyle w:val="Heading3"/>
        <w:spacing w:before="240" w:after="80"/>
      </w:pPr>
      <w:r>
        <w:rPr>
          <w:rFonts w:ascii="Arial" w:cs="Arial" w:eastAsia="Arial" w:hAnsi="Arial"/>
          <w:b/>
          <w:bCs/>
          <w:color w:val="2E75B6"/>
          <w:sz w:val="24"/>
          <w:szCs w:val="24"/>
        </w:rPr>
        <w:t xml:space="preserve">Phase 1 — CMake (bootstrap, now in early development)</w:t>
      </w:r>
    </w:p>
    <w:p>
      <w:pPr>
        <w:spacing w:before="60" w:after="100"/>
      </w:pPr>
      <w:r>
        <w:rPr>
          <w:rFonts w:ascii="Arial" w:cs="Arial" w:eastAsia="Arial" w:hAnsi="Arial"/>
          <w:color w:val="1A1A1A"/>
          <w:sz w:val="22"/>
          <w:szCs w:val="22"/>
        </w:rPr>
        <w:t xml:space="preserve">cookbook is built with CMake for as long as now is not production-ready. The CMake build is the authoritative build during this phase. It is not a stopgap to be ashamed of — it is the correct tool for the job at this stage.</w:t>
      </w:r>
    </w:p>
    <w:p>
      <w:pPr>
        <w:spacing w:before="0" w:after="80"/>
      </w:pPr>
      <w:r>
        <w:t xml:space="preserve"/>
      </w:r>
    </w:p>
    <w:p>
      <w:pPr>
        <w:spacing w:before="60" w:after="100"/>
      </w:pPr>
      <w:r>
        <w:rPr>
          <w:rFonts w:ascii="Arial" w:cs="Arial" w:eastAsia="Arial" w:hAnsi="Arial"/>
          <w:color w:val="1A1A1A"/>
          <w:sz w:val="22"/>
          <w:szCs w:val="22"/>
        </w:rPr>
        <w:t xml:space="preserve">CMakeLists.txt responsibilities during Phase 1:</w:t>
      </w:r>
    </w:p>
    <w:p>
      <w:pPr>
        <w:pStyle w:val="ListParagraph"/>
        <w:numPr>
          <w:ilvl w:val="0"/>
          <w:numId w:val="2"/>
        </w:numPr>
        <w:spacing w:before="40" w:after="40"/>
      </w:pPr>
      <w:r>
        <w:rPr>
          <w:rFonts w:ascii="Arial" w:cs="Arial" w:eastAsia="Arial" w:hAnsi="Arial"/>
          <w:color w:val="1A1A1A"/>
          <w:sz w:val="22"/>
          <w:szCs w:val="22"/>
        </w:rPr>
        <w:t xml:space="preserve">Locate libpasta via find_package(pasta) or a vendored copy under vendor/pasta/ built as a CMake subdirectory — identical to how Pasta's own CMakeLists.txt is structured.</w:t>
      </w:r>
    </w:p>
    <w:p>
      <w:pPr>
        <w:pStyle w:val="ListParagraph"/>
        <w:numPr>
          <w:ilvl w:val="0"/>
          <w:numId w:val="2"/>
        </w:numPr>
        <w:spacing w:before="40" w:after="40"/>
      </w:pPr>
      <w:r>
        <w:rPr>
          <w:rFonts w:ascii="Arial" w:cs="Arial" w:eastAsia="Arial" w:hAnsi="Arial"/>
          <w:color w:val="1A1A1A"/>
          <w:sz w:val="22"/>
          <w:szCs w:val="22"/>
        </w:rPr>
        <w:t xml:space="preserve">Link mongoose (or libmicrohttpd) and libsodium as ExternalProject or system dependencies. No Go toolchain; no CGo.</w:t>
      </w:r>
    </w:p>
    <w:p>
      <w:pPr>
        <w:pStyle w:val="ListParagraph"/>
        <w:numPr>
          <w:ilvl w:val="0"/>
          <w:numId w:val="2"/>
        </w:numPr>
        <w:spacing w:before="40" w:after="40"/>
      </w:pPr>
      <w:r>
        <w:rPr>
          <w:rFonts w:ascii="Arial" w:cs="Arial" w:eastAsia="Arial" w:hAnsi="Arial"/>
          <w:color w:val="1A1A1A"/>
          <w:sz w:val="22"/>
          <w:szCs w:val="22"/>
        </w:rPr>
        <w:t xml:space="preserve">Produce the cookbook binary and an install target under a conventional prefix.</w:t>
      </w:r>
    </w:p>
    <w:p>
      <w:pPr>
        <w:pStyle w:val="ListParagraph"/>
        <w:numPr>
          <w:ilvl w:val="0"/>
          <w:numId w:val="2"/>
        </w:numPr>
        <w:spacing w:before="40" w:after="40"/>
      </w:pPr>
      <w:r>
        <w:rPr>
          <w:rFonts w:ascii="Arial" w:cs="Arial" w:eastAsia="Arial" w:hAnsi="Arial"/>
          <w:color w:val="1A1A1A"/>
          <w:sz w:val="22"/>
          <w:szCs w:val="22"/>
        </w:rPr>
        <w:t xml:space="preserve">CMakePresets.json mirrors Pasta's: default/release (Ninja), macos-arm64, Windows MSVC, Linux musl cross-compile. One toolchain, one language, same target matrix as the rest of the now ecosystem.</w:t>
      </w:r>
    </w:p>
    <w:p>
      <w:pPr>
        <w:spacing w:before="0" w:after="80"/>
      </w:pPr>
      <w:r>
        <w:t xml:space="preserve"/>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Phase 1 directory layout</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cookbook/</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CMakeLists.txt</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CMakePresets.json</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vendor/</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pasta/          ; libpasta source — CMake subdirectory</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mongoose/       ; HTTP server — single .c/.h pair</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libsodium/      ; signing and JWT verification</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src/</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main/c/         ; all service code — C11</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main/h/         ; public headers</w:t>
      </w:r>
    </w:p>
    <w:p>
      <w:pPr>
        <w:pBdr>
          <w:left w:val="single" w:color="2E75B6" w:sz="6" w:space="4"/>
        </w:pBdr>
        <w:shd w:fill="F0F4F8" w:val="clear"/>
        <w:spacing w:before="60" w:after="60"/>
        <w:ind w:left="360" w:right="360"/>
      </w:pPr>
      <w:r>
        <w:rPr>
          <w:rFonts w:ascii="Courier New" w:cs="Courier New" w:eastAsia="Courier New" w:hAnsi="Courier New"/>
          <w:color w:val="2B4B7E"/>
          <w:sz w:val="18"/>
          <w:szCs w:val="18"/>
        </w:rPr>
        <w:t xml:space="preserve">    test/c/         ; test suite</w:t>
      </w:r>
    </w:p>
    <w:p>
      <w:pPr>
        <w:spacing w:before="0" w:after="80"/>
      </w:pPr>
      <w:r>
        <w:t xml:space="preserve"/>
      </w:r>
    </w:p>
    <w:p>
      <w:pPr>
        <w:pStyle w:val="Heading3"/>
        <w:spacing w:before="240" w:after="80"/>
      </w:pPr>
      <w:r>
        <w:rPr>
          <w:rFonts w:ascii="Arial" w:cs="Arial" w:eastAsia="Arial" w:hAnsi="Arial"/>
          <w:b/>
          <w:bCs/>
          <w:color w:val="2E75B6"/>
          <w:sz w:val="24"/>
          <w:szCs w:val="24"/>
        </w:rPr>
        <w:t xml:space="preserve">Phase 2 — Migration to now (after now reaches production stability)</w:t>
      </w:r>
    </w:p>
    <w:p>
      <w:pPr>
        <w:spacing w:before="60" w:after="100"/>
      </w:pPr>
      <w:r>
        <w:rPr>
          <w:rFonts w:ascii="Arial" w:cs="Arial" w:eastAsia="Arial" w:hAnsi="Arial"/>
          <w:color w:val="1A1A1A"/>
          <w:sz w:val="22"/>
          <w:szCs w:val="22"/>
        </w:rPr>
        <w:t xml:space="preserve">Once now is self-hosting and cookbook is live, the build migration is mechanical. The language does not change — cookbook remains C throughout:</w:t>
      </w:r>
    </w:p>
    <w:p>
      <w:pPr>
        <w:pStyle w:val="ListParagraph"/>
        <w:numPr>
          <w:ilvl w:val="0"/>
          <w:numId w:val="2"/>
        </w:numPr>
        <w:spacing w:before="40" w:after="40"/>
      </w:pPr>
      <w:r>
        <w:rPr>
          <w:rFonts w:ascii="Arial" w:cs="Arial" w:eastAsia="Arial" w:hAnsi="Arial"/>
          <w:color w:val="1A1A1A"/>
          <w:sz w:val="22"/>
          <w:szCs w:val="22"/>
        </w:rPr>
        <w:t xml:space="preserve">Add now.pasta at the project root (group: "now.build", artifact: "cookbook", lang: "c").</w:t>
      </w:r>
    </w:p>
    <w:p>
      <w:pPr>
        <w:pStyle w:val="ListParagraph"/>
        <w:numPr>
          <w:ilvl w:val="0"/>
          <w:numId w:val="2"/>
        </w:numPr>
        <w:spacing w:before="40" w:after="40"/>
      </w:pPr>
      <w:r>
        <w:rPr>
          <w:rFonts w:ascii="Arial" w:cs="Arial" w:eastAsia="Arial" w:hAnsi="Arial"/>
          <w:color w:val="1A1A1A"/>
          <w:sz w:val="22"/>
          <w:szCs w:val="22"/>
        </w:rPr>
        <w:t xml:space="preserve">Declare libpasta, libsodium, and the HTTP server library as deps[] resolved from the live registry.</w:t>
      </w:r>
    </w:p>
    <w:p>
      <w:pPr>
        <w:pStyle w:val="ListParagraph"/>
        <w:numPr>
          <w:ilvl w:val="0"/>
          <w:numId w:val="2"/>
        </w:numPr>
        <w:spacing w:before="40" w:after="40"/>
      </w:pPr>
      <w:r>
        <w:rPr>
          <w:rFonts w:ascii="Arial" w:cs="Arial" w:eastAsia="Arial" w:hAnsi="Arial"/>
          <w:color w:val="1A1A1A"/>
          <w:sz w:val="22"/>
          <w:szCs w:val="22"/>
        </w:rPr>
        <w:t xml:space="preserve">Keep CMakeLists.txt in the repository, clearly marked as the legacy bootstrap build, until the team has validated the now build on all CI targets.</w:t>
      </w:r>
    </w:p>
    <w:p>
      <w:pPr>
        <w:pStyle w:val="ListParagraph"/>
        <w:numPr>
          <w:ilvl w:val="0"/>
          <w:numId w:val="2"/>
        </w:numPr>
        <w:spacing w:before="40" w:after="40"/>
      </w:pPr>
      <w:r>
        <w:rPr>
          <w:rFonts w:ascii="Arial" w:cs="Arial" w:eastAsia="Arial" w:hAnsi="Arial"/>
          <w:color w:val="1A1A1A"/>
          <w:sz w:val="22"/>
          <w:szCs w:val="22"/>
        </w:rPr>
        <w:t xml:space="preserve">Remove CMakeLists.txt in the first release after the now build is confirmed stable — matching exactly what the Pasta team did.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ℹ</w:t>
            </w:r>
          </w:p>
        </w:tc>
        <w:tc>
          <w:tcPr>
            <w:tcW w:type="dxa" w:w="8760"/>
            <w:tcBorders>
              <w:top w:val="none" w:color="FFFFFF" w:sz="0"/>
              <w:left w:val="none" w:color="FFFFFF" w:sz="0"/>
              <w:bottom w:val="none" w:color="FFFFFF" w:sz="0"/>
              <w:right w:val="none" w:color="FFFFFF" w:sz="0"/>
            </w:tcBorders>
            <w:shd w:fill="EBF3FA" w:val="clear"/>
            <w:tcMar>
              <w:top w:type="dxa" w:w="100"/>
              <w:left w:type="dxa" w:w="160"/>
              <w:bottom w:type="dxa" w:w="100"/>
              <w:right w:type="dxa" w:w="160"/>
            </w:tcMar>
          </w:tcPr>
          <w:p>
            <w:r>
              <w:rPr>
                <w:rFonts w:ascii="Arial" w:cs="Arial" w:eastAsia="Arial" w:hAnsi="Arial"/>
                <w:color w:val="1A1A1A"/>
                <w:sz w:val="20"/>
                <w:szCs w:val="20"/>
              </w:rPr>
              <w:t xml:space="preserve">The migration commit should be a single, reviewable change: add now.pasta, update CI to invoke now build, mark CMakeLists.txt deprecated. Do not delete CMake until CI is green on all platforms under now.</w:t>
            </w:r>
          </w:p>
        </w:tc>
      </w:tr>
    </w:tbl>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11.3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1600"/>
      </w:tblGrid>
      <w:tr>
        <w:trPr>
          <w:tblHeader/>
        </w:trPr>
        <w:tc>
          <w:tcPr>
            <w:tcW w:type="dxa" w:w="20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Milestone</w:t>
            </w:r>
          </w:p>
        </w:tc>
        <w:tc>
          <w:tcPr>
            <w:tcW w:type="dxa" w:w="516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Deliverables</w:t>
            </w:r>
          </w:p>
        </w:tc>
        <w:tc>
          <w:tcPr>
            <w:tcW w:type="dxa" w:w="16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Build</w:t>
            </w:r>
          </w:p>
        </w:tc>
      </w:tr>
      <w:tr>
        <w:tc>
          <w:tcPr>
            <w:tcW w:type="dxa" w:w="20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M1 — Core API</w:t>
            </w:r>
          </w:p>
        </w:tc>
        <w:tc>
          <w:tcPr>
            <w:tcW w:type="dxa" w:w="51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Resolve, fetch, publish endpoints; Postgres schema; S3 integration; JWT auth</w:t>
            </w:r>
          </w:p>
        </w:tc>
        <w:tc>
          <w:tcPr>
            <w:tcW w:type="dxa" w:w="16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CMake</w:t>
            </w:r>
          </w:p>
        </w:tc>
      </w:tr>
      <w:tr>
        <w:tc>
          <w:tcPr>
            <w:tcW w:type="dxa" w:w="20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M2 — Signing</w:t>
            </w:r>
          </w:p>
        </w:tc>
        <w:tc>
          <w:tcPr>
            <w:tcW w:type="dxa" w:w="51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Key registration, .sig verify on upload, registry countersign, /.well-known</w:t>
            </w:r>
          </w:p>
        </w:tc>
        <w:tc>
          <w:tcPr>
            <w:tcW w:type="dxa" w:w="16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CMake</w:t>
            </w:r>
          </w:p>
        </w:tc>
      </w:tr>
      <w:tr>
        <w:tc>
          <w:tcPr>
            <w:tcW w:type="dxa" w:w="20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M3 — Group ACL</w:t>
            </w:r>
          </w:p>
        </w:tc>
        <w:tc>
          <w:tcPr>
            <w:tcW w:type="dxa" w:w="51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Group registration, JWT groups claim, dependency confusion protections</w:t>
            </w:r>
          </w:p>
        </w:tc>
        <w:tc>
          <w:tcPr>
            <w:tcW w:type="dxa" w:w="16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CMake</w:t>
            </w:r>
          </w:p>
        </w:tc>
      </w:tr>
      <w:tr>
        <w:tc>
          <w:tcPr>
            <w:tcW w:type="dxa" w:w="20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M4 — Mirror</w:t>
            </w:r>
          </w:p>
        </w:tc>
        <w:tc>
          <w:tcPr>
            <w:tcW w:type="dxa" w:w="51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Mirror manifest endpoint, now cache --mirror compatibility</w:t>
            </w:r>
          </w:p>
        </w:tc>
        <w:tc>
          <w:tcPr>
            <w:tcW w:type="dxa" w:w="16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CMake</w:t>
            </w:r>
          </w:p>
        </w:tc>
      </w:tr>
      <w:tr>
        <w:tc>
          <w:tcPr>
            <w:tcW w:type="dxa" w:w="20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M5 — Hardening</w:t>
            </w:r>
          </w:p>
        </w:tc>
        <w:tc>
          <w:tcPr>
            <w:tcW w:type="dxa" w:w="51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Rate limiting, max upload size, yank, integration test suite, Docker + Helm</w:t>
            </w:r>
          </w:p>
        </w:tc>
        <w:tc>
          <w:tcPr>
            <w:tcW w:type="dxa" w:w="16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CMake</w:t>
            </w:r>
          </w:p>
        </w:tc>
      </w:tr>
      <w:tr>
        <w:tc>
          <w:tcPr>
            <w:tcW w:type="dxa" w:w="20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v1 Release</w:t>
            </w:r>
          </w:p>
        </w:tc>
        <w:tc>
          <w:tcPr>
            <w:tcW w:type="dxa" w:w="51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Public instance at registry.now.build/central; now default URL updated</w:t>
            </w:r>
          </w:p>
        </w:tc>
        <w:tc>
          <w:tcPr>
            <w:tcW w:type="dxa" w:w="16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CMake</w:t>
            </w:r>
          </w:p>
        </w:tc>
      </w:tr>
      <w:tr>
        <w:tc>
          <w:tcPr>
            <w:tcW w:type="dxa" w:w="20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M6 — Migration</w:t>
            </w:r>
          </w:p>
        </w:tc>
        <w:tc>
          <w:tcPr>
            <w:tcW w:type="dxa" w:w="51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Add now.pasta, validate now build on all CI targets, retire CMakeLists.txt</w:t>
            </w:r>
          </w:p>
        </w:tc>
        <w:tc>
          <w:tcPr>
            <w:tcW w:type="dxa" w:w="16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w:t>
            </w:r>
          </w:p>
        </w:tc>
      </w:tr>
    </w:tbl>
    <w:p>
      <w:pPr>
        <w:spacing w:before="0" w:after="80"/>
      </w:pPr>
      <w:r>
        <w:t xml:space="preserve"/>
      </w:r>
    </w:p>
    <w:p>
      <w:r>
        <w:br w:type="page"/>
      </w:r>
    </w:p>
    <w:p>
      <w:pPr>
        <w:pStyle w:val="Heading1"/>
        <w:pBdr>
          <w:bottom w:val="single" w:color="2E75B6" w:sz="4"/>
        </w:pBdr>
        <w:shd w:fill="1A3A5C" w:val="clear"/>
        <w:spacing w:before="360" w:after="160"/>
        <w:ind w:left="200" w:right="200"/>
      </w:pPr>
      <w:r>
        <w:rPr>
          <w:rFonts w:ascii="Arial" w:cs="Arial" w:eastAsia="Arial" w:hAnsi="Arial"/>
          <w:b/>
          <w:bCs/>
          <w:color w:val="FFFFFF"/>
          <w:sz w:val="36"/>
          <w:szCs w:val="36"/>
        </w:rPr>
        <w:t xml:space="preserve">12  Open Questions &amp; Decisions</w:t>
      </w:r>
    </w:p>
    <w:p>
      <w:pPr>
        <w:spacing w:before="60" w:after="100"/>
      </w:pPr>
      <w:r>
        <w:rPr>
          <w:rFonts w:ascii="Arial" w:cs="Arial" w:eastAsia="Arial" w:hAnsi="Arial"/>
          <w:color w:val="1A1A1A"/>
          <w:sz w:val="22"/>
          <w:szCs w:val="22"/>
        </w:rPr>
        <w:t xml:space="preserve">All five original open questions are now resolved by the now team review. One question remains open pending a now spec change.</w:t>
      </w:r>
    </w:p>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12.1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4360"/>
        <w:gridCol w:w="1400"/>
      </w:tblGrid>
      <w:tr>
        <w:trPr>
          <w:tblHeader/>
        </w:trPr>
        <w:tc>
          <w:tcPr>
            <w:tcW w:type="dxa" w:w="4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436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14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4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28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Rate limiting: per-IP or per-JWT sub?</w:t>
            </w:r>
          </w:p>
        </w:tc>
        <w:tc>
          <w:tcPr>
            <w:tcW w:type="dxa" w:w="43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JWT sub. IP throttles entire companies on shared NAT; JWT sub gives per-publisher fairness and is the correct abuse-tracking basis.</w:t>
            </w:r>
          </w:p>
        </w:tc>
        <w:tc>
          <w:tcPr>
            <w:tcW w:type="dxa" w:w="14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 team</w:t>
            </w:r>
          </w:p>
        </w:tc>
      </w:tr>
      <w:tr>
        <w:tc>
          <w:tcPr>
            <w:tcW w:type="dxa" w:w="4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28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Yanked artifact permanent deletion?</w:t>
            </w:r>
          </w:p>
        </w:tc>
        <w:tc>
          <w:tcPr>
            <w:tcW w:type="dxa" w:w="43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No delete, ever. Immutable forever. A deletion window is a supply chain attack window. Yank is sufficient.</w:t>
            </w:r>
          </w:p>
        </w:tc>
        <w:tc>
          <w:tcPr>
            <w:tcW w:type="dxa" w:w="14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now team</w:t>
            </w:r>
          </w:p>
        </w:tc>
      </w:tr>
      <w:tr>
        <w:tc>
          <w:tcPr>
            <w:tcW w:type="dxa" w:w="4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28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Multi-registry federation / proxy mode?</w:t>
            </w:r>
          </w:p>
        </w:tc>
        <w:tc>
          <w:tcPr>
            <w:tcW w:type="dxa" w:w="43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Deferred post-v1. Adds loop detection, trust chain, and cache invalidation complexity. now's resolution model already gives enterprises a clean self-host path.</w:t>
            </w:r>
          </w:p>
        </w:tc>
        <w:tc>
          <w:tcPr>
            <w:tcW w:type="dxa" w:w="14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 team</w:t>
            </w:r>
          </w:p>
        </w:tc>
      </w:tr>
      <w:tr>
        <w:tc>
          <w:tcPr>
            <w:tcW w:type="dxa" w:w="4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28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SHA-256 of now.pasta?</w:t>
            </w:r>
          </w:p>
        </w:tc>
        <w:tc>
          <w:tcPr>
            <w:tcW w:type="dxa" w:w="43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Separate now.pasta.sha256 file served by cookbook + descriptor_sha256 field in now.lock.pasta. This is a now spec §6.3 change. See §7.1.</w:t>
            </w:r>
          </w:p>
        </w:tc>
        <w:tc>
          <w:tcPr>
            <w:tcW w:type="dxa" w:w="14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now team</w:t>
            </w:r>
          </w:p>
        </w:tc>
      </w:tr>
      <w:tr>
        <w:tc>
          <w:tcPr>
            <w:tcW w:type="dxa" w:w="4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w:t>
            </w:r>
          </w:p>
        </w:tc>
        <w:tc>
          <w:tcPr>
            <w:tcW w:type="dxa" w:w="28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Maximum group depth?</w:t>
            </w:r>
          </w:p>
        </w:tc>
        <w:tc>
          <w:tcPr>
            <w:tcW w:type="dxa" w:w="43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Unbounded depth, max 128 total characters. No component cap. org.acme.internal is a valid group. Rule is formally defined in §3.1.</w:t>
            </w:r>
          </w:p>
        </w:tc>
        <w:tc>
          <w:tcPr>
            <w:tcW w:type="dxa" w:w="14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 team</w:t>
            </w:r>
          </w:p>
        </w:tc>
      </w:tr>
    </w:tbl>
    <w:p>
      <w:pPr>
        <w:spacing w:before="0" w:after="80"/>
      </w:pPr>
      <w:r>
        <w:t xml:space="preserve"/>
      </w:r>
    </w:p>
    <w:p>
      <w:pPr>
        <w:pStyle w:val="Heading2"/>
        <w:pBdr>
          <w:bottom w:val="single" w:color="2E75B6" w:sz="3" w:space="4"/>
        </w:pBdr>
        <w:spacing w:before="320" w:after="120"/>
      </w:pPr>
      <w:r>
        <w:rPr>
          <w:rFonts w:ascii="Arial" w:cs="Arial" w:eastAsia="Arial" w:hAnsi="Arial"/>
          <w:b/>
          <w:bCs/>
          <w:color w:val="1A3A5C"/>
          <w:sz w:val="28"/>
          <w:szCs w:val="28"/>
        </w:rPr>
        <w:t xml:space="preserve">12.2  Resolved — now Spec Changes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4360"/>
        <w:gridCol w:w="1200"/>
      </w:tblGrid>
      <w:tr>
        <w:trPr>
          <w:tblHeader/>
        </w:trPr>
        <w:tc>
          <w:tcPr>
            <w:tcW w:type="dxa" w:w="4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436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1200"/>
            <w:tcBorders>
              <w:top w:val="single" w:color="BECFE0" w:sz="1"/>
              <w:left w:val="single" w:color="BECFE0" w:sz="1"/>
              <w:bottom w:val="single" w:color="BECFE0" w:sz="1"/>
              <w:right w:val="single" w:color="BECFE0"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4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6</w:t>
            </w:r>
          </w:p>
        </w:tc>
        <w:tc>
          <w:tcPr>
            <w:tcW w:type="dxa" w:w="28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Auth token exchange protocol?</w:t>
            </w:r>
          </w:p>
        </w:tc>
        <w:tc>
          <w:tcPr>
            <w:tcW w:type="dxa" w:w="43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Option B — JWT exchange. token in credentials.pasta is the long-lived credential exchanged for a short-lived JWT. now spec §6.5 will be extended. M5 unblocked.</w:t>
            </w:r>
          </w:p>
        </w:tc>
        <w:tc>
          <w:tcPr>
            <w:tcW w:type="dxa" w:w="12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 team</w:t>
            </w:r>
          </w:p>
        </w:tc>
      </w:tr>
      <w:tr>
        <w:tc>
          <w:tcPr>
            <w:tcW w:type="dxa" w:w="4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7</w:t>
            </w:r>
          </w:p>
        </w:tc>
        <w:tc>
          <w:tcPr>
            <w:tcW w:type="dxa" w:w="28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Pasta MIME type registration?</w:t>
            </w:r>
          </w:p>
        </w:tc>
        <w:tc>
          <w:tcPr>
            <w:tcW w:type="dxa" w:w="436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application/x-pasta, charset=US-ASCII. Registration will be in now spec §23 (not §20 as previously noted). cookbook holds until spec block is merged.</w:t>
            </w:r>
          </w:p>
        </w:tc>
        <w:tc>
          <w:tcPr>
            <w:tcW w:type="dxa" w:w="1200"/>
            <w:tcBorders>
              <w:top w:val="single" w:color="BECFE0" w:sz="1"/>
              <w:left w:val="single" w:color="BECFE0" w:sz="1"/>
              <w:bottom w:val="single" w:color="BECFE0" w:sz="1"/>
              <w:right w:val="single" w:color="BECFE0"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now team</w:t>
            </w:r>
          </w:p>
        </w:tc>
      </w:tr>
      <w:tr>
        <w:tc>
          <w:tcPr>
            <w:tcW w:type="dxa" w:w="4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w:t>
            </w:r>
          </w:p>
        </w:tc>
        <w:tc>
          <w:tcPr>
            <w:tcW w:type="dxa" w:w="28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Lock file triple encoding?</w:t>
            </w:r>
          </w:p>
        </w:tc>
        <w:tc>
          <w:tcPr>
            <w:tcW w:type="dxa" w:w="436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Triple-specific entries, single lock file. (id, triple) is the logical primary key. Concrete url per entry — no template substitution. descriptor_sha256 is per-coordinate. See §7.1.</w:t>
            </w:r>
          </w:p>
        </w:tc>
        <w:tc>
          <w:tcPr>
            <w:tcW w:type="dxa" w:w="1200"/>
            <w:tcBorders>
              <w:top w:val="single" w:color="BECFE0" w:sz="1"/>
              <w:left w:val="single" w:color="BECFE0" w:sz="1"/>
              <w:bottom w:val="single" w:color="BECFE0" w:sz="1"/>
              <w:right w:val="single" w:color="BECF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 team</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ℹ</w:t>
            </w:r>
          </w:p>
        </w:tc>
        <w:tc>
          <w:tcPr>
            <w:tcW w:type="dxa" w:w="8760"/>
            <w:tcBorders>
              <w:top w:val="none" w:color="FFFFFF" w:sz="0"/>
              <w:left w:val="none" w:color="FFFFFF" w:sz="0"/>
              <w:bottom w:val="none" w:color="FFFFFF" w:sz="0"/>
              <w:right w:val="none" w:color="FFFFFF" w:sz="0"/>
            </w:tcBorders>
            <w:shd w:fill="EBF3FA" w:val="clear"/>
            <w:tcMar>
              <w:top w:type="dxa" w:w="100"/>
              <w:left w:type="dxa" w:w="160"/>
              <w:bottom w:type="dxa" w:w="100"/>
              <w:right w:type="dxa" w:w="160"/>
            </w:tcMar>
          </w:tcPr>
          <w:p>
            <w:r>
              <w:rPr>
                <w:rFonts w:ascii="Arial" w:cs="Arial" w:eastAsia="Arial" w:hAnsi="Arial"/>
                <w:color w:val="1A1A1A"/>
                <w:sz w:val="20"/>
                <w:szCs w:val="20"/>
              </w:rPr>
              <w:t xml:space="preserve">All open questions are resolved. No decisions are pending on either side. The now team will deliver: now spec §6.5 extension (auth exchange), now spec §23 registration (Pasta MIME), now spec §6.3 update (lock schema). cookbook proceeds to M1 on this basis.</w:t>
            </w:r>
          </w:p>
        </w:tc>
      </w:tr>
    </w:tbl>
    <w:p>
      <w:pPr>
        <w:spacing w:before="0" w:after="80"/>
      </w:pPr>
      <w:r>
        <w:t xml:space="preserve"/>
      </w:r>
    </w:p>
    <w:p>
      <w:pPr>
        <w:pBdr>
          <w:bottom w:val="single" w:color="BECFE0" w:sz="2"/>
        </w:pBdr>
        <w:spacing w:before="200" w:after="200"/>
      </w:pPr>
    </w:p>
    <w:p>
      <w:pPr>
        <w:spacing w:before="60" w:after="100"/>
        <w:jc w:val="center"/>
      </w:pPr>
      <w:r>
        <w:rPr>
          <w:rFonts w:ascii="Arial" w:cs="Arial" w:eastAsia="Arial" w:hAnsi="Arial"/>
          <w:color w:val="6B7C8E"/>
          <w:sz w:val="20"/>
          <w:szCs w:val="20"/>
        </w:rPr>
        <w:t xml:space="preserve">Document status: </w:t>
      </w:r>
      <w:r>
        <w:rPr>
          <w:rFonts w:ascii="Arial" w:cs="Arial" w:eastAsia="Arial" w:hAnsi="Arial"/>
          <w:color w:val="6B7C8E"/>
          <w:sz w:val="20"/>
          <w:szCs w:val="20"/>
        </w:rPr>
        <w:t xml:space="preserve">d3 final — §3 charset corrected; reconciliation threshold made configurable. Approved by now team. Proceed to M1.</w:t>
      </w:r>
      <w:r>
        <w:rPr>
          <w:rFonts w:ascii="Arial" w:cs="Arial" w:eastAsia="Arial" w:hAnsi="Arial"/>
          <w:color w:val="6B7C8E"/>
          <w:sz w:val="20"/>
          <w:szCs w:val="20"/>
        </w:rPr>
        <w:t xml:space="preserve">  ·  cookbook companion to now v1.1 spec  ·  2026-03-06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ECFE0" w:sz="2"/>
      </w:pBdr>
    </w:pPr>
    <w:r>
      <w:rPr>
        <w:rFonts w:ascii="Arial" w:cs="Arial" w:eastAsia="Arial" w:hAnsi="Arial"/>
        <w:color w:val="6B7C8E"/>
        <w:sz w:val="16"/>
        <w:szCs w:val="16"/>
      </w:rPr>
      <w:t xml:space="preserve">© now build project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ECFE0" w:sz="2"/>
      </w:pBdr>
      <w:tabs>
        <w:tab w:val="right" w:pos="9360"/>
      </w:tabs>
    </w:pPr>
    <w:r>
      <w:rPr>
        <w:rFonts w:ascii="Arial" w:cs="Arial" w:eastAsia="Arial" w:hAnsi="Arial"/>
        <w:color w:val="6B7C8E"/>
        <w:sz w:val="18"/>
        <w:szCs w:val="18"/>
      </w:rPr>
      <w:t xml:space="preserve">cookbook — Artifact Registry Architecture</w:t>
    </w:r>
    <w:r>
      <w:rPr>
        <w:sz w:val="18"/>
        <w:szCs w:val="18"/>
      </w:rPr>
      <w:t xml:space="preserve">		</w:t>
    </w:r>
    <w:r>
      <w:rPr>
        <w:rFonts w:ascii="Arial" w:cs="Arial" w:eastAsia="Arial" w:hAnsi="Arial"/>
        <w:color w:val="6B7C8E"/>
        <w:sz w:val="18"/>
        <w:szCs w:val="18"/>
      </w:rPr>
      <w:t xml:space="preserve">now build system companion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3A5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2026-03-06T17:10:24.203Z</dcterms:created>
  <dcterms:modified xsi:type="dcterms:W3CDTF">2026-03-06T17:10:24.203Z</dcterms:modified>
</cp:coreProperties>
</file>

<file path=docProps/custom.xml><?xml version="1.0" encoding="utf-8"?>
<Properties xmlns="http://schemas.openxmlformats.org/officeDocument/2006/custom-properties" xmlns:vt="http://schemas.openxmlformats.org/officeDocument/2006/docPropsVTypes"/>
</file>