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Relationship Id="rId3" Type="http://schemas.openxmlformats.org/package/2006/relationships/metadata/core-properties" Target="docProps/core.xml"/><Relationship Id="rId5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aa"/>
      </w:pPr>
      <w:r>
        <w:t xml:space="preserve">Лабораторная</w:t>
      </w:r>
      <w:r>
        <w:t xml:space="preserve"> </w:t>
      </w:r>
      <w:r>
        <w:t xml:space="preserve">работа</w:t>
      </w:r>
      <w:r>
        <w:t xml:space="preserve"> </w:t>
      </w:r>
      <w:r>
        <w:t xml:space="preserve">№</w:t>
      </w:r>
      <w:r>
        <w:t xml:space="preserve"> </w:t>
      </w:r>
      <w:r>
        <w:t xml:space="preserve">3.</w:t>
      </w:r>
      <w:r>
        <w:t xml:space="preserve"> </w:t>
      </w:r>
      <w:r>
        <w:t xml:space="preserve">Подготовка</w:t>
      </w:r>
      <w:r>
        <w:t xml:space="preserve"> </w:t>
      </w:r>
      <w:r>
        <w:t xml:space="preserve">изображений</w:t>
      </w:r>
      <w:r>
        <w:t xml:space="preserve"> </w:t>
      </w:r>
      <w:r>
        <w:t xml:space="preserve">и</w:t>
      </w:r>
      <w:r>
        <w:t xml:space="preserve"> </w:t>
      </w:r>
      <w:r>
        <w:t xml:space="preserve">визуализация</w:t>
      </w:r>
      <w:r>
        <w:t xml:space="preserve"> </w:t>
      </w:r>
      <w:r>
        <w:t xml:space="preserve">в</w:t>
      </w:r>
      <w:r>
        <w:t xml:space="preserve"> </w:t>
      </w:r>
      <w:r>
        <w:t xml:space="preserve">Engee</w:t>
      </w:r>
    </w:p>
    <w:p>
      <w:pPr>
        <w:pStyle w:val="ac"/>
      </w:pPr>
      <w:r>
        <w:t xml:space="preserve">Методические</w:t>
      </w:r>
      <w:r>
        <w:t xml:space="preserve"> </w:t>
      </w:r>
      <w:r>
        <w:t xml:space="preserve">указания.</w:t>
      </w:r>
      <w:r>
        <w:t xml:space="preserve"> </w:t>
      </w:r>
      <w:r>
        <w:t xml:space="preserve">Дисциплина</w:t>
      </w:r>
      <w:r>
        <w:t xml:space="preserve"> </w:t>
      </w:r>
      <w:r>
        <w:t xml:space="preserve">«Искусственный</w:t>
      </w:r>
      <w:r>
        <w:t xml:space="preserve"> </w:t>
      </w:r>
      <w:r>
        <w:t xml:space="preserve">интеллект</w:t>
      </w:r>
      <w:r>
        <w:t xml:space="preserve"> </w:t>
      </w:r>
      <w:r>
        <w:t xml:space="preserve">в</w:t>
      </w:r>
      <w:r>
        <w:t xml:space="preserve"> </w:t>
      </w:r>
      <w:r>
        <w:t xml:space="preserve">креативных</w:t>
      </w:r>
      <w:r>
        <w:t xml:space="preserve"> </w:t>
      </w:r>
      <w:r>
        <w:t xml:space="preserve">технологиях»,</w:t>
      </w:r>
      <w:r>
        <w:t xml:space="preserve"> </w:t>
      </w:r>
      <w:r>
        <w:t xml:space="preserve">09.04.02</w:t>
      </w:r>
      <w:r>
        <w:t xml:space="preserve"> </w:t>
      </w:r>
      <w:r>
        <w:t xml:space="preserve">Информационные</w:t>
      </w:r>
      <w:r>
        <w:t xml:space="preserve"> </w:t>
      </w:r>
      <w:r>
        <w:t xml:space="preserve">системы</w:t>
      </w:r>
      <w:r>
        <w:t xml:space="preserve"> </w:t>
      </w:r>
      <w:r>
        <w:t xml:space="preserve">и</w:t>
      </w:r>
      <w:r>
        <w:t xml:space="preserve"> </w:t>
      </w:r>
      <w:r>
        <w:t xml:space="preserve">технологии,</w:t>
      </w:r>
      <w:r>
        <w:t xml:space="preserve"> </w:t>
      </w:r>
      <w:r>
        <w:t xml:space="preserve">семестр</w:t>
      </w:r>
      <w:r>
        <w:t xml:space="preserve"> </w:t>
      </w:r>
      <w:r>
        <w:t xml:space="preserve">1</w:t>
      </w:r>
    </w:p>
    <w:sdt>
      <w:sdtPr>
        <w:docPartObj>
          <w:docPartGallery w:val="Table of Contents"/>
          <w:docPartUnique/>
        </w:docPartObj>
      </w:sdtPr>
      <w:sdtContent>
        <w:p>
          <w:pPr>
            <w:pStyle w:val="aff"/>
          </w:pPr>
          <w:r>
            <w:t xml:space="preserve">Table of Contents</w:t>
          </w:r>
        </w:p>
        <w:p>
          <w:r>
            <w:fldChar w:fldCharType="begin" w:dirty="true"/>
            <w:instrText xml:space="preserve">TOC \o "1-2" \h \z \u</w:instrText>
            <w:fldChar w:fldCharType="separate"/>
            <w:fldChar w:fldCharType="end"/>
          </w:r>
        </w:p>
      </w:sdtContent>
    </w:sdt>
    <w:tbl>
      <w:tblPr>
        <w:tblStyle w:val="aff0"/>
        <w:tblW w:type="pct" w:w="5000"/>
        <w:jc w:val="center"/>
        <w:tblLayout w:type="fixed"/>
        <w:tblLook w:firstRow="1" w:lastRow="0" w:firstColumn="0" w:lastColumn="0" w:noHBand="0" w:noVBand="0" w:val="0020"/>
      </w:tblPr>
      <w:tblGrid>
        <w:gridCol w:w="1778"/>
        <w:gridCol w:w="7860"/>
      </w:tblGrid>
      <w:tr>
        <w:trPr>
          <w:tblHeader w:val="true"/>
          <w:tblHeader w:val="true"/>
          <w:cantSplit w:val="true"/>
        </w:trPr>
        <w:tc>
          <w:tcPr>
            <w:tcW w:type="dxa" w:w="1778"/>
            <w:shd w:val="clear" w:color="auto" w:fill="D9E2F3"/>
          </w:tcPr>
          <w:p>
            <w:pPr>
              <w:pStyle w:val="Compact"/>
              <w:spacing w:before="40" w:after="40"/>
              <w:jc w:val="left"/>
            </w:pPr>
            <w:r>
              <w:rPr>
                <w:b/>
                <w:sz w:val="20"/>
              </w:rPr>
              <w:t xml:space="preserve">Параметр</w:t>
            </w:r>
          </w:p>
        </w:tc>
        <w:tc>
          <w:tcPr>
            <w:tcW w:type="dxa" w:w="7860"/>
            <w:shd w:val="clear" w:color="auto" w:fill="D9E2F3"/>
          </w:tcPr>
          <w:p>
            <w:pPr>
              <w:pStyle w:val="Compact"/>
              <w:spacing w:before="40" w:after="40"/>
              <w:jc w:val="left"/>
            </w:pPr>
            <w:r>
              <w:rPr>
                <w:b/>
                <w:sz w:val="20"/>
              </w:rPr>
              <w:t xml:space="preserve">Содержание</w:t>
            </w:r>
          </w:p>
        </w:tc>
      </w:tr>
      <w:tr>
        <w:trPr>
          <w:cantSplit w:val="true"/>
        </w:trPr>
        <w:tc>
          <w:tcPr>
            <w:tcW w:type="dxa" w:w="1778"/>
          </w:tcPr>
          <w:p>
            <w:pPr>
              <w:pStyle w:val="Compact"/>
              <w:spacing w:before="40" w:after="40"/>
              <w:jc w:val="left"/>
            </w:pPr>
            <w:r>
              <w:rPr>
                <w:sz w:val="20"/>
              </w:rPr>
              <w:t xml:space="preserve">Продолжительность</w:t>
            </w:r>
          </w:p>
        </w:tc>
        <w:tc>
          <w:tcPr>
            <w:tcW w:type="dxa" w:w="7860"/>
          </w:tcPr>
          <w:p>
            <w:pPr>
              <w:pStyle w:val="Compact"/>
              <w:spacing w:before="40" w:after="40"/>
              <w:jc w:val="left"/>
            </w:pPr>
            <w:r>
              <w:rPr>
                <w:sz w:val="20"/>
              </w:rPr>
              <w:t xml:space="preserve">2 академических часа (аудиторная работа); оформление отчёта — самостоятельно</w:t>
            </w:r>
          </w:p>
        </w:tc>
      </w:tr>
      <w:tr>
        <w:trPr>
          <w:cantSplit w:val="true"/>
        </w:trPr>
        <w:tc>
          <w:tcPr>
            <w:tcW w:type="dxa" w:w="1778"/>
          </w:tcPr>
          <w:p>
            <w:pPr>
              <w:pStyle w:val="Compact"/>
              <w:spacing w:before="40" w:after="40"/>
              <w:jc w:val="left"/>
            </w:pPr>
            <w:r>
              <w:rPr>
                <w:sz w:val="20"/>
              </w:rPr>
              <w:t xml:space="preserve">Форма работы</w:t>
            </w:r>
          </w:p>
        </w:tc>
        <w:tc>
          <w:tcPr>
            <w:tcW w:type="dxa" w:w="7860"/>
          </w:tcPr>
          <w:p>
            <w:pPr>
              <w:pStyle w:val="Compact"/>
              <w:spacing w:before="40" w:after="40"/>
              <w:jc w:val="left"/>
            </w:pPr>
            <w:r>
              <w:rPr>
                <w:sz w:val="20"/>
              </w:rPr>
              <w:t xml:space="preserve">индивидуально; вариант назначается по номеру в журнале группы (варианты 1–30)</w:t>
            </w:r>
          </w:p>
        </w:tc>
      </w:tr>
      <w:tr>
        <w:trPr>
          <w:cantSplit w:val="true"/>
        </w:trPr>
        <w:tc>
          <w:tcPr>
            <w:tcW w:type="dxa" w:w="1778"/>
          </w:tcPr>
          <w:p>
            <w:pPr>
              <w:pStyle w:val="Compact"/>
              <w:spacing w:before="40" w:after="40"/>
              <w:jc w:val="left"/>
            </w:pPr>
            <w:r>
              <w:rPr>
                <w:sz w:val="20"/>
              </w:rPr>
              <w:t xml:space="preserve">Связь</w:t>
            </w:r>
          </w:p>
        </w:tc>
        <w:tc>
          <w:tcPr>
            <w:tcW w:type="dxa" w:w="7860"/>
          </w:tcPr>
          <w:p>
            <w:pPr>
              <w:pStyle w:val="Compact"/>
              <w:spacing w:before="40" w:after="40"/>
              <w:jc w:val="left"/>
            </w:pPr>
            <w:r>
              <w:rPr>
                <w:sz w:val="20"/>
              </w:rPr>
              <w:t xml:space="preserve">лекция 3 (цифровое изображение, цветовые пространства, квантование, гистограмма, метрики); ЛР 1 (паспорт эксперимента, seed, критерий</w:t>
            </w:r>
            <w:r>
              <w:rPr>
                <w:sz w:val="20"/>
              </w:rPr>
              <w:t xml:space="preserve"> </w:t>
            </w:r>
            <m:oMath>
              <m:r>
                <m:rPr>
                  <m:sty m:val="p"/>
                </m:rPr>
                <m:t>|</m:t>
              </m:r>
              <m:r>
                <m:t>Δ</m:t>
              </m:r>
              <m:r>
                <m:rPr>
                  <m:sty m:val="p"/>
                </m:rPr>
                <m:t>|</m:t>
              </m:r>
              <m:r>
                <m:rPr>
                  <m:sty m:val="p"/>
                </m:rPr>
                <m:t>&gt;</m:t>
              </m:r>
              <m:r>
                <m:t>2</m:t>
              </m:r>
              <m:r>
                <m:t>s</m:t>
              </m:r>
            </m:oMath>
            <w:r>
              <w:rPr>
                <w:sz w:val="20"/>
              </w:rPr>
              <w:t xml:space="preserve">, часть Б — рабочая область Engee); предшествует ЛР 4</w:t>
            </w:r>
          </w:p>
        </w:tc>
      </w:tr>
      <w:tr>
        <w:trPr>
          <w:cantSplit w:val="true"/>
        </w:trPr>
        <w:tc>
          <w:tcPr>
            <w:tcW w:type="dxa" w:w="1778"/>
          </w:tcPr>
          <w:p>
            <w:pPr>
              <w:pStyle w:val="Compact"/>
              <w:spacing w:before="40" w:after="40"/>
              <w:jc w:val="left"/>
            </w:pPr>
            <w:r>
              <w:rPr>
                <w:sz w:val="20"/>
              </w:rPr>
              <w:t xml:space="preserve">Индикаторы компетенций</w:t>
            </w:r>
          </w:p>
        </w:tc>
        <w:tc>
          <w:tcPr>
            <w:tcW w:type="dxa" w:w="7860"/>
          </w:tcPr>
          <w:p>
            <w:pPr>
              <w:pStyle w:val="Compact"/>
              <w:spacing w:before="40" w:after="40"/>
              <w:jc w:val="left"/>
            </w:pPr>
            <w:r>
              <w:rPr>
                <w:sz w:val="20"/>
              </w:rPr>
              <w:t xml:space="preserve">ПК-6.1 (ведение протокола экспериментов, базовый уровень); ПК-11.1 (безопасная работа с данными и зависимостями, базовый уровень)</w:t>
            </w:r>
          </w:p>
        </w:tc>
      </w:tr>
      <w:tr>
        <w:trPr>
          <w:cantSplit w:val="true"/>
        </w:trPr>
        <w:tc>
          <w:tcPr>
            <w:tcW w:type="dxa" w:w="1778"/>
          </w:tcPr>
          <w:p>
            <w:pPr>
              <w:pStyle w:val="Compact"/>
              <w:spacing w:before="40" w:after="40"/>
              <w:jc w:val="left"/>
            </w:pPr>
            <w:r>
              <w:rPr>
                <w:sz w:val="20"/>
              </w:rPr>
              <w:t xml:space="preserve">Контроль</w:t>
            </w:r>
          </w:p>
        </w:tc>
        <w:tc>
          <w:tcPr>
            <w:tcW w:type="dxa" w:w="7860"/>
          </w:tcPr>
          <w:p>
            <w:pPr>
              <w:pStyle w:val="Compact"/>
              <w:spacing w:before="40" w:after="40"/>
              <w:jc w:val="left"/>
            </w:pPr>
            <w:r>
              <w:rPr>
                <w:sz w:val="20"/>
              </w:rPr>
              <w:t xml:space="preserve">отчёт, скрипт с выводом, изображения и график, устная защита</w:t>
            </w:r>
          </w:p>
        </w:tc>
      </w:tr>
      <w:tr>
        <w:trPr>
          <w:cantSplit w:val="true"/>
        </w:trPr>
        <w:tc>
          <w:tcPr>
            <w:tcW w:type="dxa" w:w="1778"/>
          </w:tcPr>
          <w:p>
            <w:pPr>
              <w:pStyle w:val="Compact"/>
              <w:spacing w:before="40" w:after="40"/>
              <w:jc w:val="left"/>
            </w:pPr>
            <w:r>
              <w:rPr>
                <w:sz w:val="20"/>
              </w:rPr>
              <w:t xml:space="preserve">Программное обеспечение</w:t>
            </w:r>
          </w:p>
        </w:tc>
        <w:tc>
          <w:tcPr>
            <w:tcW w:type="dxa" w:w="7860"/>
          </w:tcPr>
          <w:p>
            <w:pPr>
              <w:pStyle w:val="Compact"/>
              <w:spacing w:before="40" w:after="40"/>
              <w:jc w:val="left"/>
            </w:pPr>
            <w:r>
              <w:rPr>
                <w:sz w:val="20"/>
              </w:rPr>
              <w:t xml:space="preserve">среда Engee (проверено в версии 26.8.2-H3, язык Julia 1.12.4); пакеты</w:t>
            </w:r>
            <w:r>
              <w:rPr>
                <w:sz w:val="20"/>
              </w:rPr>
              <w:t xml:space="preserve"> </w:t>
            </w:r>
            <w:r>
              <w:rPr>
                <w:rStyle w:val="VerbatimChar"/>
                <w:sz w:val="20"/>
              </w:rPr>
              <w:t xml:space="preserve">Images</w:t>
            </w:r>
            <w:r>
              <w:rPr>
                <w:sz w:val="20"/>
              </w:rPr>
              <w:t xml:space="preserve">,</w:t>
            </w:r>
            <w:r>
              <w:rPr>
                <w:sz w:val="20"/>
              </w:rPr>
              <w:t xml:space="preserve"> </w:t>
            </w:r>
            <w:r>
              <w:rPr>
                <w:rStyle w:val="VerbatimChar"/>
                <w:sz w:val="20"/>
              </w:rPr>
              <w:t xml:space="preserve">Random</w:t>
            </w:r>
            <w:r>
              <w:rPr>
                <w:sz w:val="20"/>
              </w:rPr>
              <w:t xml:space="preserve">,</w:t>
            </w:r>
            <w:r>
              <w:rPr>
                <w:sz w:val="20"/>
              </w:rPr>
              <w:t xml:space="preserve"> </w:t>
            </w:r>
            <w:r>
              <w:rPr>
                <w:rStyle w:val="VerbatimChar"/>
                <w:sz w:val="20"/>
              </w:rPr>
              <w:t xml:space="preserve">Statistics</w:t>
            </w:r>
            <w:r>
              <w:rPr>
                <w:sz w:val="20"/>
              </w:rPr>
              <w:t xml:space="preserve">,</w:t>
            </w:r>
            <w:r>
              <w:rPr>
                <w:sz w:val="20"/>
              </w:rPr>
              <w:t xml:space="preserve"> </w:t>
            </w:r>
            <w:r>
              <w:rPr>
                <w:rStyle w:val="VerbatimChar"/>
                <w:sz w:val="20"/>
              </w:rPr>
              <w:t xml:space="preserve">SHA</w:t>
            </w:r>
            <w:r>
              <w:rPr>
                <w:sz w:val="20"/>
              </w:rPr>
              <w:t xml:space="preserve">,</w:t>
            </w:r>
            <w:r>
              <w:rPr>
                <w:sz w:val="20"/>
              </w:rPr>
              <w:t xml:space="preserve"> </w:t>
            </w:r>
            <w:r>
              <w:rPr>
                <w:rStyle w:val="VerbatimChar"/>
                <w:sz w:val="20"/>
              </w:rPr>
              <w:t xml:space="preserve">Plots</w:t>
            </w:r>
            <w:r>
              <w:rPr>
                <w:sz w:val="20"/>
              </w:rPr>
              <w:t xml:space="preserve"> </w:t>
            </w:r>
            <w:r>
              <w:rPr>
                <w:sz w:val="20"/>
              </w:rPr>
              <w:t xml:space="preserve">(доступны в среде); учебная библиотека</w:t>
            </w:r>
            <w:r>
              <w:rPr>
                <w:sz w:val="20"/>
              </w:rPr>
              <w:t xml:space="preserve"> </w:t>
            </w:r>
            <w:r>
              <w:rPr>
                <w:rStyle w:val="VerbatimChar"/>
                <w:sz w:val="20"/>
              </w:rPr>
              <w:t xml:space="preserve">lab03_lib.jl</w:t>
            </w:r>
          </w:p>
        </w:tc>
      </w:tr>
    </w:tbl>
    <w:bookmarkStart w:id="20" w:name="цель-и-результаты"/>
    <w:p>
      <w:pPr>
        <w:pStyle w:val="1"/>
      </w:pPr>
      <w:r>
        <w:t xml:space="preserve">1. Цель и результаты</w:t>
      </w:r>
    </w:p>
    <w:p>
      <w:pPr>
        <w:pStyle w:val="FirstParagraph"/>
      </w:pPr>
      <w:r>
        <w:rPr>
          <w:bCs/>
          <w:b/>
        </w:rPr>
        <w:t xml:space="preserve">Цель.</w:t>
      </w:r>
      <w:r>
        <w:t xml:space="preserve"> </w:t>
      </w:r>
      <w:r>
        <w:t xml:space="preserve">Научиться готовить изображения к обработке и оценивать, как элементарные подготовительные операции изменяют данные: измерять свойства изображения, преобразовывать цвет в яркость, квантовать, менять размер, растягивать контраст, сохранять в файл — и видеть результат на гистограмме и в метриках.</w:t>
      </w:r>
    </w:p>
    <w:p>
      <w:pPr>
        <w:pStyle w:val="af"/>
      </w:pPr>
      <w:r>
        <w:rPr>
          <w:bCs/>
          <w:b/>
        </w:rPr>
        <w:t xml:space="preserve">Результаты.</w:t>
      </w:r>
      <w:r>
        <w:t xml:space="preserve"> </w:t>
      </w:r>
      <w:r>
        <w:t xml:space="preserve">После работы студент:</w:t>
      </w:r>
    </w:p>
    <w:p>
      <w:pPr>
        <w:numPr>
          <w:ilvl w:val="0"/>
          <w:numId w:val="1001"/>
        </w:numPr>
        <w:pStyle w:val="Compact"/>
      </w:pPr>
      <w:r>
        <w:t xml:space="preserve">описывает изображение как массив: размер, тип элемента, диапазон значений, объём в байтах;</w:t>
      </w:r>
    </w:p>
    <w:p>
      <w:pPr>
        <w:numPr>
          <w:ilvl w:val="0"/>
          <w:numId w:val="1001"/>
        </w:numPr>
        <w:pStyle w:val="Compact"/>
      </w:pPr>
      <w:r>
        <w:t xml:space="preserve">получает яркость двумя способами и объясняет различие результатов;</w:t>
      </w:r>
    </w:p>
    <w:p>
      <w:pPr>
        <w:numPr>
          <w:ilvl w:val="0"/>
          <w:numId w:val="1001"/>
        </w:numPr>
        <w:pStyle w:val="Compact"/>
      </w:pPr>
      <w:r>
        <w:t xml:space="preserve">квантует яркость, изменяет размер и растягивает контраст, измеряя потери через PSNR и метрики (среднее, контраст, энтропия гистограммы);</w:t>
      </w:r>
    </w:p>
    <w:p>
      <w:pPr>
        <w:numPr>
          <w:ilvl w:val="0"/>
          <w:numId w:val="1001"/>
        </w:numPr>
        <w:pStyle w:val="Compact"/>
      </w:pPr>
      <w:r>
        <w:t xml:space="preserve">строит и читает гистограмму яркости;</w:t>
      </w:r>
    </w:p>
    <w:p>
      <w:pPr>
        <w:numPr>
          <w:ilvl w:val="0"/>
          <w:numId w:val="1001"/>
        </w:numPr>
        <w:pStyle w:val="Compact"/>
      </w:pPr>
      <w:r>
        <w:t xml:space="preserve">подтверждает воспроизводимость (seed, контрольная сумма массива) и записывает условия в паспорт эксперимента;</w:t>
      </w:r>
    </w:p>
    <w:p>
      <w:pPr>
        <w:numPr>
          <w:ilvl w:val="0"/>
          <w:numId w:val="1001"/>
        </w:numPr>
        <w:pStyle w:val="Compact"/>
      </w:pPr>
      <w:r>
        <w:t xml:space="preserve">различает статистическую значимость эффекта и его практическую важность.</w:t>
      </w:r>
    </w:p>
    <w:bookmarkEnd w:id="20"/>
    <w:bookmarkStart w:id="28" w:name="теоретический-минимум"/>
    <w:p>
      <w:pPr>
        <w:pStyle w:val="1"/>
      </w:pPr>
      <w:r>
        <w:t xml:space="preserve">2. Теоретический минимум</w:t>
      </w:r>
    </w:p>
    <w:bookmarkStart w:id="21" w:name="изображение-как-массив"/>
    <w:p>
      <w:pPr>
        <w:pStyle w:val="21"/>
      </w:pPr>
      <w:r>
        <w:t xml:space="preserve">2.1. Изображение как массив</w:t>
      </w:r>
    </w:p>
    <w:p>
      <w:pPr>
        <w:pStyle w:val="FirstParagraph"/>
      </w:pPr>
      <w:r>
        <w:t xml:space="preserve">Цветное изображение — массив значений</w:t>
      </w:r>
      <w:r>
        <w:t xml:space="preserve"> </w:t>
      </w:r>
      <m:oMath>
        <m:r>
          <m:t>I</m:t>
        </m:r>
        <m:r>
          <m:rPr>
            <m:sty m:val="p"/>
          </m:rPr>
          <m:t>∈</m:t>
        </m:r>
        <m:sSup>
          <m:e>
            <m:d>
              <m:dPr>
                <m:begChr m:val="["/>
                <m:endChr m:val="]"/>
                <m:sepChr m:val=""/>
                <m:grow/>
              </m:dPr>
              <m:e>
                <m:r>
                  <m:t>0</m:t>
                </m:r>
                <m:r>
                  <m:rPr>
                    <m:sty m:val="p"/>
                  </m:rPr>
                  <m:t>,</m:t>
                </m:r>
                <m:r>
                  <m:t>1</m:t>
                </m:r>
              </m:e>
            </m:d>
          </m:e>
          <m:sup>
            <m:r>
              <m:t>H</m:t>
            </m:r>
            <m:r>
              <m:rPr>
                <m:sty m:val="p"/>
              </m:rPr>
              <m:t>×</m:t>
            </m:r>
            <m:r>
              <m:t>W</m:t>
            </m:r>
            <m:r>
              <m:rPr>
                <m:sty m:val="p"/>
              </m:rPr>
              <m:t>×</m:t>
            </m:r>
            <m:r>
              <m:t>3</m:t>
            </m:r>
          </m:sup>
        </m:sSup>
      </m:oMath>
      <w:r>
        <w:t xml:space="preserve"> </w:t>
      </w:r>
      <w:r>
        <w:t xml:space="preserve">(в Julia — массив элементов типа</w:t>
      </w:r>
      <w:r>
        <w:t xml:space="preserve"> </w:t>
      </w:r>
      <w:r>
        <w:rPr>
          <w:rStyle w:val="VerbatimChar"/>
        </w:rPr>
        <w:t xml:space="preserve">RGB{Float64}</w:t>
      </w:r>
      <w:r>
        <w:t xml:space="preserve"> </w:t>
      </w:r>
      <w:r>
        <w:t xml:space="preserve">пакета</w:t>
      </w:r>
      <w:r>
        <w:t xml:space="preserve"> </w:t>
      </w:r>
      <w:r>
        <w:rPr>
          <w:rStyle w:val="VerbatimChar"/>
        </w:rPr>
        <w:t xml:space="preserve">Images</w:t>
      </w:r>
      <w:r>
        <w:t xml:space="preserve">); серое — массив</w:t>
      </w:r>
      <w:r>
        <w:t xml:space="preserve"> </w:t>
      </w:r>
      <m:oMath>
        <m:r>
          <m:t>H</m:t>
        </m:r>
        <m:r>
          <m:rPr>
            <m:sty m:val="p"/>
          </m:rPr>
          <m:t>×</m:t>
        </m:r>
        <m:r>
          <m:t>W</m:t>
        </m:r>
      </m:oMath>
      <w:r>
        <w:t xml:space="preserve">. Объём массива в байтах равен числу элементов, умноженному на размер элемента: для</w:t>
      </w:r>
      <w:r>
        <w:t xml:space="preserve"> </w:t>
      </w:r>
      <m:oMath>
        <m:r>
          <m:t>128</m:t>
        </m:r>
        <m:r>
          <m:rPr>
            <m:sty m:val="p"/>
          </m:rPr>
          <m:t>×</m:t>
        </m:r>
        <m:r>
          <m:t>128</m:t>
        </m:r>
      </m:oMath>
      <w:r>
        <w:t xml:space="preserve"> </w:t>
      </w:r>
      <w:r>
        <w:t xml:space="preserve">пикселей типа</w:t>
      </w:r>
      <w:r>
        <w:t xml:space="preserve"> </w:t>
      </w:r>
      <w:r>
        <w:rPr>
          <w:rStyle w:val="VerbatimChar"/>
        </w:rPr>
        <w:t xml:space="preserve">RGB{Float64}</w:t>
      </w:r>
      <w:r>
        <w:t xml:space="preserve"> </w:t>
      </w:r>
      <w:r>
        <w:t xml:space="preserve">это</w:t>
      </w:r>
      <w:r>
        <w:t xml:space="preserve"> </w:t>
      </w:r>
      <m:oMath>
        <m:r>
          <m:t>128</m:t>
        </m:r>
        <m:r>
          <m:rPr>
            <m:sty m:val="p"/>
          </m:rPr>
          <m:t>⋅</m:t>
        </m:r>
        <m:r>
          <m:t>128</m:t>
        </m:r>
        <m:r>
          <m:rPr>
            <m:sty m:val="p"/>
          </m:rPr>
          <m:t>⋅</m:t>
        </m:r>
        <m:r>
          <m:t>3</m:t>
        </m:r>
        <m:r>
          <m:rPr>
            <m:sty m:val="p"/>
          </m:rPr>
          <m:t>⋅</m:t>
        </m:r>
        <m:r>
          <m:t>8</m:t>
        </m:r>
        <m:r>
          <m:rPr>
            <m:sty m:val="p"/>
          </m:rPr>
          <m:t>=</m:t>
        </m:r>
        <m:r>
          <m:t>393</m:t>
        </m:r>
        <m:r>
          <m:t> </m:t>
        </m:r>
        <m:r>
          <m:t>216</m:t>
        </m:r>
      </m:oMath>
      <w:r>
        <w:t xml:space="preserve"> </w:t>
      </w:r>
      <w:r>
        <w:t xml:space="preserve">байт (в демо получено значение 393216, совпало). Тип элемента определяет точность:</w:t>
      </w:r>
      <w:r>
        <w:t xml:space="preserve"> </w:t>
      </w:r>
      <w:r>
        <w:rPr>
          <w:rStyle w:val="VerbatimChar"/>
        </w:rPr>
        <w:t xml:space="preserve">Float64</w:t>
      </w:r>
      <w:r>
        <w:t xml:space="preserve"> </w:t>
      </w:r>
      <w:r>
        <w:t xml:space="preserve">— 8 байт на канал, 8-битное изображение (</w:t>
      </w:r>
      <w:r>
        <w:rPr>
          <w:rStyle w:val="VerbatimChar"/>
        </w:rPr>
        <w:t xml:space="preserve">N0f8</w:t>
      </w:r>
      <w:r>
        <w:t xml:space="preserve">) — 1 байт на канал.</w:t>
      </w:r>
    </w:p>
    <w:bookmarkEnd w:id="21"/>
    <w:bookmarkStart w:id="22" w:name="яркость-серое-изображение"/>
    <w:p>
      <w:pPr>
        <w:pStyle w:val="21"/>
      </w:pPr>
      <w:r>
        <w:t xml:space="preserve">2.2. Яркость (серое изображение)</w:t>
      </w:r>
    </w:p>
    <w:p>
      <w:pPr>
        <w:pStyle w:val="FirstParagraph"/>
      </w:pPr>
      <w:r>
        <w:t xml:space="preserve">Яркость получают взвешенной суммой каналов; по стандарту ITU-R BT.601 (коэффициенты используются и в пакете</w:t>
      </w:r>
      <w:r>
        <w:t xml:space="preserve"> </w:t>
      </w:r>
      <w:r>
        <w:rPr>
          <w:rStyle w:val="VerbatimChar"/>
        </w:rPr>
        <w:t xml:space="preserve">Images</w:t>
      </w:r>
      <w:r>
        <w:t xml:space="preserve">):</w:t>
      </w:r>
      <w:r>
        <w:t xml:space="preserve"> </w:t>
      </w:r>
      <m:oMath>
        <m:r>
          <m:t>Y</m:t>
        </m:r>
        <m:r>
          <m:rPr>
            <m:sty m:val="p"/>
          </m:rPr>
          <m:t>=</m:t>
        </m:r>
        <m:r>
          <m:t>0</m:t>
        </m:r>
        <m:r>
          <m:rPr>
            <m:sty m:val="p"/>
          </m:rPr>
          <m:t>,</m:t>
        </m:r>
        <m:r>
          <m:t>299</m:t>
        </m:r>
        <m:r>
          <m:t>R</m:t>
        </m:r>
        <m:r>
          <m:rPr>
            <m:sty m:val="p"/>
          </m:rPr>
          <m:t>+</m:t>
        </m:r>
        <m:r>
          <m:t>0</m:t>
        </m:r>
        <m:r>
          <m:rPr>
            <m:sty m:val="p"/>
          </m:rPr>
          <m:t>,</m:t>
        </m:r>
        <m:r>
          <m:t>587</m:t>
        </m:r>
        <m:r>
          <m:t>G</m:t>
        </m:r>
        <m:r>
          <m:rPr>
            <m:sty m:val="p"/>
          </m:rPr>
          <m:t>+</m:t>
        </m:r>
        <m:r>
          <m:t>0</m:t>
        </m:r>
        <m:r>
          <m:rPr>
            <m:sty m:val="p"/>
          </m:rPr>
          <m:t>,</m:t>
        </m:r>
        <m:r>
          <m:t>114</m:t>
        </m:r>
        <m:r>
          <m:t>B</m:t>
        </m:r>
      </m:oMath>
      <w:r>
        <w:t xml:space="preserve">. «Вручную» и функцией</w:t>
      </w:r>
      <w:r>
        <w:t xml:space="preserve"> </w:t>
      </w:r>
      <w:r>
        <w:rPr>
          <w:rStyle w:val="VerbatimChar"/>
        </w:rPr>
        <w:t xml:space="preserve">Gray</w:t>
      </w:r>
      <w:r>
        <w:t xml:space="preserve"> </w:t>
      </w:r>
      <w:r>
        <w:t xml:space="preserve">результаты различаются лишь на ошибки округления: в демо максимум модуля разности — 9,86·10⁻⁹. Различие невелико, но не нулевое — поэтому сравнение по контрольной сумме двух способов даст разные значения, а сравнение с допуском — совпадение.</w:t>
      </w:r>
    </w:p>
    <w:bookmarkEnd w:id="22"/>
    <w:bookmarkStart w:id="23" w:name="квантование-и-psnr"/>
    <w:p>
      <w:pPr>
        <w:pStyle w:val="21"/>
      </w:pPr>
      <w:r>
        <w:t xml:space="preserve">2.3. Квантование и PSNR</w:t>
      </w:r>
    </w:p>
    <w:p>
      <w:pPr>
        <w:pStyle w:val="FirstParagraph"/>
      </w:pPr>
      <w:r>
        <w:t xml:space="preserve">Квантование до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бит округляет яркость</w:t>
      </w:r>
      <w:r>
        <w:t xml:space="preserve"> </w:t>
      </w:r>
      <m:oMath>
        <m:r>
          <m:t>x</m:t>
        </m:r>
        <m:r>
          <m:rPr>
            <m:sty m:val="p"/>
          </m:rPr>
          <m:t>∈</m:t>
        </m:r>
        <m:d>
          <m:dPr>
            <m:begChr m:val="["/>
            <m:endChr m:val="]"/>
            <m:sepChr m:val="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r>
              <m:t>1</m:t>
            </m:r>
          </m:e>
        </m:d>
      </m:oMath>
      <w:r>
        <w:t xml:space="preserve"> </w:t>
      </w:r>
      <w:r>
        <w:t xml:space="preserve">до одного из</w:t>
      </w:r>
      <w:r>
        <w:t xml:space="preserve"> </w:t>
      </w:r>
      <m:oMath>
        <m:sSup>
          <m:e>
            <m:r>
              <m:t>2</m:t>
            </m:r>
          </m:e>
          <m:sup>
            <m:r>
              <m:t>b</m:t>
            </m:r>
          </m:sup>
        </m:sSup>
      </m:oMath>
      <w:r>
        <w:t xml:space="preserve"> </w:t>
      </w:r>
      <w:r>
        <w:t xml:space="preserve">уровней:</w:t>
      </w:r>
      <w:r>
        <w:t xml:space="preserve"> </w:t>
      </w:r>
      <m:oMath>
        <m:sSub>
          <m:e>
            <m:r>
              <m:t>x</m:t>
            </m:r>
          </m:e>
          <m:sub>
            <m:r>
              <m:t>q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r</m:t>
        </m:r>
        <m:r>
          <m:rPr>
            <m:sty m:val="p"/>
          </m:rPr>
          <m:t>o</m:t>
        </m:r>
        <m:r>
          <m:rPr>
            <m:sty m:val="p"/>
          </m:rPr>
          <m:t>u</m:t>
        </m:r>
        <m:r>
          <m:rPr>
            <m:sty m:val="p"/>
          </m:rPr>
          <m:t>n</m:t>
        </m:r>
        <m:r>
          <m:rPr>
            <m:sty m:val="p"/>
          </m:rPr>
          <m:t>d</m:t>
        </m:r>
        <m:d>
          <m:dPr>
            <m:begChr m:val="("/>
            <m:endChr m:val=")"/>
            <m:sepChr m:val=""/>
            <m:grow/>
          </m:dPr>
          <m:e>
            <m:r>
              <m:t>x</m:t>
            </m:r>
            <m:r>
              <m:t> </m:t>
            </m:r>
            <m:d>
              <m:dPr>
                <m:begChr m:val="("/>
                <m:endChr m:val=")"/>
                <m:sepChr m:val=""/>
                <m:grow/>
              </m:dPr>
              <m:e>
                <m:sSup>
                  <m:e>
                    <m:r>
                      <m:t>2</m:t>
                    </m:r>
                  </m:e>
                  <m:sup>
                    <m:r>
                      <m:t>b</m:t>
                    </m:r>
                  </m:sup>
                </m:sSup>
                <m:r>
                  <m:rPr>
                    <m:sty m:val="p"/>
                  </m:rPr>
                  <m:t>−</m:t>
                </m:r>
                <m:r>
                  <m:t>1</m:t>
                </m:r>
              </m:e>
            </m:d>
          </m:e>
        </m:d>
        <m:r>
          <m:rPr>
            <m:sty m:val="p"/>
          </m:rPr>
          <m:t>/</m:t>
        </m:r>
        <m:d>
          <m:dPr>
            <m:begChr m:val="("/>
            <m:endChr m:val=")"/>
            <m:sepChr m:val=""/>
            <m:grow/>
          </m:dPr>
          <m:e>
            <m:sSup>
              <m:e>
                <m:r>
                  <m:t>2</m:t>
                </m:r>
              </m:e>
              <m:sup>
                <m:r>
                  <m:t>b</m:t>
                </m:r>
              </m:sup>
            </m:sSup>
            <m:r>
              <m:rPr>
                <m:sty m:val="p"/>
              </m:rPr>
              <m:t>−</m:t>
            </m:r>
            <m:r>
              <m:t>1</m:t>
            </m:r>
          </m:e>
        </m:d>
      </m:oMath>
      <w:r>
        <w:t xml:space="preserve">. Потерю измеряют среднеквадратичной ошибкой</w:t>
      </w:r>
      <w:r>
        <w:t xml:space="preserve"> </w:t>
      </w:r>
      <m:oMath>
        <m:r>
          <m:rPr>
            <m:sty m:val="p"/>
          </m:rPr>
          <m:t>M</m:t>
        </m:r>
        <m:r>
          <m:rPr>
            <m:sty m:val="p"/>
          </m:rPr>
          <m:t>S</m:t>
        </m:r>
        <m:r>
          <m:rPr>
            <m:sty m:val="p"/>
          </m:rPr>
          <m:t>E</m:t>
        </m:r>
        <m:r>
          <m:rPr>
            <m:sty m:val="p"/>
          </m:rPr>
          <m:t>=</m:t>
        </m:r>
        <m:bar>
          <m:barPr>
            <m:pos m:val="top"/>
          </m:barPr>
          <m:e>
            <m:sSup>
              <m:e>
                <m:d>
                  <m:dPr>
                    <m:begChr m:val="("/>
                    <m:endChr m:val=")"/>
                    <m:sepChr m:val=""/>
                    <m:grow/>
                  </m:dPr>
                  <m:e>
                    <m:r>
                      <m:t>x</m:t>
                    </m:r>
                    <m:r>
                      <m:rPr>
                        <m:sty m:val="p"/>
                      </m:rPr>
                      <m:t>−</m:t>
                    </m:r>
                    <m:sSub>
                      <m:e>
                        <m:r>
                          <m:t>x</m:t>
                        </m:r>
                      </m:e>
                      <m:sub>
                        <m:r>
                          <m:t>q</m:t>
                        </m:r>
                      </m:sub>
                    </m:sSub>
                  </m:e>
                </m:d>
              </m:e>
              <m:sup>
                <m:r>
                  <m:t>2</m:t>
                </m:r>
              </m:sup>
            </m:sSup>
          </m:e>
        </m:bar>
      </m:oMath>
      <w:r>
        <w:t xml:space="preserve"> </w:t>
      </w:r>
      <w:r>
        <w:t xml:space="preserve">и пиковым отношением сигнал/шум</w:t>
      </w:r>
    </w:p>
    <w:p>
      <w:pPr>
        <w:pStyle w:val="af"/>
      </w:pPr>
      <m:oMathPara>
        <m:oMathParaPr>
          <m:jc m:val="center"/>
        </m:oMathParaPr>
        <m:oMath>
          <m:r>
            <m:rPr>
              <m:sty m:val="p"/>
            </m:rPr>
            <m:t>P</m:t>
          </m:r>
          <m:r>
            <m:rPr>
              <m:sty m:val="p"/>
            </m:rPr>
            <m:t>S</m:t>
          </m:r>
          <m:r>
            <m:rPr>
              <m:sty m:val="p"/>
            </m:rPr>
            <m:t>N</m:t>
          </m:r>
          <m:r>
            <m:rPr>
              <m:sty m:val="p"/>
            </m:rPr>
            <m:t>R</m:t>
          </m:r>
          <m:r>
            <m:rPr>
              <m:sty m:val="p"/>
            </m:rPr>
            <m:t>=</m:t>
          </m:r>
          <m:r>
            <m:t>10</m:t>
          </m:r>
          <m:r>
            <m:rPr>
              <m:sty m:val="p"/>
            </m:rPr>
            <m:t>lg</m:t>
          </m:r>
          <m:f>
            <m:fPr>
              <m:type m:val="bar"/>
            </m:fPr>
            <m:num>
              <m:r>
                <m:t>1</m:t>
              </m:r>
            </m:num>
            <m:den>
              <m:r>
                <m:rPr>
                  <m:sty m:val="p"/>
                </m:rPr>
                <m:t>M</m:t>
              </m:r>
              <m:r>
                <m:rPr>
                  <m:sty m:val="p"/>
                </m:rPr>
                <m:t>S</m:t>
              </m:r>
              <m:r>
                <m:rPr>
                  <m:sty m:val="p"/>
                </m:rPr>
                <m:t>E</m:t>
              </m:r>
            </m:den>
          </m:f>
          <m:r>
            <m:t> </m:t>
          </m:r>
          <m:r>
            <m:rPr>
              <m:nor/>
              <m:sty m:val="p"/>
            </m:rPr>
            <m:t>дБ</m:t>
          </m:r>
          <m:r>
            <m:t>  </m:t>
          </m:r>
          <m:d>
            <m:dPr>
              <m:begChr m:val="("/>
              <m:endChr m:val=")"/>
              <m:sepChr m:val=""/>
              <m:grow/>
            </m:dPr>
            <m:e>
              <m:r>
                <m:rPr>
                  <m:nor/>
                  <m:sty m:val="p"/>
                </m:rPr>
                <m:t>для яркостей в </m:t>
              </m:r>
              <m:d>
                <m:dPr>
                  <m:begChr m:val="["/>
                  <m:endChr m:val="]"/>
                  <m:sepChr m:val=""/>
                  <m:grow/>
                </m:dPr>
                <m:e>
                  <m:r>
                    <m:t>0</m:t>
                  </m:r>
                  <m:r>
                    <m:rPr>
                      <m:sty m:val="p"/>
                    </m:rPr>
                    <m:t>,</m:t>
                  </m:r>
                  <m:r>
                    <m:t>1</m:t>
                  </m:r>
                </m:e>
              </m:d>
            </m:e>
          </m:d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Чем больше PSNR, тем меньше отличие;</w:t>
      </w:r>
      <w:r>
        <w:t xml:space="preserve"> </w:t>
      </w:r>
      <m:oMath>
        <m:r>
          <m:rPr>
            <m:sty m:val="p"/>
          </m:rPr>
          <m:t>M</m:t>
        </m:r>
        <m:r>
          <m:rPr>
            <m:sty m:val="p"/>
          </m:rPr>
          <m:t>S</m:t>
        </m:r>
        <m:r>
          <m:rPr>
            <m:sty m:val="p"/>
          </m:rPr>
          <m:t>E</m:t>
        </m:r>
        <m:r>
          <m:rPr>
            <m:sty m:val="p"/>
          </m:rPr>
          <m:t>=</m:t>
        </m:r>
        <m:sSup>
          <m:e>
            <m:r>
              <m:t>10</m:t>
            </m:r>
          </m:e>
          <m:sup>
            <m:r>
              <m:rPr>
                <m:sty m:val="p"/>
              </m:rPr>
              <m:t>−</m:t>
            </m:r>
            <m:r>
              <m:t>3</m:t>
            </m:r>
          </m:sup>
        </m:sSup>
      </m:oMath>
      <w:r>
        <w:t xml:space="preserve"> </w:t>
      </w:r>
      <w:r>
        <w:t xml:space="preserve">даёт 30 дБ. PSNR измеряет численное отличие, а не «красоту»: две картинки с одинаковым PSNR могут выглядеть по-разному.</w:t>
      </w:r>
    </w:p>
    <w:bookmarkEnd w:id="23"/>
    <w:bookmarkStart w:id="24" w:name="изменение-размера"/>
    <w:p>
      <w:pPr>
        <w:pStyle w:val="21"/>
      </w:pPr>
      <w:r>
        <w:t xml:space="preserve">2.4. Изменение размера</w:t>
      </w:r>
    </w:p>
    <w:p>
      <w:pPr>
        <w:pStyle w:val="FirstParagraph"/>
      </w:pPr>
      <w:r>
        <w:t xml:space="preserve">Уменьшение изображения теряет детали, которые не восстанавливаются при возврате к исходному размеру. Поэтому пару «уменьшили — вернули» используют как измеримую модель потери информации; функция</w:t>
      </w:r>
      <w:r>
        <w:t xml:space="preserve"> </w:t>
      </w:r>
      <w:r>
        <w:rPr>
          <w:rStyle w:val="VerbatimChar"/>
        </w:rPr>
        <w:t xml:space="preserve">imresize</w:t>
      </w:r>
      <w:r>
        <w:t xml:space="preserve"> </w:t>
      </w:r>
      <w:r>
        <w:t xml:space="preserve">пакета</w:t>
      </w:r>
      <w:r>
        <w:t xml:space="preserve"> </w:t>
      </w:r>
      <w:r>
        <w:rPr>
          <w:rStyle w:val="VerbatimChar"/>
        </w:rPr>
        <w:t xml:space="preserve">Images</w:t>
      </w:r>
      <w:r>
        <w:t xml:space="preserve"> </w:t>
      </w:r>
      <w:r>
        <w:t xml:space="preserve">выполняет интерполяцию. Чем сильнее уменьшение, тем ниже PSNR по отношению к исходному.</w:t>
      </w:r>
    </w:p>
    <w:bookmarkEnd w:id="24"/>
    <w:bookmarkStart w:id="25" w:name="гистограмма-контраст-и-энтропия"/>
    <w:p>
      <w:pPr>
        <w:pStyle w:val="21"/>
      </w:pPr>
      <w:r>
        <w:t xml:space="preserve">2.5. Гистограмма, контраст и энтропия</w:t>
      </w:r>
    </w:p>
    <w:p>
      <w:pPr>
        <w:pStyle w:val="FirstParagraph"/>
      </w:pPr>
      <w:r>
        <w:t xml:space="preserve">Гистограмма показывает, сколько отсчётов попадает в каждый интервал яркости; по ней видны недо- и переэкспонирование. Три числа кратко описывают распределение: среднее (яркость), стандартное отклонение (контраст) и энтропия гистограммы</w:t>
      </w:r>
      <w:r>
        <w:t xml:space="preserve"> </w:t>
      </w:r>
      <m:oMath>
        <m:r>
          <m:t>H</m:t>
        </m:r>
        <m:r>
          <m:rPr>
            <m:sty m:val="p"/>
          </m:rPr>
          <m:t>=</m:t>
        </m:r>
        <m:r>
          <m:rPr>
            <m:sty m:val="p"/>
          </m:rPr>
          <m:t>−</m:t>
        </m:r>
        <m:nary>
          <m:naryPr>
            <m:chr m:val="∑"/>
            <m:limLoc m:val="undOvr"/>
            <m:subHide m:val="0"/>
            <m:supHide m:val="1"/>
          </m:naryPr>
          <m:sub>
            <m:r>
              <m:t>k</m:t>
            </m:r>
          </m:sub>
          <m:sup>
            <m:r>
              <m:t>​</m:t>
            </m:r>
          </m:sup>
          <m:e>
            <m:sSub>
              <m:e>
                <m:r>
                  <m:t>q</m:t>
                </m:r>
              </m:e>
              <m:sub>
                <m:r>
                  <m:t>k</m:t>
                </m:r>
              </m:sub>
            </m:sSub>
          </m:e>
        </m:nary>
        <m:sSub>
          <m:e>
            <m:r>
              <m:rPr>
                <m:sty m:val="p"/>
              </m:rPr>
              <m:t>log</m:t>
            </m:r>
          </m:e>
          <m:sub>
            <m:r>
              <m:t>2</m:t>
            </m:r>
          </m:sub>
        </m:sSub>
        <m:sSub>
          <m:e>
            <m:r>
              <m:t>q</m:t>
            </m:r>
          </m:e>
          <m:sub>
            <m:r>
              <m:t>k</m:t>
            </m:r>
          </m:sub>
        </m:sSub>
      </m:oMath>
      <w:r>
        <w:t xml:space="preserve"> </w:t>
      </w:r>
      <w:r>
        <w:t xml:space="preserve">бит на отсчёт (</w:t>
      </w:r>
      <m:oMath>
        <m:sSub>
          <m:e>
            <m:r>
              <m:t>q</m:t>
            </m:r>
          </m:e>
          <m:sub>
            <m:r>
              <m:t>k</m:t>
            </m:r>
          </m:sub>
        </m:sSub>
      </m:oMath>
      <w:r>
        <w:t xml:space="preserve"> </w:t>
      </w:r>
      <w:r>
        <w:t xml:space="preserve">— доля отсчётов в интервале</w:t>
      </w:r>
      <w:r>
        <w:t xml:space="preserve"> </w:t>
      </w:r>
      <m:oMath>
        <m:r>
          <m:t>k</m:t>
        </m:r>
      </m:oMath>
      <w:r>
        <w:t xml:space="preserve">; в работе используется 32 интервала, максимум</w:t>
      </w:r>
      <w:r>
        <w:t xml:space="preserve"> </w:t>
      </w:r>
      <m:oMath>
        <m:r>
          <m:t>5</m:t>
        </m:r>
      </m:oMath>
      <w:r>
        <w:t xml:space="preserve"> </w:t>
      </w:r>
      <w:r>
        <w:t xml:space="preserve">бит). Линейное растяжение контраста</w:t>
      </w:r>
      <w:r>
        <w:t xml:space="preserve"> </w:t>
      </w:r>
      <m:oMath>
        <m:r>
          <m:t>x</m:t>
        </m:r>
        <m:r>
          <m:rPr>
            <m:sty m:val="p"/>
          </m:rPr>
          <m:t>′</m:t>
        </m:r>
        <m:r>
          <m:rPr>
            <m:sty m:val="p"/>
          </m:rPr>
          <m:t>=</m:t>
        </m:r>
        <m:d>
          <m:dPr>
            <m:begChr m:val="("/>
            <m:endChr m:val=")"/>
            <m:sepChr m:val=""/>
            <m:grow/>
          </m:dPr>
          <m:e>
            <m:r>
              <m:t>x</m:t>
            </m:r>
            <m:r>
              <m:rPr>
                <m:sty m:val="p"/>
              </m:rPr>
              <m:t>−</m:t>
            </m:r>
            <m:sSub>
              <m:e>
                <m:r>
                  <m:t>x</m:t>
                </m:r>
              </m:e>
              <m:sub>
                <m:r>
                  <m:rPr>
                    <m:sty m:val="p"/>
                  </m:rPr>
                  <m:t>min</m:t>
                </m:r>
              </m:sub>
            </m:sSub>
          </m:e>
        </m:d>
        <m:r>
          <m:rPr>
            <m:sty m:val="p"/>
          </m:rPr>
          <m:t>/</m:t>
        </m:r>
        <m:d>
          <m:dPr>
            <m:begChr m:val="("/>
            <m:endChr m:val=")"/>
            <m:sepChr m:val=""/>
            <m:grow/>
          </m:dPr>
          <m:e>
            <m:sSub>
              <m:e>
                <m:r>
                  <m:t>x</m:t>
                </m:r>
              </m:e>
              <m:sub>
                <m:r>
                  <m:rPr>
                    <m:sty m:val="p"/>
                  </m:rPr>
                  <m:t>max</m:t>
                </m:r>
              </m:sub>
            </m:sSub>
            <m:r>
              <m:rPr>
                <m:sty m:val="p"/>
              </m:rPr>
              <m:t>−</m:t>
            </m:r>
            <m:sSub>
              <m:e>
                <m:r>
                  <m:t>x</m:t>
                </m:r>
              </m:e>
              <m:sub>
                <m:r>
                  <m:rPr>
                    <m:sty m:val="p"/>
                  </m:rPr>
                  <m:t>min</m:t>
                </m:r>
              </m:sub>
            </m:sSub>
          </m:e>
        </m:d>
      </m:oMath>
      <w:r>
        <w:t xml:space="preserve"> </w:t>
      </w:r>
      <w:r>
        <w:t xml:space="preserve">расширяет диапазон яркости до</w:t>
      </w:r>
      <w:r>
        <w:t xml:space="preserve"> </w:t>
      </w:r>
      <m:oMath>
        <m:d>
          <m:dPr>
            <m:begChr m:val="["/>
            <m:endChr m:val="]"/>
            <m:sepChr m:val="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r>
              <m:t>1</m:t>
            </m:r>
          </m:e>
        </m:d>
      </m:oMath>
      <w:r>
        <w:t xml:space="preserve">; гамма-коррекция</w:t>
      </w:r>
      <w:r>
        <w:t xml:space="preserve"> </w:t>
      </w:r>
      <m:oMath>
        <m:r>
          <m:t>x</m:t>
        </m:r>
        <m:r>
          <m:rPr>
            <m:sty m:val="p"/>
          </m:rPr>
          <m:t>′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γ</m:t>
            </m:r>
          </m:sup>
        </m:sSup>
      </m:oMath>
      <w:r>
        <w:t xml:space="preserve"> </w:t>
      </w:r>
      <w:r>
        <w:t xml:space="preserve">нелинейно сдвигает распределение.</w:t>
      </w:r>
    </w:p>
    <w:bookmarkEnd w:id="25"/>
    <w:bookmarkStart w:id="26" w:name="значимость-статистическая-и-практическая"/>
    <w:p>
      <w:pPr>
        <w:pStyle w:val="21"/>
      </w:pPr>
      <w:r>
        <w:t xml:space="preserve">2.6. Значимость: статистическая и практическая</w:t>
      </w:r>
    </w:p>
    <w:p>
      <w:pPr>
        <w:pStyle w:val="FirstParagraph"/>
      </w:pPr>
      <w:r>
        <w:t xml:space="preserve">Как в ЛР 1, разброс метрики между запусками оценивается по серии из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5</m:t>
        </m:r>
      </m:oMath>
      <w:r>
        <w:t xml:space="preserve"> </w:t>
      </w:r>
      <w:r>
        <w:t xml:space="preserve">значений seed выборочным стандартным отклонением</w:t>
      </w:r>
      <w:r>
        <w:t xml:space="preserve"> </w:t>
      </w:r>
      <m:oMath>
        <m:r>
          <m:t>s</m:t>
        </m:r>
      </m:oMath>
      <w:r>
        <w:t xml:space="preserve">, а эффект воздействия — разностью средних</w:t>
      </w:r>
      <w:r>
        <w:t xml:space="preserve"> </w:t>
      </w:r>
      <m:oMath>
        <m:r>
          <m:t>Δ</m:t>
        </m:r>
      </m:oMath>
      <w:r>
        <w:t xml:space="preserve">. Критерий из ЛР 1:</w:t>
      </w:r>
      <w:r>
        <w:t xml:space="preserve"> </w:t>
      </w:r>
      <m:oMath>
        <m:r>
          <m:rPr>
            <m:sty m:val="p"/>
          </m:rPr>
          <m:t>|</m:t>
        </m:r>
        <m:r>
          <m:t>Δ</m:t>
        </m:r>
        <m:r>
          <m:rPr>
            <m:sty m:val="p"/>
          </m:rPr>
          <m:t>|</m:t>
        </m:r>
        <m:r>
          <m:rPr>
            <m:sty m:val="p"/>
          </m:rPr>
          <m:t>&gt;</m:t>
        </m:r>
        <m:r>
          <m:t>2</m:t>
        </m:r>
        <m:r>
          <m:t>s</m:t>
        </m:r>
      </m:oMath>
      <w:r>
        <w:t xml:space="preserve">. В этой работе разброс между seed очень мал (структура сцены неизменна, меняется лишь шум), поэтому критерий</w:t>
      </w:r>
      <w:r>
        <w:t xml:space="preserve"> </w:t>
      </w:r>
      <m:oMath>
        <m:r>
          <m:t>2</m:t>
        </m:r>
        <m:r>
          <m:t>s</m:t>
        </m:r>
      </m:oMath>
      <w:r>
        <w:t xml:space="preserve"> </w:t>
      </w:r>
      <w:r>
        <w:t xml:space="preserve">выполняется почти всегда. Это не ошибка, а урок:</w:t>
      </w:r>
      <w:r>
        <w:t xml:space="preserve"> </w:t>
      </w:r>
      <w:r>
        <w:rPr>
          <w:bCs/>
          <w:b/>
        </w:rPr>
        <w:t xml:space="preserve">статистически заметный эффект не обязательно практически важен.</w:t>
      </w:r>
      <w:r>
        <w:t xml:space="preserve"> </w:t>
      </w:r>
      <w:r>
        <w:t xml:space="preserve">Поэтому дополнительно до запуска студент задаёт</w:t>
      </w:r>
      <w:r>
        <w:t xml:space="preserve"> </w:t>
      </w:r>
      <w:r>
        <w:rPr>
          <w:bCs/>
          <w:b/>
        </w:rPr>
        <w:t xml:space="preserve">практический допуск</w:t>
      </w:r>
      <w:r>
        <w:t xml:space="preserve"> </w:t>
      </w:r>
      <w:r>
        <w:t xml:space="preserve">(например, относительное изменение метрики более 5 % или падение PSNR ниже 30 дБ) и отвечает на два вопроса раздельно.</w:t>
      </w:r>
    </w:p>
    <w:bookmarkEnd w:id="26"/>
    <w:bookmarkStart w:id="27" w:name="паспорт-эксперимента"/>
    <w:p>
      <w:pPr>
        <w:pStyle w:val="21"/>
      </w:pPr>
      <w:r>
        <w:t xml:space="preserve">2.7. Паспорт эксперимента</w:t>
      </w:r>
    </w:p>
    <w:p>
      <w:pPr>
        <w:pStyle w:val="FirstParagraph"/>
      </w:pPr>
      <w:r>
        <w:t xml:space="preserve">Паспорт из ЛР 1 дополняется полями: версия среды и языка (например, «Engee 26.8.2-H3, Julia 1.12.4»), версия учебной библиотеки, параметры сцены, seed, номер варианта, воздействие и практический допуск. Контрольная сумма массива яркостей (SHA-256 по байтам</w:t>
      </w:r>
      <w:r>
        <w:t xml:space="preserve"> </w:t>
      </w:r>
      <w:r>
        <w:rPr>
          <w:rStyle w:val="VerbatimChar"/>
        </w:rPr>
        <w:t xml:space="preserve">Float64</w:t>
      </w:r>
      <w:r>
        <w:t xml:space="preserve">) записывается для подтверждения воспроизводимости.</w:t>
      </w:r>
    </w:p>
    <w:bookmarkEnd w:id="27"/>
    <w:bookmarkEnd w:id="28"/>
    <w:bookmarkStart w:id="29" w:name="постановка-задачи"/>
    <w:p>
      <w:pPr>
        <w:pStyle w:val="1"/>
      </w:pPr>
      <w:r>
        <w:t xml:space="preserve">3. Постановка задачи</w:t>
      </w:r>
    </w:p>
    <w:p>
      <w:pPr>
        <w:pStyle w:val="FirstParagraph"/>
      </w:pPr>
      <w:r>
        <w:rPr>
          <w:bCs/>
          <w:b/>
        </w:rPr>
        <w:t xml:space="preserve">Вход.</w:t>
      </w:r>
      <w:r>
        <w:t xml:space="preserve"> </w:t>
      </w:r>
      <w:r>
        <w:t xml:space="preserve">Номер варианта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(1–30): пара «сцена × воздействие» по правилу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d>
          <m:dPr>
            <m:begChr m:val="("/>
            <m:endChr m:val=")"/>
            <m:sepChr m:val=""/>
            <m:grow/>
          </m:dPr>
          <m:e>
            <m:r>
              <m:rPr>
                <m:nor/>
                <m:sty m:val="p"/>
              </m:rPr>
              <m:t>номер сцены</m:t>
            </m:r>
            <m:r>
              <m:rPr>
                <m:sty m:val="p"/>
              </m:rPr>
              <m:t>−</m:t>
            </m:r>
            <m:r>
              <m:t>1</m:t>
            </m:r>
          </m:e>
        </m:d>
        <m:r>
          <m:rPr>
            <m:sty m:val="p"/>
          </m:rPr>
          <m:t>⋅</m:t>
        </m:r>
        <m:r>
          <m:t>6</m:t>
        </m:r>
        <m:r>
          <m:rPr>
            <m:sty m:val="p"/>
          </m:rPr>
          <m:t>+</m:t>
        </m:r>
        <m:r>
          <m:rPr>
            <m:nor/>
            <m:sty m:val="p"/>
          </m:rPr>
          <m:t>номер воздействия</m:t>
        </m:r>
      </m:oMath>
      <w:r>
        <w:t xml:space="preserve">. Синтетическая сцена</w:t>
      </w:r>
      <w:r>
        <w:t xml:space="preserve"> </w:t>
      </w:r>
      <m:oMath>
        <m:r>
          <m:t>128</m:t>
        </m:r>
        <m:r>
          <m:rPr>
            <m:sty m:val="p"/>
          </m:rPr>
          <m:t>×</m:t>
        </m:r>
        <m:r>
          <m:t>128</m:t>
        </m:r>
      </m:oMath>
      <w:r>
        <w:t xml:space="preserve"> </w:t>
      </w:r>
      <w:r>
        <w:t xml:space="preserve">пикселей порождается функцией</w:t>
      </w:r>
      <w:r>
        <w:t xml:space="preserve"> </w:t>
      </w:r>
      <w:r>
        <w:rPr>
          <w:rStyle w:val="VerbatimChar"/>
        </w:rPr>
        <w:t xml:space="preserve">make_scene(seed; …)</w:t>
      </w:r>
      <w:r>
        <w:t xml:space="preserve">; серия из 5 значений seed: 101…105.</w:t>
      </w:r>
    </w:p>
    <w:p>
      <w:pPr>
        <w:pStyle w:val="af"/>
      </w:pPr>
      <w:r>
        <w:rPr>
          <w:bCs/>
          <w:b/>
        </w:rPr>
        <w:t xml:space="preserve">Что нужно получить.</w:t>
      </w:r>
      <w:r>
        <w:t xml:space="preserve"> </w:t>
      </w:r>
      <w:r>
        <w:t xml:space="preserve">(а) Свойства сцены и результаты двух способов получения яркости; (б) контрольную сумму массива яркости при seed 101 и её воспроизведение; (в) гистограмму до и после воздействия; (г) таблицу метрик по серии seed и PSNR; (д) вывод по значимости — статистической и практической; (е) обновлённый паспорт.</w:t>
      </w:r>
    </w:p>
    <w:p>
      <w:pPr>
        <w:pStyle w:val="af"/>
      </w:pPr>
      <w:r>
        <w:rPr>
          <w:bCs/>
          <w:b/>
        </w:rPr>
        <w:t xml:space="preserve">Что фиксируется и что варьируется.</w:t>
      </w:r>
      <w:r>
        <w:t xml:space="preserve"> </w:t>
      </w:r>
      <w:r>
        <w:t xml:space="preserve">Фиксируются размер сцены, seed серии, число интервалов гистограммы (32), критерии. Варьируются сцена и воздействие.</w:t>
      </w:r>
    </w:p>
    <w:p>
      <w:pPr>
        <w:pStyle w:val="af"/>
      </w:pPr>
      <w:r>
        <w:rPr>
          <w:bCs/>
          <w:b/>
        </w:rPr>
        <w:t xml:space="preserve">Критерий успеха.</w:t>
      </w:r>
      <w:r>
        <w:t xml:space="preserve"> </w:t>
      </w:r>
      <w:r>
        <w:t xml:space="preserve">Контрольная сумма воспроизводится; таблица метрик получена по 5 значениям seed; допуск записан до запуска; вывод не выходит за рамки данных.</w:t>
      </w:r>
    </w:p>
    <w:bookmarkEnd w:id="29"/>
    <w:bookmarkStart w:id="30" w:name="подготовка-среды"/>
    <w:p>
      <w:pPr>
        <w:pStyle w:val="1"/>
      </w:pPr>
      <w:r>
        <w:t xml:space="preserve">4. Подготовка среды</w:t>
      </w:r>
    </w:p>
    <w:p>
      <w:pPr>
        <w:numPr>
          <w:ilvl w:val="0"/>
          <w:numId w:val="1002"/>
        </w:numPr>
        <w:pStyle w:val="Compact"/>
      </w:pPr>
      <w:r>
        <w:t xml:space="preserve">Откройте Engee и папку курса (часть Б ЛР 1); создайте подпапку</w:t>
      </w:r>
      <w:r>
        <w:t xml:space="preserve"> </w:t>
      </w:r>
      <w:r>
        <w:rPr>
          <w:rStyle w:val="VerbatimChar"/>
        </w:rPr>
        <w:t xml:space="preserve">LR03</w:t>
      </w:r>
      <w:r>
        <w:t xml:space="preserve">.</w:t>
      </w:r>
    </w:p>
    <w:p>
      <w:pPr>
        <w:numPr>
          <w:ilvl w:val="0"/>
          <w:numId w:val="1002"/>
        </w:numPr>
        <w:pStyle w:val="Compact"/>
      </w:pPr>
      <w:r>
        <w:t xml:space="preserve">Создайте скрипт (кнопка «+» в «Редакторе скриптов»)</w:t>
      </w:r>
      <w:r>
        <w:t xml:space="preserve"> </w:t>
      </w:r>
      <w:r>
        <w:rPr>
          <w:rStyle w:val="VerbatimChar"/>
        </w:rPr>
        <w:t xml:space="preserve">LR03_&lt;номер&gt;.ngscript</w:t>
      </w:r>
      <w:r>
        <w:t xml:space="preserve"> </w:t>
      </w:r>
      <w:r>
        <w:t xml:space="preserve">или</w:t>
      </w:r>
      <w:r>
        <w:t xml:space="preserve"> </w:t>
      </w:r>
      <w:r>
        <w:rPr>
          <w:rStyle w:val="VerbatimChar"/>
        </w:rPr>
        <w:t xml:space="preserve">.jl</w:t>
      </w:r>
      <w:r>
        <w:t xml:space="preserve"> </w:t>
      </w:r>
      <w:r>
        <w:t xml:space="preserve">и сохраните его в</w:t>
      </w:r>
      <w:r>
        <w:t xml:space="preserve"> </w:t>
      </w:r>
      <w:r>
        <w:rPr>
          <w:rStyle w:val="VerbatimChar"/>
        </w:rPr>
        <w:t xml:space="preserve">LR03</w:t>
      </w:r>
      <w:r>
        <w:t xml:space="preserve">.</w:t>
      </w:r>
    </w:p>
    <w:p>
      <w:pPr>
        <w:numPr>
          <w:ilvl w:val="0"/>
          <w:numId w:val="1002"/>
        </w:numPr>
        <w:pStyle w:val="Compact"/>
      </w:pPr>
      <w:r>
        <w:t xml:space="preserve">Добавьте в первую ячейку текст файла</w:t>
      </w:r>
      <w:r>
        <w:t xml:space="preserve"> </w:t>
      </w:r>
      <w:r>
        <w:rPr>
          <w:rStyle w:val="VerbatimChar"/>
        </w:rPr>
        <w:t xml:space="preserve">lab03_lib.jl</w:t>
      </w:r>
      <w:r>
        <w:t xml:space="preserve"> </w:t>
      </w:r>
      <w:r>
        <w:t xml:space="preserve">(или загрузите файл в</w:t>
      </w:r>
      <w:r>
        <w:t xml:space="preserve"> </w:t>
      </w:r>
      <w:r>
        <w:rPr>
          <w:rStyle w:val="VerbatimChar"/>
        </w:rPr>
        <w:t xml:space="preserve">LR03</w:t>
      </w:r>
      <w:r>
        <w:t xml:space="preserve"> </w:t>
      </w:r>
      <w:r>
        <w:t xml:space="preserve">кнопкой загрузки панели «Файлы» и выполните</w:t>
      </w:r>
      <w:r>
        <w:t xml:space="preserve"> </w:t>
      </w:r>
      <w:r>
        <w:rPr>
          <w:rStyle w:val="VerbatimChar"/>
        </w:rPr>
        <w:t xml:space="preserve">include("lab03_lib.jl")</w:t>
      </w:r>
      <w:r>
        <w:t xml:space="preserve"> </w:t>
      </w:r>
      <w:r>
        <w:t xml:space="preserve">из этой папки). Выполните ячейку; первая загрузка пакетов может занять время.</w:t>
      </w:r>
    </w:p>
    <w:p>
      <w:pPr>
        <w:numPr>
          <w:ilvl w:val="0"/>
          <w:numId w:val="1002"/>
        </w:numPr>
        <w:pStyle w:val="Compact"/>
      </w:pPr>
      <w:r>
        <w:t xml:space="preserve">Убедитесь, что определена функция: выполните</w:t>
      </w:r>
      <w:r>
        <w:t xml:space="preserve"> </w:t>
      </w:r>
      <w:r>
        <w:rPr>
          <w:rStyle w:val="VerbatimChar"/>
        </w:rPr>
        <w:t xml:space="preserve">make_scene(101) |&gt; describe_image</w:t>
      </w:r>
      <w:r>
        <w:t xml:space="preserve">.</w:t>
      </w:r>
    </w:p>
    <w:p>
      <w:pPr>
        <w:numPr>
          <w:ilvl w:val="0"/>
          <w:numId w:val="1002"/>
        </w:numPr>
        <w:pStyle w:val="Compact"/>
      </w:pPr>
      <w:r>
        <w:t xml:space="preserve">Запишите в журнал: дату, версию среды (заголовок вкладки браузера), версию Julia (</w:t>
      </w:r>
      <w:r>
        <w:rPr>
          <w:rStyle w:val="VerbatimChar"/>
        </w:rPr>
        <w:t xml:space="preserve">VERSION</w:t>
      </w:r>
      <w:r>
        <w:t xml:space="preserve">).</w:t>
      </w:r>
    </w:p>
    <w:p>
      <w:pPr>
        <w:pStyle w:val="FirstParagraph"/>
      </w:pPr>
      <w:r>
        <w:t xml:space="preserve">Файл</w:t>
      </w:r>
      <w:r>
        <w:t xml:space="preserve"> </w:t>
      </w:r>
      <w:r>
        <w:rPr>
          <w:rStyle w:val="VerbatimChar"/>
        </w:rPr>
        <w:t xml:space="preserve">lab03_lib.jl</w:t>
      </w:r>
      <w:r>
        <w:t xml:space="preserve"> </w:t>
      </w:r>
      <w:r>
        <w:t xml:space="preserve">— часть материалов работы. Данные синтетические; загружать в работу изображения людей и материалы, права на которые не подтверждены, запрещено.</w:t>
      </w:r>
    </w:p>
    <w:bookmarkEnd w:id="30"/>
    <w:bookmarkStart w:id="31" w:name="план-выполнения"/>
    <w:p>
      <w:pPr>
        <w:pStyle w:val="1"/>
      </w:pPr>
      <w:r>
        <w:t xml:space="preserve">5. План выполнения</w:t>
      </w:r>
    </w:p>
    <w:tbl>
      <w:tblPr>
        <w:tblStyle w:val="aff0"/>
        <w:tblW w:type="pct" w:w="5000"/>
        <w:jc w:val="center"/>
        <w:tblLayout w:type="fixed"/>
        <w:tblLook w:firstRow="1" w:lastRow="0" w:firstColumn="0" w:lastColumn="0" w:noHBand="0" w:noVBand="0" w:val="0020"/>
      </w:tblPr>
      <w:tblGrid>
        <w:gridCol w:w="745"/>
        <w:gridCol w:w="6390"/>
        <w:gridCol w:w="2503"/>
      </w:tblGrid>
      <w:tr>
        <w:trPr>
          <w:tblHeader w:val="true"/>
          <w:tblHeader w:val="true"/>
          <w:cantSplit w:val="true"/>
        </w:trPr>
        <w:tc>
          <w:tcPr>
            <w:tcW w:type="dxa" w:w="745"/>
            <w:shd w:val="clear" w:color="auto" w:fill="D9E2F3"/>
          </w:tcPr>
          <w:p>
            <w:pPr>
              <w:pStyle w:val="Compact"/>
              <w:spacing w:before="40" w:after="40"/>
              <w:jc w:val="right"/>
            </w:pPr>
            <w:r>
              <w:rPr>
                <w:b/>
                <w:sz w:val="20"/>
              </w:rPr>
              <w:t xml:space="preserve">Шаг</w:t>
            </w:r>
          </w:p>
        </w:tc>
        <w:tc>
          <w:tcPr>
            <w:tcW w:type="dxa" w:w="6390"/>
            <w:shd w:val="clear" w:color="auto" w:fill="D9E2F3"/>
          </w:tcPr>
          <w:p>
            <w:pPr>
              <w:pStyle w:val="Compact"/>
              <w:spacing w:before="40" w:after="40"/>
              <w:jc w:val="left"/>
            </w:pPr>
            <w:r>
              <w:rPr>
                <w:b/>
                <w:sz w:val="20"/>
              </w:rPr>
              <w:t xml:space="preserve">Действие</w:t>
            </w:r>
          </w:p>
        </w:tc>
        <w:tc>
          <w:tcPr>
            <w:tcW w:type="dxa" w:w="2503"/>
            <w:shd w:val="clear" w:color="auto" w:fill="D9E2F3"/>
          </w:tcPr>
          <w:p>
            <w:pPr>
              <w:pStyle w:val="Compact"/>
              <w:spacing w:before="40" w:after="40"/>
              <w:jc w:val="left"/>
            </w:pPr>
            <w:r>
              <w:rPr>
                <w:b/>
                <w:sz w:val="20"/>
              </w:rPr>
              <w:t xml:space="preserve">Наблюдаемый результат</w:t>
            </w:r>
          </w:p>
        </w:tc>
      </w:tr>
      <w:tr>
        <w:trPr>
          <w:cantSplit w:val="true"/>
        </w:trPr>
        <w:tc>
          <w:tcPr>
            <w:tcW w:type="dxa" w:w="745"/>
          </w:tcPr>
          <w:p>
            <w:pPr>
              <w:pStyle w:val="Compact"/>
              <w:spacing w:before="40" w:after="40"/>
              <w:jc w:val="right"/>
            </w:pPr>
            <w:r>
              <w:rPr>
                <w:sz w:val="20"/>
              </w:rPr>
              <w:t xml:space="preserve">1</w:t>
            </w:r>
          </w:p>
        </w:tc>
        <w:tc>
          <w:tcPr>
            <w:tcW w:type="dxa" w:w="6390"/>
          </w:tcPr>
          <w:p>
            <w:pPr>
              <w:pStyle w:val="Compact"/>
              <w:spacing w:before="40" w:after="40"/>
              <w:jc w:val="left"/>
            </w:pPr>
            <w:r>
              <w:rPr>
                <w:sz w:val="20"/>
              </w:rPr>
              <w:t xml:space="preserve">Подготовьте среду (раздел 4)</w:t>
            </w:r>
          </w:p>
        </w:tc>
        <w:tc>
          <w:tcPr>
            <w:tcW w:type="dxa" w:w="2503"/>
          </w:tcPr>
          <w:p>
            <w:pPr>
              <w:pStyle w:val="Compact"/>
              <w:spacing w:before="40" w:after="40"/>
              <w:jc w:val="left"/>
            </w:pPr>
            <w:r>
              <w:rPr>
                <w:sz w:val="20"/>
              </w:rPr>
              <w:t xml:space="preserve">выполнена ячейка с библиотекой,</w:t>
            </w:r>
            <w:r>
              <w:rPr>
                <w:sz w:val="20"/>
              </w:rPr>
              <w:t xml:space="preserve"> </w:t>
            </w:r>
            <w:r>
              <w:rPr>
                <w:rStyle w:val="VerbatimChar"/>
                <w:sz w:val="20"/>
              </w:rPr>
              <w:t xml:space="preserve">describe_image</w:t>
            </w:r>
            <w:r>
              <w:rPr>
                <w:sz w:val="20"/>
              </w:rPr>
              <w:t xml:space="preserve"> </w:t>
            </w:r>
            <w:r>
              <w:rPr>
                <w:sz w:val="20"/>
              </w:rPr>
              <w:t xml:space="preserve">возвращает результат</w:t>
            </w:r>
          </w:p>
        </w:tc>
      </w:tr>
      <w:tr>
        <w:trPr>
          <w:cantSplit w:val="true"/>
        </w:trPr>
        <w:tc>
          <w:tcPr>
            <w:tcW w:type="dxa" w:w="745"/>
          </w:tcPr>
          <w:p>
            <w:pPr>
              <w:pStyle w:val="Compact"/>
              <w:spacing w:before="40" w:after="40"/>
              <w:jc w:val="right"/>
            </w:pPr>
            <w:r>
              <w:rPr>
                <w:sz w:val="20"/>
              </w:rPr>
              <w:t xml:space="preserve">2</w:t>
            </w:r>
          </w:p>
        </w:tc>
        <w:tc>
          <w:tcPr>
            <w:tcW w:type="dxa" w:w="6390"/>
          </w:tcPr>
          <w:p>
            <w:pPr>
              <w:pStyle w:val="Compact"/>
              <w:spacing w:before="40" w:after="40"/>
              <w:jc w:val="left"/>
            </w:pPr>
            <w:r>
              <w:rPr>
                <w:sz w:val="20"/>
              </w:rPr>
              <w:t xml:space="preserve">Запишите гипотезу и практический допуск для своего варианта</w:t>
            </w:r>
          </w:p>
        </w:tc>
        <w:tc>
          <w:tcPr>
            <w:tcW w:type="dxa" w:w="2503"/>
          </w:tcPr>
          <w:p>
            <w:pPr>
              <w:pStyle w:val="Compact"/>
              <w:spacing w:before="40" w:after="40"/>
              <w:jc w:val="left"/>
            </w:pPr>
            <w:r>
              <w:rPr>
                <w:sz w:val="20"/>
              </w:rPr>
              <w:t xml:space="preserve">запись с датой до запуска</w:t>
            </w:r>
          </w:p>
        </w:tc>
      </w:tr>
      <w:tr>
        <w:trPr>
          <w:cantSplit w:val="true"/>
        </w:trPr>
        <w:tc>
          <w:tcPr>
            <w:tcW w:type="dxa" w:w="745"/>
          </w:tcPr>
          <w:p>
            <w:pPr>
              <w:pStyle w:val="Compact"/>
              <w:spacing w:before="40" w:after="40"/>
              <w:jc w:val="right"/>
            </w:pPr>
            <w:r>
              <w:rPr>
                <w:sz w:val="20"/>
              </w:rPr>
              <w:t xml:space="preserve">3</w:t>
            </w:r>
          </w:p>
        </w:tc>
        <w:tc>
          <w:tcPr>
            <w:tcW w:type="dxa" w:w="6390"/>
          </w:tcPr>
          <w:p>
            <w:pPr>
              <w:pStyle w:val="Compact"/>
              <w:spacing w:before="40" w:after="40"/>
              <w:jc w:val="left"/>
            </w:pPr>
            <w:r>
              <w:rPr>
                <w:sz w:val="20"/>
              </w:rPr>
              <w:t xml:space="preserve">Создайте сцену</w:t>
            </w:r>
            <w:r>
              <w:rPr>
                <w:sz w:val="20"/>
              </w:rPr>
              <w:t xml:space="preserve"> </w:t>
            </w:r>
            <w:r>
              <w:rPr>
                <w:rStyle w:val="VerbatimChar"/>
                <w:sz w:val="20"/>
              </w:rPr>
              <w:t xml:space="preserve">make_scene(101; …)</w:t>
            </w:r>
            <w:r>
              <w:rPr>
                <w:sz w:val="20"/>
              </w:rPr>
              <w:t xml:space="preserve"> </w:t>
            </w:r>
            <w:r>
              <w:rPr>
                <w:sz w:val="20"/>
              </w:rPr>
              <w:t xml:space="preserve">по параметрам сцены варианта; опишите её:</w:t>
            </w:r>
            <w:r>
              <w:rPr>
                <w:sz w:val="20"/>
              </w:rPr>
              <w:t xml:space="preserve"> </w:t>
            </w:r>
            <w:r>
              <w:rPr>
                <w:rStyle w:val="VerbatimChar"/>
                <w:sz w:val="20"/>
              </w:rPr>
              <w:t xml:space="preserve">describe_image</w:t>
            </w:r>
          </w:p>
        </w:tc>
        <w:tc>
          <w:tcPr>
            <w:tcW w:type="dxa" w:w="2503"/>
          </w:tcPr>
          <w:p>
            <w:pPr>
              <w:pStyle w:val="Compact"/>
              <w:spacing w:before="40" w:after="40"/>
              <w:jc w:val="left"/>
            </w:pPr>
            <w:r>
              <w:rPr>
                <w:sz w:val="20"/>
              </w:rPr>
              <w:t xml:space="preserve">размер, тип, диапазон, объём в байтах</w:t>
            </w:r>
          </w:p>
        </w:tc>
      </w:tr>
      <w:tr>
        <w:trPr>
          <w:cantSplit w:val="true"/>
        </w:trPr>
        <w:tc>
          <w:tcPr>
            <w:tcW w:type="dxa" w:w="745"/>
          </w:tcPr>
          <w:p>
            <w:pPr>
              <w:pStyle w:val="Compact"/>
              <w:spacing w:before="40" w:after="40"/>
              <w:jc w:val="right"/>
            </w:pPr>
            <w:r>
              <w:rPr>
                <w:sz w:val="20"/>
              </w:rPr>
              <w:t xml:space="preserve">4</w:t>
            </w:r>
          </w:p>
        </w:tc>
        <w:tc>
          <w:tcPr>
            <w:tcW w:type="dxa" w:w="6390"/>
          </w:tcPr>
          <w:p>
            <w:pPr>
              <w:pStyle w:val="Compact"/>
              <w:spacing w:before="40" w:after="40"/>
              <w:jc w:val="left"/>
            </w:pPr>
            <w:r>
              <w:rPr>
                <w:sz w:val="20"/>
              </w:rPr>
              <w:t xml:space="preserve">Получите яркость двумя способами; найдите максимум модуля разности</w:t>
            </w:r>
          </w:p>
        </w:tc>
        <w:tc>
          <w:tcPr>
            <w:tcW w:type="dxa" w:w="2503"/>
          </w:tcPr>
          <w:p>
            <w:pPr>
              <w:pStyle w:val="Compact"/>
              <w:spacing w:before="40" w:after="40"/>
              <w:jc w:val="left"/>
            </w:pPr>
            <w:r>
              <w:rPr>
                <w:sz w:val="20"/>
              </w:rPr>
              <w:t xml:space="preserve">число порядка</w:t>
            </w:r>
            <w:r>
              <w:rPr>
                <w:sz w:val="20"/>
              </w:rPr>
              <w:t xml:space="preserve"> </w:t>
            </w:r>
            <m:oMath>
              <m:sSup>
                <m:e>
                  <m:r>
                    <m:t>10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8</m:t>
                  </m:r>
                </m:sup>
              </m:sSup>
            </m:oMath>
          </w:p>
        </w:tc>
      </w:tr>
      <w:tr>
        <w:trPr>
          <w:cantSplit w:val="true"/>
        </w:trPr>
        <w:tc>
          <w:tcPr>
            <w:tcW w:type="dxa" w:w="745"/>
          </w:tcPr>
          <w:p>
            <w:pPr>
              <w:pStyle w:val="Compact"/>
              <w:spacing w:before="40" w:after="40"/>
              <w:jc w:val="right"/>
            </w:pPr>
            <w:r>
              <w:rPr>
                <w:sz w:val="20"/>
              </w:rPr>
              <w:t xml:space="preserve">5</w:t>
            </w:r>
          </w:p>
        </w:tc>
        <w:tc>
          <w:tcPr>
            <w:tcW w:type="dxa" w:w="6390"/>
          </w:tcPr>
          <w:p>
            <w:pPr>
              <w:pStyle w:val="Compact"/>
              <w:spacing w:before="40" w:after="40"/>
              <w:jc w:val="left"/>
            </w:pPr>
            <w:r>
              <w:rPr>
                <w:sz w:val="20"/>
              </w:rPr>
              <w:t xml:space="preserve">Вычислите</w:t>
            </w:r>
            <w:r>
              <w:rPr>
                <w:sz w:val="20"/>
              </w:rPr>
              <w:t xml:space="preserve"> </w:t>
            </w:r>
            <w:r>
              <w:rPr>
                <w:rStyle w:val="VerbatimChar"/>
                <w:sz w:val="20"/>
              </w:rPr>
              <w:t xml:space="preserve">array_sha(luma_images(...))</w:t>
            </w:r>
            <w:r>
              <w:rPr>
                <w:sz w:val="20"/>
              </w:rPr>
              <w:t xml:space="preserve"> </w:t>
            </w:r>
            <w:r>
              <w:rPr>
                <w:sz w:val="20"/>
              </w:rPr>
              <w:t xml:space="preserve">дважды</w:t>
            </w:r>
          </w:p>
        </w:tc>
        <w:tc>
          <w:tcPr>
            <w:tcW w:type="dxa" w:w="2503"/>
          </w:tcPr>
          <w:p>
            <w:pPr>
              <w:pStyle w:val="Compact"/>
              <w:spacing w:before="40" w:after="40"/>
              <w:jc w:val="left"/>
            </w:pPr>
            <w:r>
              <w:rPr>
                <w:sz w:val="20"/>
              </w:rPr>
              <w:t xml:space="preserve">одинаковые контрольные суммы</w:t>
            </w:r>
          </w:p>
        </w:tc>
      </w:tr>
      <w:tr>
        <w:trPr>
          <w:cantSplit w:val="true"/>
        </w:trPr>
        <w:tc>
          <w:tcPr>
            <w:tcW w:type="dxa" w:w="745"/>
          </w:tcPr>
          <w:p>
            <w:pPr>
              <w:pStyle w:val="Compact"/>
              <w:spacing w:before="40" w:after="40"/>
              <w:jc w:val="right"/>
            </w:pPr>
            <w:r>
              <w:rPr>
                <w:sz w:val="20"/>
              </w:rPr>
              <w:t xml:space="preserve">6</w:t>
            </w:r>
          </w:p>
        </w:tc>
        <w:tc>
          <w:tcPr>
            <w:tcW w:type="dxa" w:w="6390"/>
          </w:tcPr>
          <w:p>
            <w:pPr>
              <w:pStyle w:val="Compact"/>
              <w:spacing w:before="40" w:after="40"/>
              <w:jc w:val="left"/>
            </w:pPr>
            <w:r>
              <w:rPr>
                <w:sz w:val="20"/>
              </w:rPr>
              <w:t xml:space="preserve">Постройте гистограмму яркости (32 интервала) до воздействия и сохраните график</w:t>
            </w:r>
          </w:p>
        </w:tc>
        <w:tc>
          <w:tcPr>
            <w:tcW w:type="dxa" w:w="2503"/>
          </w:tcPr>
          <w:p>
            <w:pPr>
              <w:pStyle w:val="Compact"/>
              <w:spacing w:before="40" w:after="40"/>
              <w:jc w:val="left"/>
            </w:pPr>
            <w:r>
              <w:rPr>
                <w:sz w:val="20"/>
              </w:rPr>
              <w:t xml:space="preserve">файл графика</w:t>
            </w:r>
          </w:p>
        </w:tc>
      </w:tr>
      <w:tr>
        <w:trPr>
          <w:cantSplit w:val="true"/>
        </w:trPr>
        <w:tc>
          <w:tcPr>
            <w:tcW w:type="dxa" w:w="745"/>
          </w:tcPr>
          <w:p>
            <w:pPr>
              <w:pStyle w:val="Compact"/>
              <w:spacing w:before="40" w:after="40"/>
              <w:jc w:val="right"/>
            </w:pPr>
            <w:r>
              <w:rPr>
                <w:sz w:val="20"/>
              </w:rPr>
              <w:t xml:space="preserve">7</w:t>
            </w:r>
          </w:p>
        </w:tc>
        <w:tc>
          <w:tcPr>
            <w:tcW w:type="dxa" w:w="6390"/>
          </w:tcPr>
          <w:p>
            <w:pPr>
              <w:pStyle w:val="Compact"/>
              <w:spacing w:before="40" w:after="40"/>
              <w:jc w:val="left"/>
            </w:pPr>
            <w:r>
              <w:rPr>
                <w:sz w:val="20"/>
              </w:rPr>
              <w:t xml:space="preserve">Примените воздействие варианта (</w:t>
            </w:r>
            <w:r>
              <w:rPr>
                <w:rStyle w:val="VerbatimChar"/>
                <w:sz w:val="20"/>
              </w:rPr>
              <w:t xml:space="preserve">apply_factor</w:t>
            </w:r>
            <w:r>
              <w:rPr>
                <w:sz w:val="20"/>
              </w:rPr>
              <w:t xml:space="preserve">), постройте гистограмму после и сохраните оба изображения в PNG</w:t>
            </w:r>
          </w:p>
        </w:tc>
        <w:tc>
          <w:tcPr>
            <w:tcW w:type="dxa" w:w="2503"/>
          </w:tcPr>
          <w:p>
            <w:pPr>
              <w:pStyle w:val="Compact"/>
              <w:spacing w:before="40" w:after="40"/>
              <w:jc w:val="left"/>
            </w:pPr>
            <w:r>
              <w:rPr>
                <w:sz w:val="20"/>
              </w:rPr>
              <w:t xml:space="preserve">три файла</w:t>
            </w:r>
          </w:p>
        </w:tc>
      </w:tr>
      <w:tr>
        <w:trPr>
          <w:cantSplit w:val="true"/>
        </w:trPr>
        <w:tc>
          <w:tcPr>
            <w:tcW w:type="dxa" w:w="745"/>
          </w:tcPr>
          <w:p>
            <w:pPr>
              <w:pStyle w:val="Compact"/>
              <w:spacing w:before="40" w:after="40"/>
              <w:jc w:val="right"/>
            </w:pPr>
            <w:r>
              <w:rPr>
                <w:sz w:val="20"/>
              </w:rPr>
              <w:t xml:space="preserve">8</w:t>
            </w:r>
          </w:p>
        </w:tc>
        <w:tc>
          <w:tcPr>
            <w:tcW w:type="dxa" w:w="6390"/>
          </w:tcPr>
          <w:p>
            <w:pPr>
              <w:pStyle w:val="Compact"/>
              <w:spacing w:before="40" w:after="40"/>
              <w:jc w:val="left"/>
            </w:pPr>
            <w:r>
              <w:rPr>
                <w:sz w:val="20"/>
              </w:rPr>
              <w:t xml:space="preserve">Выполните</w:t>
            </w:r>
            <w:r>
              <w:rPr>
                <w:sz w:val="20"/>
              </w:rPr>
              <w:t xml:space="preserve"> </w:t>
            </w:r>
            <w:r>
              <w:rPr>
                <w:rStyle w:val="VerbatimChar"/>
                <w:sz w:val="20"/>
              </w:rPr>
              <w:t xml:space="preserve">variant_summary(N)</w:t>
            </w:r>
            <w:r>
              <w:rPr>
                <w:sz w:val="20"/>
              </w:rPr>
              <w:t xml:space="preserve">; занесите таблицу метрик и PSNR в отчёт</w:t>
            </w:r>
          </w:p>
        </w:tc>
        <w:tc>
          <w:tcPr>
            <w:tcW w:type="dxa" w:w="2503"/>
          </w:tcPr>
          <w:p>
            <w:pPr>
              <w:pStyle w:val="Compact"/>
              <w:spacing w:before="40" w:after="40"/>
              <w:jc w:val="left"/>
            </w:pPr>
            <w:r>
              <w:rPr>
                <w:sz w:val="20"/>
              </w:rPr>
              <w:t xml:space="preserve">таблица</w:t>
            </w:r>
          </w:p>
        </w:tc>
      </w:tr>
      <w:tr>
        <w:trPr>
          <w:cantSplit w:val="true"/>
        </w:trPr>
        <w:tc>
          <w:tcPr>
            <w:tcW w:type="dxa" w:w="745"/>
          </w:tcPr>
          <w:p>
            <w:pPr>
              <w:pStyle w:val="Compact"/>
              <w:spacing w:before="40" w:after="40"/>
              <w:jc w:val="right"/>
            </w:pPr>
            <w:r>
              <w:rPr>
                <w:sz w:val="20"/>
              </w:rPr>
              <w:t xml:space="preserve">9</w:t>
            </w:r>
          </w:p>
        </w:tc>
        <w:tc>
          <w:tcPr>
            <w:tcW w:type="dxa" w:w="6390"/>
          </w:tcPr>
          <w:p>
            <w:pPr>
              <w:pStyle w:val="Compact"/>
              <w:spacing w:before="40" w:after="40"/>
              <w:jc w:val="left"/>
            </w:pPr>
            <w:r>
              <w:rPr>
                <w:sz w:val="20"/>
              </w:rPr>
              <w:t xml:space="preserve">Сформулируйте вывод: значимость статистическая и практическая; обновите паспорт</w:t>
            </w:r>
          </w:p>
        </w:tc>
        <w:tc>
          <w:tcPr>
            <w:tcW w:type="dxa" w:w="2503"/>
          </w:tcPr>
          <w:p>
            <w:pPr>
              <w:pStyle w:val="Compact"/>
              <w:spacing w:before="40" w:after="40"/>
              <w:jc w:val="left"/>
            </w:pPr>
            <w:r>
              <w:rPr>
                <w:sz w:val="20"/>
              </w:rPr>
              <w:t xml:space="preserve">вывод и паспорт</w:t>
            </w:r>
          </w:p>
        </w:tc>
      </w:tr>
    </w:tbl>
    <w:p>
      <w:pPr>
        <w:pStyle w:val="af"/>
      </w:pPr>
      <w:r>
        <w:rPr>
          <w:bCs/>
          <w:b/>
        </w:rPr>
        <w:t xml:space="preserve">Чек-лист перед сдачей.</w:t>
      </w:r>
      <w:r>
        <w:t xml:space="preserve"> </w:t>
      </w:r>
      <w:r>
        <w:t xml:space="preserve">Допуск записан до запуска; версии среды и языка в паспорте; контрольная сумма воспроизведена; серия из 5 seed; вывод отделяет статистическую значимость от практической; артефакты (скрипт, PNG, график) приложены.</w:t>
      </w:r>
    </w:p>
    <w:bookmarkEnd w:id="31"/>
    <w:bookmarkStart w:id="37" w:name="демонстрационный-вариант"/>
    <w:p>
      <w:pPr>
        <w:pStyle w:val="1"/>
      </w:pPr>
      <w:r>
        <w:t xml:space="preserve">6. Демонстрационный вариант</w:t>
      </w:r>
    </w:p>
    <w:p>
      <w:pPr>
        <w:pStyle w:val="FirstParagraph"/>
      </w:pPr>
      <w:r>
        <w:t xml:space="preserve">Демонстрационный вариант — вариант 1: сцена «базовая», воздействие «квантование яркости до 4 бит». Все значения ниже получены реальным выполнением в среде Engee 26.8.2-H3 (язык Julia 1.12.4) 19.09.2026. Расчёт выполнен дважды: сначала функции библиотеки были введены в командную строку среды, затем файл</w:t>
      </w:r>
      <w:r>
        <w:t xml:space="preserve"> </w:t>
      </w:r>
      <w:r>
        <w:rPr>
          <w:rStyle w:val="VerbatimChar"/>
        </w:rPr>
        <w:t xml:space="preserve">lab03_lib.jl</w:t>
      </w:r>
      <w:r>
        <w:t xml:space="preserve"> </w:t>
      </w:r>
      <w:r>
        <w:t xml:space="preserve">(5027 байт, SHA-256 начинается с</w:t>
      </w:r>
      <w:r>
        <w:t xml:space="preserve"> </w:t>
      </w:r>
      <w:r>
        <w:rPr>
          <w:rStyle w:val="VerbatimChar"/>
        </w:rPr>
        <w:t xml:space="preserve">cd1622643e7cfe7c</w:t>
      </w:r>
      <w:r>
        <w:t xml:space="preserve">) загружен в папку</w:t>
      </w:r>
      <w:r>
        <w:t xml:space="preserve"> </w:t>
      </w:r>
      <w:r>
        <w:rPr>
          <w:rStyle w:val="VerbatimChar"/>
        </w:rPr>
        <w:t xml:space="preserve">/user/</w:t>
      </w:r>
      <w:r>
        <w:t xml:space="preserve"> </w:t>
      </w:r>
      <w:r>
        <w:t xml:space="preserve">и выполнен целиком командой</w:t>
      </w:r>
      <w:r>
        <w:t xml:space="preserve"> </w:t>
      </w:r>
      <w:r>
        <w:rPr>
          <w:rStyle w:val="VerbatimChar"/>
        </w:rPr>
        <w:t xml:space="preserve">include("lab03_lib.jl")</w:t>
      </w:r>
      <w:r>
        <w:t xml:space="preserve"> </w:t>
      </w:r>
      <w:r>
        <w:t xml:space="preserve">без ошибок. Демонстрационные значения и сводка по 30 вариантам во второй раз совпали с первыми до последнего знака (сессия среды между запусками перезапускалась). Значения переменных подтверждены панелью «Переменные».</w:t>
      </w:r>
    </w:p>
    <w:bookmarkStart w:id="32" w:name="мини-задача-гипотеза-и-допуск"/>
    <w:p>
      <w:pPr>
        <w:pStyle w:val="21"/>
      </w:pPr>
      <w:r>
        <w:t xml:space="preserve">6.1. Мини-задача, гипотеза и допуск</w:t>
      </w:r>
    </w:p>
    <w:p>
      <w:pPr>
        <w:pStyle w:val="FirstParagraph"/>
      </w:pPr>
      <w:r>
        <w:rPr>
          <w:iCs/>
          <w:i/>
        </w:rPr>
        <w:t xml:space="preserve">Задача.</w:t>
      </w:r>
      <w:r>
        <w:t xml:space="preserve"> </w:t>
      </w:r>
      <w:r>
        <w:t xml:space="preserve">Оценить, как квантование до 4 бит (16 уровней) изменяет средний уровень, контраст и энтропию гистограммы базовой сцены.</w:t>
      </w:r>
    </w:p>
    <w:p>
      <w:pPr>
        <w:pStyle w:val="af"/>
      </w:pPr>
      <w:r>
        <w:rPr>
          <w:iCs/>
          <w:i/>
        </w:rPr>
        <w:t xml:space="preserve">Гипотеза и допуск (образец; в своей работе записывайте до запуска).</w:t>
      </w:r>
      <w:r>
        <w:t xml:space="preserve"> </w:t>
      </w:r>
      <w:r>
        <w:t xml:space="preserve">Среднее почти не изменится, контраст изменится слабо, энтропия резко уменьшится (уровней меньше). Практический допуск: относительное изменение метрики более 5 % или PSNR ниже 30 дБ.</w:t>
      </w:r>
    </w:p>
    <w:bookmarkEnd w:id="32"/>
    <w:bookmarkStart w:id="33" w:name="выполнение"/>
    <w:p>
      <w:pPr>
        <w:pStyle w:val="21"/>
      </w:pPr>
      <w:r>
        <w:t xml:space="preserve">6.2. Выполнение</w:t>
      </w:r>
    </w:p>
    <w:p>
      <w:pPr>
        <w:pStyle w:val="FirstParagraph"/>
      </w:pPr>
      <w:r>
        <w:t xml:space="preserve">Последовательность команд (ячейки скрипта): создание сцены, описание, яркость двумя способами, контрольная сумма, воздействие,</w:t>
      </w:r>
      <w:r>
        <w:t xml:space="preserve"> </w:t>
      </w:r>
      <w:r>
        <w:rPr>
          <w:rStyle w:val="VerbatimChar"/>
        </w:rPr>
        <w:t xml:space="preserve">variant_summary(1)</w:t>
      </w:r>
      <w:r>
        <w:t xml:space="preserve">. Получено:</w:t>
      </w:r>
    </w:p>
    <w:p>
      <w:pPr>
        <w:numPr>
          <w:ilvl w:val="0"/>
          <w:numId w:val="1003"/>
        </w:numPr>
        <w:pStyle w:val="Compact"/>
      </w:pPr>
      <w:r>
        <w:rPr>
          <w:rStyle w:val="VerbatimChar"/>
        </w:rPr>
        <w:t xml:space="preserve">describe_image(make_scene(101))</w:t>
      </w:r>
      <w:r>
        <w:t xml:space="preserve">: размер</w:t>
      </w:r>
      <w:r>
        <w:t xml:space="preserve"> </w:t>
      </w:r>
      <m:oMath>
        <m:r>
          <m:t>128</m:t>
        </m:r>
        <m:r>
          <m:rPr>
            <m:sty m:val="p"/>
          </m:rPr>
          <m:t>×</m:t>
        </m:r>
        <m:r>
          <m:t>128</m:t>
        </m:r>
      </m:oMath>
      <w:r>
        <w:t xml:space="preserve">, тип</w:t>
      </w:r>
      <w:r>
        <w:t xml:space="preserve"> </w:t>
      </w:r>
      <w:r>
        <w:rPr>
          <w:rStyle w:val="VerbatimChar"/>
        </w:rPr>
        <w:t xml:space="preserve">RGB{Float64}</w:t>
      </w:r>
      <w:r>
        <w:t xml:space="preserve">, минимум</w:t>
      </w:r>
      <w:r>
        <w:t xml:space="preserve"> </w:t>
      </w:r>
      <m:oMath>
        <m:r>
          <m:t>0</m:t>
        </m:r>
        <m:r>
          <m:rPr>
            <m:sty m:val="p"/>
          </m:rPr>
          <m:t>,</m:t>
        </m:r>
        <m:r>
          <m:t>0812</m:t>
        </m:r>
      </m:oMath>
      <w:r>
        <w:t xml:space="preserve">, максимум</w:t>
      </w:r>
      <w:r>
        <w:t xml:space="preserve"> </w:t>
      </w:r>
      <m:oMath>
        <m:r>
          <m:t>0</m:t>
        </m:r>
        <m:r>
          <m:rPr>
            <m:sty m:val="p"/>
          </m:rPr>
          <m:t>,</m:t>
        </m:r>
        <m:r>
          <m:t>9186</m:t>
        </m:r>
      </m:oMath>
      <w:r>
        <w:t xml:space="preserve">, объём 393216 байт;</w:t>
      </w:r>
    </w:p>
    <w:p>
      <w:pPr>
        <w:numPr>
          <w:ilvl w:val="0"/>
          <w:numId w:val="1003"/>
        </w:numPr>
        <w:pStyle w:val="Compact"/>
      </w:pPr>
      <w:r>
        <w:t xml:space="preserve">максимум модуля разности двух способов получения яркости: 9,86·10⁻⁹;</w:t>
      </w:r>
    </w:p>
    <w:p>
      <w:pPr>
        <w:numPr>
          <w:ilvl w:val="0"/>
          <w:numId w:val="1003"/>
        </w:numPr>
        <w:pStyle w:val="Compact"/>
      </w:pPr>
      <w:r>
        <w:t xml:space="preserve">контрольная сумма массива яркости (первые 16 символов):</w:t>
      </w:r>
      <w:r>
        <w:t xml:space="preserve"> </w:t>
      </w:r>
      <w:r>
        <w:rPr>
          <w:rStyle w:val="VerbatimChar"/>
        </w:rPr>
        <w:t xml:space="preserve">50567c6b9e5e4ac1</w:t>
      </w:r>
      <w:r>
        <w:t xml:space="preserve">; повторное построение сцены с тем же seed даёт ту же сумму;</w:t>
      </w:r>
    </w:p>
    <w:p>
      <w:pPr>
        <w:numPr>
          <w:ilvl w:val="0"/>
          <w:numId w:val="1003"/>
        </w:numPr>
        <w:pStyle w:val="Compact"/>
      </w:pPr>
      <w:r>
        <w:t xml:space="preserve">средний PSNR после воздействия по серии seed 101…105: 34,59 дБ.</w:t>
      </w:r>
    </w:p>
    <w:p>
      <w:pPr>
        <w:pStyle w:val="FirstParagraph"/>
      </w:pPr>
      <w:r>
        <w:rPr>
          <w:bCs/>
          <w:b/>
        </w:rPr>
        <w:t xml:space="preserve">Таблица метрик</w:t>
      </w:r>
      <w:r>
        <w:t xml:space="preserve"> </w:t>
      </w:r>
      <w:r>
        <w:t xml:space="preserve">(серия seed 101…105, критерий</w:t>
      </w:r>
      <w:r>
        <w:t xml:space="preserve"> </w:t>
      </w:r>
      <m:oMath>
        <m:r>
          <m:rPr>
            <m:sty m:val="p"/>
          </m:rPr>
          <m:t>|</m:t>
        </m:r>
        <m:r>
          <m:t>Δ</m:t>
        </m:r>
        <m:r>
          <m:rPr>
            <m:sty m:val="p"/>
          </m:rPr>
          <m:t>|</m:t>
        </m:r>
        <m:r>
          <m:rPr>
            <m:sty m:val="p"/>
          </m:rPr>
          <m:t>&gt;</m:t>
        </m:r>
        <m:r>
          <m:t>2</m:t>
        </m:r>
        <m:r>
          <m:t>s</m:t>
        </m:r>
      </m:oMath>
      <w:r>
        <w:t xml:space="preserve">):</w:t>
      </w:r>
    </w:p>
    <w:tbl>
      <w:tblPr>
        <w:tblStyle w:val="aff0"/>
        <w:tblW w:type="pct" w:w="5000"/>
        <w:jc w:val="center"/>
        <w:tblLayout w:type="fixed"/>
        <w:tblLook w:firstRow="1" w:lastRow="0" w:firstColumn="0" w:lastColumn="0" w:noHBand="0" w:noVBand="0" w:val="0020"/>
      </w:tblPr>
      <w:tblGrid>
        <w:gridCol w:w="1662"/>
        <w:gridCol w:w="1329"/>
        <w:gridCol w:w="1329"/>
        <w:gridCol w:w="1329"/>
        <w:gridCol w:w="1329"/>
        <w:gridCol w:w="1329"/>
        <w:gridCol w:w="1329"/>
      </w:tblGrid>
      <w:tr>
        <w:trPr>
          <w:tblHeader w:val="true"/>
          <w:tblHeader w:val="true"/>
          <w:cantSplit w:val="true"/>
        </w:trPr>
        <w:tc>
          <w:tcPr>
            <w:tcW w:type="dxa" w:w="1662"/>
            <w:shd w:val="clear" w:color="auto" w:fill="D9E2F3"/>
          </w:tcPr>
          <w:p>
            <w:pPr>
              <w:pStyle w:val="Compact"/>
              <w:spacing w:before="40" w:after="40"/>
              <w:jc w:val="left"/>
            </w:pPr>
            <w:r>
              <w:rPr>
                <w:b/>
                <w:sz w:val="20"/>
              </w:rPr>
              <w:t xml:space="preserve">Метрика</w:t>
            </w:r>
          </w:p>
        </w:tc>
        <w:tc>
          <w:tcPr>
            <w:tcW w:type="dxa" w:w="1329"/>
            <w:shd w:val="clear" w:color="auto" w:fill="D9E2F3"/>
          </w:tcPr>
          <w:p>
            <w:pPr>
              <w:pStyle w:val="Compact"/>
              <w:spacing w:before="40" w:after="40"/>
              <w:jc w:val="right"/>
            </w:pPr>
            <w:r>
              <w:rPr>
                <w:b/>
                <w:sz w:val="20"/>
              </w:rPr>
              <w:t xml:space="preserve">база</w:t>
            </w:r>
          </w:p>
        </w:tc>
        <w:tc>
          <w:tcPr>
            <w:tcW w:type="dxa" w:w="1329"/>
            <w:shd w:val="clear" w:color="auto" w:fill="D9E2F3"/>
          </w:tcPr>
          <w:p>
            <w:pPr>
              <w:pStyle w:val="Compact"/>
              <w:spacing w:before="40" w:after="40"/>
              <w:jc w:val="right"/>
            </w:pPr>
            <m:oMath>
              <m:r>
                <m:t>s</m:t>
              </m:r>
            </m:oMath>
          </w:p>
        </w:tc>
        <w:tc>
          <w:tcPr>
            <w:tcW w:type="dxa" w:w="1329"/>
            <w:shd w:val="clear" w:color="auto" w:fill="D9E2F3"/>
          </w:tcPr>
          <w:p>
            <w:pPr>
              <w:pStyle w:val="Compact"/>
              <w:spacing w:before="40" w:after="40"/>
              <w:jc w:val="right"/>
            </w:pPr>
            <w:r>
              <w:rPr>
                <w:b/>
                <w:sz w:val="20"/>
              </w:rPr>
              <w:t xml:space="preserve">после</w:t>
            </w:r>
          </w:p>
        </w:tc>
        <w:tc>
          <w:tcPr>
            <w:tcW w:type="dxa" w:w="1329"/>
            <w:shd w:val="clear" w:color="auto" w:fill="D9E2F3"/>
          </w:tcPr>
          <w:p>
            <w:pPr>
              <w:pStyle w:val="Compact"/>
              <w:spacing w:before="40" w:after="40"/>
              <w:jc w:val="right"/>
            </w:pPr>
            <m:oMath>
              <m:r>
                <m:t>Δ</m:t>
              </m:r>
            </m:oMath>
          </w:p>
        </w:tc>
        <w:tc>
          <w:tcPr>
            <w:tcW w:type="dxa" w:w="1329"/>
            <w:shd w:val="clear" w:color="auto" w:fill="D9E2F3"/>
          </w:tcPr>
          <w:p>
            <w:pPr>
              <w:pStyle w:val="Compact"/>
              <w:spacing w:before="40" w:after="40"/>
              <w:jc w:val="right"/>
            </w:pPr>
            <m:oMath>
              <m:r>
                <m:rPr>
                  <m:sty m:val="p"/>
                </m:rPr>
                <m:t>|</m:t>
              </m:r>
              <m:r>
                <m:t>Δ</m:t>
              </m:r>
              <m:r>
                <m:rPr>
                  <m:sty m:val="p"/>
                </m:rPr>
                <m:t>|</m:t>
              </m:r>
              <m:r>
                <m:rPr>
                  <m:sty m:val="p"/>
                </m:rPr>
                <m:t>/</m:t>
              </m:r>
              <m:r>
                <m:t>s</m:t>
              </m:r>
            </m:oMath>
          </w:p>
        </w:tc>
        <w:tc>
          <w:tcPr>
            <w:tcW w:type="dxa" w:w="1329"/>
            <w:shd w:val="clear" w:color="auto" w:fill="D9E2F3"/>
          </w:tcPr>
          <w:p>
            <w:pPr>
              <w:pStyle w:val="Compact"/>
              <w:spacing w:before="40" w:after="40"/>
              <w:jc w:val="center"/>
            </w:pPr>
            <m:oMath>
              <m:r>
                <m:rPr>
                  <m:sty m:val="p"/>
                </m:rPr>
                <m:t>|</m:t>
              </m:r>
              <m:r>
                <m:t>Δ</m:t>
              </m:r>
              <m:r>
                <m:rPr>
                  <m:sty m:val="p"/>
                </m:rPr>
                <m:t>|</m:t>
              </m:r>
              <m:r>
                <m:rPr>
                  <m:sty m:val="p"/>
                </m:rPr>
                <m:t>&gt;</m:t>
              </m:r>
              <m:r>
                <m:t>2</m:t>
              </m:r>
              <m:r>
                <m:t>s</m:t>
              </m:r>
            </m:oMath>
          </w:p>
        </w:tc>
      </w:tr>
      <w:tr>
        <w:trPr>
          <w:cantSplit w:val="true"/>
        </w:trPr>
        <w:tc>
          <w:tcPr>
            <w:tcW w:type="dxa" w:w="1662"/>
          </w:tcPr>
          <w:p>
            <w:pPr>
              <w:pStyle w:val="Compact"/>
              <w:spacing w:before="40" w:after="40"/>
              <w:jc w:val="left"/>
            </w:pPr>
            <w:r>
              <w:rPr>
                <w:sz w:val="20"/>
              </w:rPr>
              <w:t xml:space="preserve">среднее</w:t>
            </w:r>
          </w:p>
        </w:tc>
        <w:tc>
          <w:tcPr>
            <w:tcW w:type="dxa" w:w="1329"/>
          </w:tcPr>
          <w:p>
            <w:pPr>
              <w:pStyle w:val="Compact"/>
              <w:spacing w:before="40" w:after="40"/>
              <w:jc w:val="right"/>
            </w:pPr>
            <w:r>
              <w:rPr>
                <w:sz w:val="20"/>
              </w:rPr>
              <w:t xml:space="preserve">0,4719</w:t>
            </w:r>
          </w:p>
        </w:tc>
        <w:tc>
          <w:tcPr>
            <w:tcW w:type="dxa" w:w="1329"/>
          </w:tcPr>
          <w:p>
            <w:pPr>
              <w:pStyle w:val="Compact"/>
              <w:spacing w:before="40" w:after="40"/>
              <w:jc w:val="right"/>
            </w:pPr>
            <w:r>
              <w:rPr>
                <w:sz w:val="20"/>
              </w:rPr>
              <w:t xml:space="preserve">8,39·10⁻5</w:t>
            </w:r>
          </w:p>
        </w:tc>
        <w:tc>
          <w:tcPr>
            <w:tcW w:type="dxa" w:w="1329"/>
          </w:tcPr>
          <w:p>
            <w:pPr>
              <w:pStyle w:val="Compact"/>
              <w:spacing w:before="40" w:after="40"/>
              <w:jc w:val="right"/>
            </w:pPr>
            <w:r>
              <w:rPr>
                <w:sz w:val="20"/>
              </w:rPr>
              <w:t xml:space="preserve">0,4708</w:t>
            </w:r>
          </w:p>
        </w:tc>
        <w:tc>
          <w:tcPr>
            <w:tcW w:type="dxa" w:w="1329"/>
          </w:tcPr>
          <w:p>
            <w:pPr>
              <w:pStyle w:val="Compact"/>
              <w:spacing w:before="40" w:after="40"/>
              <w:jc w:val="right"/>
            </w:pPr>
            <w:r>
              <w:rPr>
                <w:sz w:val="20"/>
              </w:rPr>
              <w:t xml:space="preserve">−0,0011</w:t>
            </w:r>
          </w:p>
        </w:tc>
        <w:tc>
          <w:tcPr>
            <w:tcW w:type="dxa" w:w="1329"/>
          </w:tcPr>
          <w:p>
            <w:pPr>
              <w:pStyle w:val="Compact"/>
              <w:spacing w:before="40" w:after="40"/>
              <w:jc w:val="right"/>
            </w:pPr>
            <w:r>
              <w:rPr>
                <w:sz w:val="20"/>
              </w:rPr>
              <w:t xml:space="preserve">13,5</w:t>
            </w:r>
          </w:p>
        </w:tc>
        <w:tc>
          <w:tcPr>
            <w:tcW w:type="dxa" w:w="1329"/>
          </w:tcPr>
          <w:p>
            <w:pPr>
              <w:pStyle w:val="Compact"/>
              <w:spacing w:before="40" w:after="40"/>
              <w:jc w:val="center"/>
            </w:pPr>
            <w:r>
              <w:rPr>
                <w:sz w:val="20"/>
              </w:rPr>
              <w:t xml:space="preserve">да</w:t>
            </w:r>
          </w:p>
        </w:tc>
      </w:tr>
      <w:tr>
        <w:trPr>
          <w:cantSplit w:val="true"/>
        </w:trPr>
        <w:tc>
          <w:tcPr>
            <w:tcW w:type="dxa" w:w="1662"/>
          </w:tcPr>
          <w:p>
            <w:pPr>
              <w:pStyle w:val="Compact"/>
              <w:spacing w:before="40" w:after="40"/>
              <w:jc w:val="left"/>
            </w:pPr>
            <w:r>
              <w:rPr>
                <w:sz w:val="20"/>
              </w:rPr>
              <w:t xml:space="preserve">контраст</w:t>
            </w:r>
          </w:p>
        </w:tc>
        <w:tc>
          <w:tcPr>
            <w:tcW w:type="dxa" w:w="1329"/>
          </w:tcPr>
          <w:p>
            <w:pPr>
              <w:pStyle w:val="Compact"/>
              <w:spacing w:before="40" w:after="40"/>
              <w:jc w:val="right"/>
            </w:pPr>
            <w:r>
              <w:rPr>
                <w:sz w:val="20"/>
              </w:rPr>
              <w:t xml:space="preserve">0,0642</w:t>
            </w:r>
          </w:p>
        </w:tc>
        <w:tc>
          <w:tcPr>
            <w:tcW w:type="dxa" w:w="1329"/>
          </w:tcPr>
          <w:p>
            <w:pPr>
              <w:pStyle w:val="Compact"/>
              <w:spacing w:before="40" w:after="40"/>
              <w:jc w:val="right"/>
            </w:pPr>
            <w:r>
              <w:rPr>
                <w:sz w:val="20"/>
              </w:rPr>
              <w:t xml:space="preserve">1,54·10⁻4</w:t>
            </w:r>
          </w:p>
        </w:tc>
        <w:tc>
          <w:tcPr>
            <w:tcW w:type="dxa" w:w="1329"/>
          </w:tcPr>
          <w:p>
            <w:pPr>
              <w:pStyle w:val="Compact"/>
              <w:spacing w:before="40" w:after="40"/>
              <w:jc w:val="right"/>
            </w:pPr>
            <w:r>
              <w:rPr>
                <w:sz w:val="20"/>
              </w:rPr>
              <w:t xml:space="preserve">0,0682</w:t>
            </w:r>
          </w:p>
        </w:tc>
        <w:tc>
          <w:tcPr>
            <w:tcW w:type="dxa" w:w="1329"/>
          </w:tcPr>
          <w:p>
            <w:pPr>
              <w:pStyle w:val="Compact"/>
              <w:spacing w:before="40" w:after="40"/>
              <w:jc w:val="right"/>
            </w:pPr>
            <w:r>
              <w:rPr>
                <w:sz w:val="20"/>
              </w:rPr>
              <w:t xml:space="preserve">0,0039</w:t>
            </w:r>
          </w:p>
        </w:tc>
        <w:tc>
          <w:tcPr>
            <w:tcW w:type="dxa" w:w="1329"/>
          </w:tcPr>
          <w:p>
            <w:pPr>
              <w:pStyle w:val="Compact"/>
              <w:spacing w:before="40" w:after="40"/>
              <w:jc w:val="right"/>
            </w:pPr>
            <w:r>
              <w:rPr>
                <w:sz w:val="20"/>
              </w:rPr>
              <w:t xml:space="preserve">25,6</w:t>
            </w:r>
          </w:p>
        </w:tc>
        <w:tc>
          <w:tcPr>
            <w:tcW w:type="dxa" w:w="1329"/>
          </w:tcPr>
          <w:p>
            <w:pPr>
              <w:pStyle w:val="Compact"/>
              <w:spacing w:before="40" w:after="40"/>
              <w:jc w:val="center"/>
            </w:pPr>
            <w:r>
              <w:rPr>
                <w:sz w:val="20"/>
              </w:rPr>
              <w:t xml:space="preserve">да</w:t>
            </w:r>
          </w:p>
        </w:tc>
      </w:tr>
      <w:tr>
        <w:trPr>
          <w:cantSplit w:val="true"/>
        </w:trPr>
        <w:tc>
          <w:tcPr>
            <w:tcW w:type="dxa" w:w="1662"/>
          </w:tcPr>
          <w:p>
            <w:pPr>
              <w:pStyle w:val="Compact"/>
              <w:spacing w:before="40" w:after="40"/>
              <w:jc w:val="left"/>
            </w:pPr>
            <w:r>
              <w:rPr>
                <w:sz w:val="20"/>
              </w:rPr>
              <w:t xml:space="preserve">энтропия, бит</w:t>
            </w:r>
          </w:p>
        </w:tc>
        <w:tc>
          <w:tcPr>
            <w:tcW w:type="dxa" w:w="1329"/>
          </w:tcPr>
          <w:p>
            <w:pPr>
              <w:pStyle w:val="Compact"/>
              <w:spacing w:before="40" w:after="40"/>
              <w:jc w:val="right"/>
            </w:pPr>
            <w:r>
              <w:rPr>
                <w:sz w:val="20"/>
              </w:rPr>
              <w:t xml:space="preserve">2,6873</w:t>
            </w:r>
          </w:p>
        </w:tc>
        <w:tc>
          <w:tcPr>
            <w:tcW w:type="dxa" w:w="1329"/>
          </w:tcPr>
          <w:p>
            <w:pPr>
              <w:pStyle w:val="Compact"/>
              <w:spacing w:before="40" w:after="40"/>
              <w:jc w:val="right"/>
            </w:pPr>
            <w:r>
              <w:rPr>
                <w:sz w:val="20"/>
              </w:rPr>
              <w:t xml:space="preserve">4,44·10⁻3</w:t>
            </w:r>
          </w:p>
        </w:tc>
        <w:tc>
          <w:tcPr>
            <w:tcW w:type="dxa" w:w="1329"/>
          </w:tcPr>
          <w:p>
            <w:pPr>
              <w:pStyle w:val="Compact"/>
              <w:spacing w:before="40" w:after="40"/>
              <w:jc w:val="right"/>
            </w:pPr>
            <w:r>
              <w:rPr>
                <w:sz w:val="20"/>
              </w:rPr>
              <w:t xml:space="preserve">1,7821</w:t>
            </w:r>
          </w:p>
        </w:tc>
        <w:tc>
          <w:tcPr>
            <w:tcW w:type="dxa" w:w="1329"/>
          </w:tcPr>
          <w:p>
            <w:pPr>
              <w:pStyle w:val="Compact"/>
              <w:spacing w:before="40" w:after="40"/>
              <w:jc w:val="right"/>
            </w:pPr>
            <w:r>
              <w:rPr>
                <w:sz w:val="20"/>
              </w:rPr>
              <w:t xml:space="preserve">−0,9052</w:t>
            </w:r>
          </w:p>
        </w:tc>
        <w:tc>
          <w:tcPr>
            <w:tcW w:type="dxa" w:w="1329"/>
          </w:tcPr>
          <w:p>
            <w:pPr>
              <w:pStyle w:val="Compact"/>
              <w:spacing w:before="40" w:after="40"/>
              <w:jc w:val="right"/>
            </w:pPr>
            <w:r>
              <w:rPr>
                <w:sz w:val="20"/>
              </w:rPr>
              <w:t xml:space="preserve">203,7</w:t>
            </w:r>
          </w:p>
        </w:tc>
        <w:tc>
          <w:tcPr>
            <w:tcW w:type="dxa" w:w="1329"/>
          </w:tcPr>
          <w:p>
            <w:pPr>
              <w:pStyle w:val="Compact"/>
              <w:spacing w:before="40" w:after="40"/>
              <w:jc w:val="center"/>
            </w:pPr>
            <w:r>
              <w:rPr>
                <w:sz w:val="20"/>
              </w:rPr>
              <w:t xml:space="preserve">да</w:t>
            </w:r>
          </w:p>
        </w:tc>
      </w:tr>
    </w:tbl>
    <w:bookmarkEnd w:id="33"/>
    <w:bookmarkStart w:id="34" w:name="интерпретация"/>
    <w:p>
      <w:pPr>
        <w:pStyle w:val="21"/>
      </w:pPr>
      <w:r>
        <w:t xml:space="preserve">6.3. Интерпретация</w:t>
      </w:r>
    </w:p>
    <w:p>
      <w:pPr>
        <w:pStyle w:val="FirstParagraph"/>
      </w:pPr>
      <w:r>
        <w:t xml:space="preserve">По статистическому критерию все три метрики «значимо» изменились, и это ожидаемо: разброс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между seed чрезвычайно мал, поэтому любое устойчивое воздействие его превосходит.</w:t>
      </w:r>
      <w:r>
        <w:t xml:space="preserve"> </w:t>
      </w:r>
      <w:r>
        <w:rPr>
          <w:bCs/>
          <w:b/>
        </w:rPr>
        <w:t xml:space="preserve">Практическая</w:t>
      </w:r>
      <w:r>
        <w:t xml:space="preserve"> </w:t>
      </w:r>
      <w:r>
        <w:t xml:space="preserve">оценка иная и определяется допуском: среднее изменилось на доли процента (в допуске), контраст — примерно на 6 % относительно базового значения (за допуском 5 %), энтропия упала примерно на треть (0,905 бит из 2,687). PSNR 34,6 дБ выше порога 30 дБ: с точки зрения отличия от оригинала квантование до 4 бит для этой сцены умеренно. Итог: главный эффект квантования проявляется в распределении яркости (энтропия), а не в среднем.</w:t>
      </w:r>
    </w:p>
    <w:bookmarkEnd w:id="34"/>
    <w:bookmarkStart w:id="35" w:name="намеренно-введённая-ошибка"/>
    <w:p>
      <w:pPr>
        <w:pStyle w:val="21"/>
      </w:pPr>
      <w:r>
        <w:t xml:space="preserve">6.4. Намеренно введённая ошибка</w:t>
      </w:r>
    </w:p>
    <w:p>
      <w:pPr>
        <w:pStyle w:val="FirstParagraph"/>
      </w:pPr>
      <w:r>
        <w:rPr>
          <w:iCs/>
          <w:i/>
        </w:rPr>
        <w:t xml:space="preserve">Симптом.</w:t>
      </w:r>
      <w:r>
        <w:t xml:space="preserve"> </w:t>
      </w:r>
      <w:r>
        <w:t xml:space="preserve">Контрольная сумма при повторном запуске не совпадает, либо PSNR вычисляется как</w:t>
      </w:r>
      <w:r>
        <w:t xml:space="preserve"> </w:t>
      </w:r>
      <w:r>
        <w:rPr>
          <w:rStyle w:val="VerbatimChar"/>
        </w:rPr>
        <w:t xml:space="preserve">Inf</w:t>
      </w:r>
      <w:r>
        <w:t xml:space="preserve">.</w:t>
      </w:r>
    </w:p>
    <w:p>
      <w:pPr>
        <w:pStyle w:val="af"/>
      </w:pPr>
      <w:r>
        <w:rPr>
          <w:iCs/>
          <w:i/>
        </w:rPr>
        <w:t xml:space="preserve">Типичные причины и диагностика.</w:t>
      </w:r>
      <w:r>
        <w:t xml:space="preserve"> </w:t>
      </w:r>
      <w:r>
        <w:t xml:space="preserve">(1) Сцена создана без seed или другой функцией генерации случайных чисел — сравните значения seed и контрольные суммы; (2) сравниваются два разных способа получения яркости («вручную» и</w:t>
      </w:r>
      <w:r>
        <w:t xml:space="preserve"> </w:t>
      </w:r>
      <w:r>
        <w:rPr>
          <w:rStyle w:val="VerbatimChar"/>
        </w:rPr>
        <w:t xml:space="preserve">Gray</w:t>
      </w:r>
      <w:r>
        <w:t xml:space="preserve">) — они различаются на</w:t>
      </w:r>
      <w:r>
        <w:t xml:space="preserve"> </w:t>
      </w:r>
      <m:oMath>
        <m:r>
          <m:rPr>
            <m:sty m:val="p"/>
          </m:rPr>
          <m:t>∼</m:t>
        </m:r>
        <m:sSup>
          <m:e>
            <m:r>
              <m:t>10</m:t>
            </m:r>
          </m:e>
          <m:sup>
            <m:r>
              <m:rPr>
                <m:sty m:val="p"/>
              </m:rPr>
              <m:t>−</m:t>
            </m:r>
            <m:r>
              <m:t>8</m:t>
            </m:r>
          </m:sup>
        </m:sSup>
      </m:oMath>
      <w:r>
        <w:t xml:space="preserve">, сравнивайте с допуском (</w:t>
      </w:r>
      <w:r>
        <w:rPr>
          <w:rStyle w:val="VerbatimChar"/>
        </w:rPr>
        <w:t xml:space="preserve">isapprox</w:t>
      </w:r>
      <w:r>
        <w:t xml:space="preserve">), а не по контрольной сумме; (3) сравнивается изображение само с собой —</w:t>
      </w:r>
      <w:r>
        <w:t xml:space="preserve"> </w:t>
      </w:r>
      <m:oMath>
        <m:r>
          <m:rPr>
            <m:sty m:val="p"/>
          </m:rPr>
          <m:t>M</m:t>
        </m:r>
        <m:r>
          <m:rPr>
            <m:sty m:val="p"/>
          </m:rPr>
          <m:t>S</m:t>
        </m:r>
        <m:r>
          <m:rPr>
            <m:sty m:val="p"/>
          </m:rPr>
          <m:t>E</m:t>
        </m:r>
        <m:r>
          <m:rPr>
            <m:sty m:val="p"/>
          </m:rPr>
          <m:t>=</m:t>
        </m:r>
        <m:r>
          <m:t>0</m:t>
        </m:r>
      </m:oMath>
      <w:r>
        <w:t xml:space="preserve">, PSNR бесконечен; (4) значения не приведены к диапазону</w:t>
      </w:r>
      <w:r>
        <w:t xml:space="preserve"> </w:t>
      </w:r>
      <m:oMath>
        <m:d>
          <m:dPr>
            <m:begChr m:val="["/>
            <m:endChr m:val="]"/>
            <m:sepChr m:val="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r>
              <m:t>1</m:t>
            </m:r>
          </m:e>
        </m:d>
      </m:oMath>
      <w:r>
        <w:t xml:space="preserve"> </w:t>
      </w:r>
      <w:r>
        <w:t xml:space="preserve">— формула PSNR с</w:t>
      </w:r>
      <w:r>
        <w:t xml:space="preserve"> </w:t>
      </w:r>
      <m:oMath>
        <m:r>
          <m:rPr>
            <m:sty m:val="p"/>
          </m:rPr>
          <m:t>m</m:t>
        </m:r>
        <m:r>
          <m:rPr>
            <m:sty m:val="p"/>
          </m:rPr>
          <m:t>a</m:t>
        </m:r>
        <m:r>
          <m:rPr>
            <m:sty m:val="p"/>
          </m:rPr>
          <m:t>x</m:t>
        </m:r>
        <m:r>
          <m:rPr>
            <m:sty m:val="p"/>
          </m:rPr>
          <m:t>v</m:t>
        </m:r>
        <m:r>
          <m:rPr>
            <m:sty m:val="p"/>
          </m:rPr>
          <m:t>a</m:t>
        </m:r>
        <m:r>
          <m:rPr>
            <m:sty m:val="p"/>
          </m:rPr>
          <m:t>l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неверна.</w:t>
      </w:r>
    </w:p>
    <w:p>
      <w:pPr>
        <w:pStyle w:val="af"/>
      </w:pPr>
      <w:r>
        <w:rPr>
          <w:iCs/>
          <w:i/>
        </w:rPr>
        <w:t xml:space="preserve">Исправление.</w:t>
      </w:r>
      <w:r>
        <w:t xml:space="preserve"> </w:t>
      </w:r>
      <w:r>
        <w:t xml:space="preserve">Задавайте seed явно, записывайте его в паспорт, сравнивайте разные вычисления яркости с допуском, проверяйте диапазон значений перед расчётом PSNR.</w:t>
      </w:r>
    </w:p>
    <w:bookmarkEnd w:id="35"/>
    <w:bookmarkStart w:id="36" w:name="X5b167be1df325330835052525d6440e73ce2fe8"/>
    <w:p>
      <w:pPr>
        <w:pStyle w:val="21"/>
      </w:pPr>
      <w:r>
        <w:t xml:space="preserve">6.5. Вывод, ограничения и вопрос для обсуждения</w:t>
      </w:r>
    </w:p>
    <w:p>
      <w:pPr>
        <w:pStyle w:val="FirstParagraph"/>
      </w:pPr>
      <w:r>
        <w:t xml:space="preserve">Вывод: воспроизводимость подтверждена; квантование до 4 бит статистически заметно во всех метриках, практически — в контрасте и энтропии, но не в средней яркости.</w:t>
      </w:r>
      <w:r>
        <w:t xml:space="preserve"> </w:t>
      </w:r>
      <w:r>
        <w:rPr>
          <w:iCs/>
          <w:i/>
        </w:rPr>
        <w:t xml:space="preserve">Ограничения:</w:t>
      </w:r>
      <w:r>
        <w:t xml:space="preserve"> </w:t>
      </w:r>
      <w:r>
        <w:t xml:space="preserve">синтетическая сцена и одна серия из 5 seed; метрики описывают статистику яркости; PSNR не измеряет воспринимаемое качество; допуск выбран условно.</w:t>
      </w:r>
    </w:p>
    <w:p>
      <w:pPr>
        <w:pStyle w:val="af"/>
      </w:pPr>
      <w:r>
        <w:rPr>
          <w:iCs/>
          <w:i/>
        </w:rPr>
        <w:t xml:space="preserve">Вопрос для обсуждения.</w:t>
      </w:r>
      <w:r>
        <w:t xml:space="preserve"> </w:t>
      </w:r>
      <w:r>
        <w:t xml:space="preserve">Как изменился бы вывод для сцены с низким контрастом (сцена 2) и почему допуск в процентах может быть некорректен для очень тёмной сцены?</w:t>
      </w:r>
    </w:p>
    <w:bookmarkEnd w:id="36"/>
    <w:bookmarkEnd w:id="37"/>
    <w:bookmarkStart w:id="38" w:name="индивидуальные-варианты-30"/>
    <w:p>
      <w:pPr>
        <w:pStyle w:val="1"/>
      </w:pPr>
      <w:r>
        <w:t xml:space="preserve">7. Индивидуальные варианты (30)</w:t>
      </w:r>
    </w:p>
    <w:p>
      <w:pPr>
        <w:pStyle w:val="FirstParagraph"/>
      </w:pPr>
      <w:r>
        <w:t xml:space="preserve">Вариант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задаёт пару «сцена × воздействие»: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d>
          <m:dPr>
            <m:begChr m:val="("/>
            <m:endChr m:val=")"/>
            <m:sepChr m:val=""/>
            <m:grow/>
          </m:dPr>
          <m:e>
            <m:r>
              <m:rPr>
                <m:nor/>
                <m:sty m:val="p"/>
              </m:rPr>
              <m:t>номер сцены</m:t>
            </m:r>
            <m:r>
              <m:rPr>
                <m:sty m:val="p"/>
              </m:rPr>
              <m:t>−</m:t>
            </m:r>
            <m:r>
              <m:t>1</m:t>
            </m:r>
          </m:e>
        </m:d>
        <m:r>
          <m:rPr>
            <m:sty m:val="p"/>
          </m:rPr>
          <m:t>⋅</m:t>
        </m:r>
        <m:r>
          <m:t>6</m:t>
        </m:r>
        <m:r>
          <m:rPr>
            <m:sty m:val="p"/>
          </m:rPr>
          <m:t>+</m:t>
        </m:r>
        <m:r>
          <m:rPr>
            <m:nor/>
            <m:sty m:val="p"/>
          </m:rPr>
          <m:t>номер воздействия</m:t>
        </m:r>
      </m:oMath>
      <w:r>
        <w:t xml:space="preserve"> </w:t>
      </w:r>
      <w:r>
        <w:t xml:space="preserve">(5 сцен × 6 воздействий = 30 различных сочетаний). Назначение: номер варианта равен номеру студента в журнале группы; при числе студентов больше 30 варианты повторяются, а серия seed сдвигается: 101+10·(k−1), где k — номер повторения. Общий метод и число обязательных шагов (9) одинаковы для всех вариантов.</w:t>
      </w:r>
    </w:p>
    <w:p>
      <w:pPr>
        <w:pStyle w:val="af"/>
      </w:pPr>
      <w:r>
        <w:rPr>
          <w:bCs/>
          <w:b/>
        </w:rPr>
        <w:t xml:space="preserve">Сцены (номер — параметры).</w:t>
      </w:r>
      <w:r>
        <w:t xml:space="preserve"> </w:t>
      </w:r>
      <w:r>
        <w:t xml:space="preserve">1 — lo 0,15, hi 0,85, шум 0,02; 2 — lo 0,40, hi 0,60 (низкий контраст); 3 — lo 0,02, hi 0,30 (тёмная); 4 — шум 0,08; 5 — шахматная структура с клеткой 8.</w:t>
      </w:r>
      <w:r>
        <w:t xml:space="preserve"> </w:t>
      </w:r>
      <w:r>
        <w:rPr>
          <w:bCs/>
          <w:b/>
        </w:rPr>
        <w:t xml:space="preserve">Воздействия.</w:t>
      </w:r>
      <w:r>
        <w:t xml:space="preserve"> </w:t>
      </w:r>
      <w:r>
        <w:t xml:space="preserve">1 — квантование до 4 бит; 2 — уменьшение в 2 раза и возврат; 3 — уменьшение в 4 раза и возврат; 4 — растяжение контраста; 5 — гамма 0,5; 6 — сохранение в PNG 8 бит и чтение.</w:t>
      </w:r>
    </w:p>
    <w:tbl>
      <w:tblPr>
        <w:tblStyle w:val="aff0"/>
        <w:tblW w:type="pct" w:w="5000"/>
        <w:jc w:val="center"/>
        <w:tblLayout w:type="fixed"/>
        <w:tblLook w:firstRow="1" w:lastRow="0" w:firstColumn="0" w:lastColumn="0" w:noHBand="0" w:noVBand="0" w:val="0020"/>
      </w:tblPr>
      <w:tblGrid>
        <w:gridCol w:w="300"/>
        <w:gridCol w:w="2011"/>
        <w:gridCol w:w="1891"/>
        <w:gridCol w:w="2568"/>
        <w:gridCol w:w="2568"/>
        <w:gridCol w:w="300"/>
      </w:tblGrid>
      <w:tr>
        <w:trPr>
          <w:tblHeader w:val="true"/>
          <w:tblHeader w:val="true"/>
          <w:cantSplit w:val="true"/>
        </w:trPr>
        <w:tc>
          <w:tcPr>
            <w:tcW w:type="dxa" w:w="300"/>
            <w:shd w:val="clear" w:color="auto" w:fill="D9E2F3"/>
          </w:tcPr>
          <w:p>
            <w:pPr>
              <w:pStyle w:val="Compact"/>
              <w:spacing w:before="40" w:after="40"/>
              <w:jc w:val="right"/>
            </w:pPr>
            <w:r>
              <w:rPr>
                <w:b/>
                <w:sz w:val="20"/>
              </w:rPr>
              <w:t xml:space="preserve">№</w:t>
            </w:r>
          </w:p>
        </w:tc>
        <w:tc>
          <w:tcPr>
            <w:tcW w:type="dxa" w:w="2011"/>
            <w:shd w:val="clear" w:color="auto" w:fill="D9E2F3"/>
          </w:tcPr>
          <w:p>
            <w:pPr>
              <w:pStyle w:val="Compact"/>
              <w:spacing w:before="40" w:after="40"/>
              <w:jc w:val="left"/>
            </w:pPr>
            <w:r>
              <w:rPr>
                <w:b/>
                <w:sz w:val="20"/>
              </w:rPr>
              <w:t xml:space="preserve">Сцена</w:t>
            </w:r>
          </w:p>
        </w:tc>
        <w:tc>
          <w:tcPr>
            <w:tcW w:type="dxa" w:w="1891"/>
            <w:shd w:val="clear" w:color="auto" w:fill="D9E2F3"/>
          </w:tcPr>
          <w:p>
            <w:pPr>
              <w:pStyle w:val="Compact"/>
              <w:spacing w:before="40" w:after="40"/>
              <w:jc w:val="left"/>
            </w:pPr>
            <w:r>
              <w:rPr>
                <w:b/>
                <w:sz w:val="20"/>
              </w:rPr>
              <w:t xml:space="preserve">Воздействие (фактор)</w:t>
            </w:r>
          </w:p>
        </w:tc>
        <w:tc>
          <w:tcPr>
            <w:tcW w:type="dxa" w:w="2568"/>
            <w:shd w:val="clear" w:color="auto" w:fill="D9E2F3"/>
          </w:tcPr>
          <w:p>
            <w:pPr>
              <w:pStyle w:val="Compact"/>
              <w:spacing w:before="40" w:after="40"/>
              <w:jc w:val="left"/>
            </w:pPr>
            <w:r>
              <w:rPr>
                <w:b/>
                <w:sz w:val="20"/>
              </w:rPr>
              <w:t xml:space="preserve">Обязательный эксперимент</w:t>
            </w:r>
          </w:p>
        </w:tc>
        <w:tc>
          <w:tcPr>
            <w:tcW w:type="dxa" w:w="2568"/>
            <w:shd w:val="clear" w:color="auto" w:fill="D9E2F3"/>
          </w:tcPr>
          <w:p>
            <w:pPr>
              <w:pStyle w:val="Compact"/>
              <w:spacing w:before="40" w:after="40"/>
              <w:jc w:val="left"/>
            </w:pPr>
            <w:r>
              <w:rPr>
                <w:b/>
                <w:sz w:val="20"/>
              </w:rPr>
              <w:t xml:space="preserve">Критерий оценки</w:t>
            </w:r>
          </w:p>
        </w:tc>
        <w:tc>
          <w:tcPr>
            <w:tcW w:type="dxa" w:w="300"/>
            <w:shd w:val="clear" w:color="auto" w:fill="D9E2F3"/>
          </w:tcPr>
          <w:p>
            <w:pPr>
              <w:pStyle w:val="Compact"/>
              <w:spacing w:before="40" w:after="40"/>
              <w:jc w:val="left"/>
            </w:pPr>
            <w:r>
              <w:rPr>
                <w:b/>
                <w:sz w:val="20"/>
              </w:rPr>
              <w:t xml:space="preserve">Ограничение или риск</w:t>
            </w:r>
          </w:p>
        </w:tc>
      </w:tr>
      <w:tr>
        <w:trPr>
          <w:cantSplit w:val="true"/>
        </w:trPr>
        <w:tc>
          <w:tcPr>
            <w:tcW w:type="dxa" w:w="300"/>
          </w:tcPr>
          <w:p>
            <w:pPr>
              <w:pStyle w:val="Compact"/>
              <w:spacing w:before="40" w:after="40"/>
              <w:jc w:val="right"/>
            </w:pPr>
            <w:r>
              <w:rPr>
                <w:sz w:val="20"/>
              </w:rPr>
              <w:t xml:space="preserve">1</w:t>
            </w:r>
          </w:p>
        </w:tc>
        <w:tc>
          <w:tcPr>
            <w:tcW w:type="dxa" w:w="2011"/>
          </w:tcPr>
          <w:p>
            <w:pPr>
              <w:pStyle w:val="Compact"/>
              <w:spacing w:before="40" w:after="40"/>
              <w:jc w:val="left"/>
            </w:pPr>
            <w:r>
              <w:rPr>
                <w:sz w:val="20"/>
              </w:rPr>
              <w:t xml:space="preserve">сцена «базовая»: градиент и круг, средний контраст, слабый шум</w:t>
            </w:r>
          </w:p>
        </w:tc>
        <w:tc>
          <w:tcPr>
            <w:tcW w:type="dxa" w:w="1891"/>
          </w:tcPr>
          <w:p>
            <w:pPr>
              <w:pStyle w:val="Compact"/>
              <w:spacing w:before="40" w:after="40"/>
              <w:jc w:val="left"/>
            </w:pPr>
            <w:r>
              <w:rPr>
                <w:sz w:val="20"/>
              </w:rPr>
              <w:t xml:space="preserve">квантование яркости до 4 бит</w:t>
            </w:r>
          </w:p>
        </w:tc>
        <w:tc>
          <w:tcPr>
            <w:tcW w:type="dxa" w:w="2568"/>
          </w:tcPr>
          <w:p>
            <w:pPr>
              <w:pStyle w:val="Compact"/>
              <w:spacing w:before="40" w:after="40"/>
              <w:jc w:val="left"/>
            </w:pPr>
            <w:r>
              <w:rPr>
                <w:sz w:val="20"/>
              </w:rPr>
              <w:t xml:space="preserve">Сцена используется как эталон «нормальных» условий: важно понять, какие операции меняют её сильнее всего. Примените квантование до 4 бит и определите, какие метрики и в какой мере отзываются на потерю уровней яркости.</w:t>
            </w:r>
          </w:p>
        </w:tc>
        <w:tc>
          <w:tcPr>
            <w:tcW w:type="dxa" w:w="2568"/>
          </w:tcPr>
          <w:p>
            <w:pPr>
              <w:pStyle w:val="Compact"/>
              <w:spacing w:before="40" w:after="40"/>
              <w:jc w:val="left"/>
            </w:pPr>
            <w:r>
              <w:rPr>
                <w:sz w:val="20"/>
              </w:rPr>
              <w:t xml:space="preserve">Гипотеза и допуск записаны до запуска; вывод сформулирован по каждой из трёх метрик и по PSNR; различены статистическая значимость (</w:t>
            </w:r>
          </w:p>
        </w:tc>
        <w:tc>
          <w:tcPr>
            <w:tcW w:type="dxa" w:w="300"/>
          </w:tcPr>
          <w:p>
            <w:pPr>
              <w:pStyle w:val="Compact"/>
              <w:spacing w:before="40" w:after="40"/>
              <w:jc w:val="left"/>
            </w:pPr>
            <w:r>
              <w:rPr>
                <w:sz w:val="20"/>
              </w:rPr>
              <w:t xml:space="preserve">Δ</w:t>
            </w:r>
          </w:p>
        </w:tc>
      </w:tr>
      <w:tr>
        <w:trPr>
          <w:cantSplit w:val="true"/>
        </w:trPr>
        <w:tc>
          <w:tcPr>
            <w:tcW w:type="dxa" w:w="300"/>
          </w:tcPr>
          <w:p>
            <w:pPr>
              <w:pStyle w:val="Compact"/>
              <w:spacing w:before="40" w:after="40"/>
              <w:jc w:val="right"/>
            </w:pPr>
            <w:r>
              <w:rPr>
                <w:sz w:val="20"/>
              </w:rPr>
              <w:t xml:space="preserve">2</w:t>
            </w:r>
          </w:p>
        </w:tc>
        <w:tc>
          <w:tcPr>
            <w:tcW w:type="dxa" w:w="2011"/>
          </w:tcPr>
          <w:p>
            <w:pPr>
              <w:pStyle w:val="Compact"/>
              <w:spacing w:before="40" w:after="40"/>
              <w:jc w:val="left"/>
            </w:pPr>
            <w:r>
              <w:rPr>
                <w:sz w:val="20"/>
              </w:rPr>
              <w:t xml:space="preserve">сцена «базовая»: градиент и круг, средний контраст, слабый шум</w:t>
            </w:r>
          </w:p>
        </w:tc>
        <w:tc>
          <w:tcPr>
            <w:tcW w:type="dxa" w:w="1891"/>
          </w:tcPr>
          <w:p>
            <w:pPr>
              <w:pStyle w:val="Compact"/>
              <w:spacing w:before="40" w:after="40"/>
              <w:jc w:val="left"/>
            </w:pPr>
            <w:r>
              <w:rPr>
                <w:sz w:val="20"/>
              </w:rPr>
              <w:t xml:space="preserve">уменьшение в 2 раза и возврат к исходному размеру (imresize)</w:t>
            </w:r>
          </w:p>
        </w:tc>
        <w:tc>
          <w:tcPr>
            <w:tcW w:type="dxa" w:w="2568"/>
          </w:tcPr>
          <w:p>
            <w:pPr>
              <w:pStyle w:val="Compact"/>
              <w:spacing w:before="40" w:after="40"/>
              <w:jc w:val="left"/>
            </w:pPr>
            <w:r>
              <w:rPr>
                <w:sz w:val="20"/>
              </w:rPr>
              <w:t xml:space="preserve">Сцена используется как эталон «нормальных» условий: важно понять, какие операции меняют её сильнее всего. Уменьшите изображение в 2 раза и верните исходный размер, затем оцените потерю деталей по PSNR и метрикам.</w:t>
            </w:r>
          </w:p>
        </w:tc>
        <w:tc>
          <w:tcPr>
            <w:tcW w:type="dxa" w:w="2568"/>
          </w:tcPr>
          <w:p>
            <w:pPr>
              <w:pStyle w:val="Compact"/>
              <w:spacing w:before="40" w:after="40"/>
              <w:jc w:val="left"/>
            </w:pPr>
            <w:r>
              <w:rPr>
                <w:sz w:val="20"/>
              </w:rPr>
              <w:t xml:space="preserve">Гипотеза и допуск записаны до запуска; вывод сформулирован по каждой из трёх метрик и по PSNR; различены статистическая значимость (</w:t>
            </w:r>
          </w:p>
        </w:tc>
        <w:tc>
          <w:tcPr>
            <w:tcW w:type="dxa" w:w="300"/>
          </w:tcPr>
          <w:p>
            <w:pPr>
              <w:pStyle w:val="Compact"/>
              <w:spacing w:before="40" w:after="40"/>
              <w:jc w:val="left"/>
            </w:pPr>
            <w:r>
              <w:rPr>
                <w:sz w:val="20"/>
              </w:rPr>
              <w:t xml:space="preserve">Δ</w:t>
            </w:r>
          </w:p>
        </w:tc>
      </w:tr>
      <w:tr>
        <w:trPr>
          <w:cantSplit w:val="true"/>
        </w:trPr>
        <w:tc>
          <w:tcPr>
            <w:tcW w:type="dxa" w:w="300"/>
          </w:tcPr>
          <w:p>
            <w:pPr>
              <w:pStyle w:val="Compact"/>
              <w:spacing w:before="40" w:after="40"/>
              <w:jc w:val="right"/>
            </w:pPr>
            <w:r>
              <w:rPr>
                <w:sz w:val="20"/>
              </w:rPr>
              <w:t xml:space="preserve">3</w:t>
            </w:r>
          </w:p>
        </w:tc>
        <w:tc>
          <w:tcPr>
            <w:tcW w:type="dxa" w:w="2011"/>
          </w:tcPr>
          <w:p>
            <w:pPr>
              <w:pStyle w:val="Compact"/>
              <w:spacing w:before="40" w:after="40"/>
              <w:jc w:val="left"/>
            </w:pPr>
            <w:r>
              <w:rPr>
                <w:sz w:val="20"/>
              </w:rPr>
              <w:t xml:space="preserve">сцена «базовая»: градиент и круг, средний контраст, слабый шум</w:t>
            </w:r>
          </w:p>
        </w:tc>
        <w:tc>
          <w:tcPr>
            <w:tcW w:type="dxa" w:w="1891"/>
          </w:tcPr>
          <w:p>
            <w:pPr>
              <w:pStyle w:val="Compact"/>
              <w:spacing w:before="40" w:after="40"/>
              <w:jc w:val="left"/>
            </w:pPr>
            <w:r>
              <w:rPr>
                <w:sz w:val="20"/>
              </w:rPr>
              <w:t xml:space="preserve">уменьшение в 4 раза и возврат к исходному размеру (imresize)</w:t>
            </w:r>
          </w:p>
        </w:tc>
        <w:tc>
          <w:tcPr>
            <w:tcW w:type="dxa" w:w="2568"/>
          </w:tcPr>
          <w:p>
            <w:pPr>
              <w:pStyle w:val="Compact"/>
              <w:spacing w:before="40" w:after="40"/>
              <w:jc w:val="left"/>
            </w:pPr>
            <w:r>
              <w:rPr>
                <w:sz w:val="20"/>
              </w:rPr>
              <w:t xml:space="preserve">Сцена используется как эталон «нормальных» условий: важно понять, какие операции меняют её сильнее всего. Уменьшите изображение в 4 раза и верните исходный размер; сравните потери с уменьшением в 2 раза (для своего контекста).</w:t>
            </w:r>
          </w:p>
        </w:tc>
        <w:tc>
          <w:tcPr>
            <w:tcW w:type="dxa" w:w="2568"/>
          </w:tcPr>
          <w:p>
            <w:pPr>
              <w:pStyle w:val="Compact"/>
              <w:spacing w:before="40" w:after="40"/>
              <w:jc w:val="left"/>
            </w:pPr>
            <w:r>
              <w:rPr>
                <w:sz w:val="20"/>
              </w:rPr>
              <w:t xml:space="preserve">Гипотеза и допуск записаны до запуска; вывод сформулирован по каждой из трёх метрик и по PSNR; различены статистическая значимость (</w:t>
            </w:r>
          </w:p>
        </w:tc>
        <w:tc>
          <w:tcPr>
            <w:tcW w:type="dxa" w:w="300"/>
          </w:tcPr>
          <w:p>
            <w:pPr>
              <w:pStyle w:val="Compact"/>
              <w:spacing w:before="40" w:after="40"/>
              <w:jc w:val="left"/>
            </w:pPr>
            <w:r>
              <w:rPr>
                <w:sz w:val="20"/>
              </w:rPr>
              <w:t xml:space="preserve">Δ</w:t>
            </w:r>
          </w:p>
        </w:tc>
      </w:tr>
      <w:tr>
        <w:trPr>
          <w:cantSplit w:val="true"/>
        </w:trPr>
        <w:tc>
          <w:tcPr>
            <w:tcW w:type="dxa" w:w="300"/>
          </w:tcPr>
          <w:p>
            <w:pPr>
              <w:pStyle w:val="Compact"/>
              <w:spacing w:before="40" w:after="40"/>
              <w:jc w:val="right"/>
            </w:pPr>
            <w:r>
              <w:rPr>
                <w:sz w:val="20"/>
              </w:rPr>
              <w:t xml:space="preserve">4</w:t>
            </w:r>
          </w:p>
        </w:tc>
        <w:tc>
          <w:tcPr>
            <w:tcW w:type="dxa" w:w="2011"/>
          </w:tcPr>
          <w:p>
            <w:pPr>
              <w:pStyle w:val="Compact"/>
              <w:spacing w:before="40" w:after="40"/>
              <w:jc w:val="left"/>
            </w:pPr>
            <w:r>
              <w:rPr>
                <w:sz w:val="20"/>
              </w:rPr>
              <w:t xml:space="preserve">сцена «базовая»: градиент и круг, средний контраст, слабый шум</w:t>
            </w:r>
          </w:p>
        </w:tc>
        <w:tc>
          <w:tcPr>
            <w:tcW w:type="dxa" w:w="1891"/>
          </w:tcPr>
          <w:p>
            <w:pPr>
              <w:pStyle w:val="Compact"/>
              <w:spacing w:before="40" w:after="40"/>
              <w:jc w:val="left"/>
            </w:pPr>
            <w:r>
              <w:rPr>
                <w:sz w:val="20"/>
              </w:rPr>
              <w:t xml:space="preserve">линейное растяжение контраста на весь диапазон</w:t>
            </w:r>
          </w:p>
        </w:tc>
        <w:tc>
          <w:tcPr>
            <w:tcW w:type="dxa" w:w="2568"/>
          </w:tcPr>
          <w:p>
            <w:pPr>
              <w:pStyle w:val="Compact"/>
              <w:spacing w:before="40" w:after="40"/>
              <w:jc w:val="left"/>
            </w:pPr>
            <w:r>
              <w:rPr>
                <w:sz w:val="20"/>
              </w:rPr>
              <w:t xml:space="preserve">Сцена используется как эталон «нормальных» условий: важно понять, какие операции меняют её сильнее всего. Растяните контраст на весь диапазон и выясните, что изменяется в среднем, контрасте и энтропии, а что нет.</w:t>
            </w:r>
          </w:p>
        </w:tc>
        <w:tc>
          <w:tcPr>
            <w:tcW w:type="dxa" w:w="2568"/>
          </w:tcPr>
          <w:p>
            <w:pPr>
              <w:pStyle w:val="Compact"/>
              <w:spacing w:before="40" w:after="40"/>
              <w:jc w:val="left"/>
            </w:pPr>
            <w:r>
              <w:rPr>
                <w:sz w:val="20"/>
              </w:rPr>
              <w:t xml:space="preserve">Гипотеза и допуск записаны до запуска; вывод сформулирован по каждой из трёх метрик и по PSNR; различены статистическая значимость (</w:t>
            </w:r>
          </w:p>
        </w:tc>
        <w:tc>
          <w:tcPr>
            <w:tcW w:type="dxa" w:w="300"/>
          </w:tcPr>
          <w:p>
            <w:pPr>
              <w:pStyle w:val="Compact"/>
              <w:spacing w:before="40" w:after="40"/>
              <w:jc w:val="left"/>
            </w:pPr>
            <w:r>
              <w:rPr>
                <w:sz w:val="20"/>
              </w:rPr>
              <w:t xml:space="preserve">Δ</w:t>
            </w:r>
          </w:p>
        </w:tc>
      </w:tr>
      <w:tr>
        <w:trPr>
          <w:cantSplit w:val="true"/>
        </w:trPr>
        <w:tc>
          <w:tcPr>
            <w:tcW w:type="dxa" w:w="300"/>
          </w:tcPr>
          <w:p>
            <w:pPr>
              <w:pStyle w:val="Compact"/>
              <w:spacing w:before="40" w:after="40"/>
              <w:jc w:val="right"/>
            </w:pPr>
            <w:r>
              <w:rPr>
                <w:sz w:val="20"/>
              </w:rPr>
              <w:t xml:space="preserve">5</w:t>
            </w:r>
          </w:p>
        </w:tc>
        <w:tc>
          <w:tcPr>
            <w:tcW w:type="dxa" w:w="2011"/>
          </w:tcPr>
          <w:p>
            <w:pPr>
              <w:pStyle w:val="Compact"/>
              <w:spacing w:before="40" w:after="40"/>
              <w:jc w:val="left"/>
            </w:pPr>
            <w:r>
              <w:rPr>
                <w:sz w:val="20"/>
              </w:rPr>
              <w:t xml:space="preserve">сцена «базовая»: градиент и круг, средний контраст, слабый шум</w:t>
            </w:r>
          </w:p>
        </w:tc>
        <w:tc>
          <w:tcPr>
            <w:tcW w:type="dxa" w:w="1891"/>
          </w:tcPr>
          <w:p>
            <w:pPr>
              <w:pStyle w:val="Compact"/>
              <w:spacing w:before="40" w:after="40"/>
              <w:jc w:val="left"/>
            </w:pPr>
            <w:r>
              <w:rPr>
                <w:sz w:val="20"/>
              </w:rPr>
              <w:t xml:space="preserve">гамма-коррекция с показателем 0,5</w:t>
            </w:r>
          </w:p>
        </w:tc>
        <w:tc>
          <w:tcPr>
            <w:tcW w:type="dxa" w:w="2568"/>
          </w:tcPr>
          <w:p>
            <w:pPr>
              <w:pStyle w:val="Compact"/>
              <w:spacing w:before="40" w:after="40"/>
              <w:jc w:val="left"/>
            </w:pPr>
            <w:r>
              <w:rPr>
                <w:sz w:val="20"/>
              </w:rPr>
              <w:t xml:space="preserve">Сцена используется как эталон «нормальных» условий: важно понять, какие операции меняют её сильнее всего. Примените гамма-коррекцию 0,5 и определите, как она сдвигает среднюю яркость и распределение по гистограмме.</w:t>
            </w:r>
          </w:p>
        </w:tc>
        <w:tc>
          <w:tcPr>
            <w:tcW w:type="dxa" w:w="2568"/>
          </w:tcPr>
          <w:p>
            <w:pPr>
              <w:pStyle w:val="Compact"/>
              <w:spacing w:before="40" w:after="40"/>
              <w:jc w:val="left"/>
            </w:pPr>
            <w:r>
              <w:rPr>
                <w:sz w:val="20"/>
              </w:rPr>
              <w:t xml:space="preserve">Гипотеза и допуск записаны до запуска; вывод сформулирован по каждой из трёх метрик и по PSNR; различены статистическая значимость (</w:t>
            </w:r>
          </w:p>
        </w:tc>
        <w:tc>
          <w:tcPr>
            <w:tcW w:type="dxa" w:w="300"/>
          </w:tcPr>
          <w:p>
            <w:pPr>
              <w:pStyle w:val="Compact"/>
              <w:spacing w:before="40" w:after="40"/>
              <w:jc w:val="left"/>
            </w:pPr>
            <w:r>
              <w:rPr>
                <w:sz w:val="20"/>
              </w:rPr>
              <w:t xml:space="preserve">Δ</w:t>
            </w:r>
          </w:p>
        </w:tc>
      </w:tr>
      <w:tr>
        <w:trPr>
          <w:cantSplit w:val="true"/>
        </w:trPr>
        <w:tc>
          <w:tcPr>
            <w:tcW w:type="dxa" w:w="300"/>
          </w:tcPr>
          <w:p>
            <w:pPr>
              <w:pStyle w:val="Compact"/>
              <w:spacing w:before="40" w:after="40"/>
              <w:jc w:val="right"/>
            </w:pPr>
            <w:r>
              <w:rPr>
                <w:sz w:val="20"/>
              </w:rPr>
              <w:t xml:space="preserve">6</w:t>
            </w:r>
          </w:p>
        </w:tc>
        <w:tc>
          <w:tcPr>
            <w:tcW w:type="dxa" w:w="2011"/>
          </w:tcPr>
          <w:p>
            <w:pPr>
              <w:pStyle w:val="Compact"/>
              <w:spacing w:before="40" w:after="40"/>
              <w:jc w:val="left"/>
            </w:pPr>
            <w:r>
              <w:rPr>
                <w:sz w:val="20"/>
              </w:rPr>
              <w:t xml:space="preserve">сцена «базовая»: градиент и круг, средний контраст, слабый шум</w:t>
            </w:r>
          </w:p>
        </w:tc>
        <w:tc>
          <w:tcPr>
            <w:tcW w:type="dxa" w:w="1891"/>
          </w:tcPr>
          <w:p>
            <w:pPr>
              <w:pStyle w:val="Compact"/>
              <w:spacing w:before="40" w:after="40"/>
              <w:jc w:val="left"/>
            </w:pPr>
            <w:r>
              <w:rPr>
                <w:sz w:val="20"/>
              </w:rPr>
              <w:t xml:space="preserve">сохранение в PNG (8 бит) и повторное чтение</w:t>
            </w:r>
          </w:p>
        </w:tc>
        <w:tc>
          <w:tcPr>
            <w:tcW w:type="dxa" w:w="2568"/>
          </w:tcPr>
          <w:p>
            <w:pPr>
              <w:pStyle w:val="Compact"/>
              <w:spacing w:before="40" w:after="40"/>
              <w:jc w:val="left"/>
            </w:pPr>
            <w:r>
              <w:rPr>
                <w:sz w:val="20"/>
              </w:rPr>
              <w:t xml:space="preserve">Сцена используется как эталон «нормальных» условий: важно понять, какие операции меняют её сильнее всего. Сохраните серое изображение в PNG и прочитайте обратно: измерьте потерю и решите, значима ли она на практике.</w:t>
            </w:r>
          </w:p>
        </w:tc>
        <w:tc>
          <w:tcPr>
            <w:tcW w:type="dxa" w:w="2568"/>
          </w:tcPr>
          <w:p>
            <w:pPr>
              <w:pStyle w:val="Compact"/>
              <w:spacing w:before="40" w:after="40"/>
              <w:jc w:val="left"/>
            </w:pPr>
            <w:r>
              <w:rPr>
                <w:sz w:val="20"/>
              </w:rPr>
              <w:t xml:space="preserve">Гипотеза и допуск записаны до запуска; вывод сформулирован по каждой из трёх метрик и по PSNR; различены статистическая значимость (</w:t>
            </w:r>
          </w:p>
        </w:tc>
        <w:tc>
          <w:tcPr>
            <w:tcW w:type="dxa" w:w="300"/>
          </w:tcPr>
          <w:p>
            <w:pPr>
              <w:pStyle w:val="Compact"/>
              <w:spacing w:before="40" w:after="40"/>
              <w:jc w:val="left"/>
            </w:pPr>
            <w:r>
              <w:rPr>
                <w:sz w:val="20"/>
              </w:rPr>
              <w:t xml:space="preserve">Δ</w:t>
            </w:r>
          </w:p>
        </w:tc>
      </w:tr>
      <w:tr>
        <w:trPr>
          <w:cantSplit w:val="true"/>
        </w:trPr>
        <w:tc>
          <w:tcPr>
            <w:tcW w:type="dxa" w:w="300"/>
          </w:tcPr>
          <w:p>
            <w:pPr>
              <w:pStyle w:val="Compact"/>
              <w:spacing w:before="40" w:after="40"/>
              <w:jc w:val="right"/>
            </w:pPr>
            <w:r>
              <w:rPr>
                <w:sz w:val="20"/>
              </w:rPr>
              <w:t xml:space="preserve">7</w:t>
            </w:r>
          </w:p>
        </w:tc>
        <w:tc>
          <w:tcPr>
            <w:tcW w:type="dxa" w:w="2011"/>
          </w:tcPr>
          <w:p>
            <w:pPr>
              <w:pStyle w:val="Compact"/>
              <w:spacing w:before="40" w:after="40"/>
              <w:jc w:val="left"/>
            </w:pPr>
            <w:r>
              <w:rPr>
                <w:sz w:val="20"/>
              </w:rPr>
              <w:t xml:space="preserve">сцена «низкий контраст»: яркости сжаты в узкий диапазон</w:t>
            </w:r>
          </w:p>
        </w:tc>
        <w:tc>
          <w:tcPr>
            <w:tcW w:type="dxa" w:w="1891"/>
          </w:tcPr>
          <w:p>
            <w:pPr>
              <w:pStyle w:val="Compact"/>
              <w:spacing w:before="40" w:after="40"/>
              <w:jc w:val="left"/>
            </w:pPr>
            <w:r>
              <w:rPr>
                <w:sz w:val="20"/>
              </w:rPr>
              <w:t xml:space="preserve">квантование яркости до 4 бит</w:t>
            </w:r>
          </w:p>
        </w:tc>
        <w:tc>
          <w:tcPr>
            <w:tcW w:type="dxa" w:w="2568"/>
          </w:tcPr>
          <w:p>
            <w:pPr>
              <w:pStyle w:val="Compact"/>
              <w:spacing w:before="40" w:after="40"/>
              <w:jc w:val="left"/>
            </w:pPr>
            <w:r>
              <w:rPr>
                <w:sz w:val="20"/>
              </w:rPr>
              <w:t xml:space="preserve">На сцене с малым контрастом любая операция сильнее сказывается на различимости деталей: проследите, какая метрика это фиксирует. Примените квантование до 4 бит и определите, какие метрики и в какой мере отзываются на потерю уровней яркости.</w:t>
            </w:r>
          </w:p>
        </w:tc>
        <w:tc>
          <w:tcPr>
            <w:tcW w:type="dxa" w:w="2568"/>
          </w:tcPr>
          <w:p>
            <w:pPr>
              <w:pStyle w:val="Compact"/>
              <w:spacing w:before="40" w:after="40"/>
              <w:jc w:val="left"/>
            </w:pPr>
            <w:r>
              <w:rPr>
                <w:sz w:val="20"/>
              </w:rPr>
              <w:t xml:space="preserve">Гипотеза и допуск записаны до запуска; вывод сформулирован по каждой из трёх метрик и по PSNR; различены статистическая значимость (</w:t>
            </w:r>
          </w:p>
        </w:tc>
        <w:tc>
          <w:tcPr>
            <w:tcW w:type="dxa" w:w="300"/>
          </w:tcPr>
          <w:p>
            <w:pPr>
              <w:pStyle w:val="Compact"/>
              <w:spacing w:before="40" w:after="40"/>
              <w:jc w:val="left"/>
            </w:pPr>
            <w:r>
              <w:rPr>
                <w:sz w:val="20"/>
              </w:rPr>
              <w:t xml:space="preserve">Δ</w:t>
            </w:r>
          </w:p>
        </w:tc>
      </w:tr>
      <w:tr>
        <w:trPr>
          <w:cantSplit w:val="true"/>
        </w:trPr>
        <w:tc>
          <w:tcPr>
            <w:tcW w:type="dxa" w:w="300"/>
          </w:tcPr>
          <w:p>
            <w:pPr>
              <w:pStyle w:val="Compact"/>
              <w:spacing w:before="40" w:after="40"/>
              <w:jc w:val="right"/>
            </w:pPr>
            <w:r>
              <w:rPr>
                <w:sz w:val="20"/>
              </w:rPr>
              <w:t xml:space="preserve">8</w:t>
            </w:r>
          </w:p>
        </w:tc>
        <w:tc>
          <w:tcPr>
            <w:tcW w:type="dxa" w:w="2011"/>
          </w:tcPr>
          <w:p>
            <w:pPr>
              <w:pStyle w:val="Compact"/>
              <w:spacing w:before="40" w:after="40"/>
              <w:jc w:val="left"/>
            </w:pPr>
            <w:r>
              <w:rPr>
                <w:sz w:val="20"/>
              </w:rPr>
              <w:t xml:space="preserve">сцена «низкий контраст»: яркости сжаты в узкий диапазон</w:t>
            </w:r>
          </w:p>
        </w:tc>
        <w:tc>
          <w:tcPr>
            <w:tcW w:type="dxa" w:w="1891"/>
          </w:tcPr>
          <w:p>
            <w:pPr>
              <w:pStyle w:val="Compact"/>
              <w:spacing w:before="40" w:after="40"/>
              <w:jc w:val="left"/>
            </w:pPr>
            <w:r>
              <w:rPr>
                <w:sz w:val="20"/>
              </w:rPr>
              <w:t xml:space="preserve">уменьшение в 2 раза и возврат к исходному размеру (imresize)</w:t>
            </w:r>
          </w:p>
        </w:tc>
        <w:tc>
          <w:tcPr>
            <w:tcW w:type="dxa" w:w="2568"/>
          </w:tcPr>
          <w:p>
            <w:pPr>
              <w:pStyle w:val="Compact"/>
              <w:spacing w:before="40" w:after="40"/>
              <w:jc w:val="left"/>
            </w:pPr>
            <w:r>
              <w:rPr>
                <w:sz w:val="20"/>
              </w:rPr>
              <w:t xml:space="preserve">На сцене с малым контрастом любая операция сильнее сказывается на различимости деталей: проследите, какая метрика это фиксирует. Уменьшите изображение в 2 раза и верните исходный размер, затем оцените потерю деталей по PSNR и метрикам.</w:t>
            </w:r>
          </w:p>
        </w:tc>
        <w:tc>
          <w:tcPr>
            <w:tcW w:type="dxa" w:w="2568"/>
          </w:tcPr>
          <w:p>
            <w:pPr>
              <w:pStyle w:val="Compact"/>
              <w:spacing w:before="40" w:after="40"/>
              <w:jc w:val="left"/>
            </w:pPr>
            <w:r>
              <w:rPr>
                <w:sz w:val="20"/>
              </w:rPr>
              <w:t xml:space="preserve">Гипотеза и допуск записаны до запуска; вывод сформулирован по каждой из трёх метрик и по PSNR; различены статистическая значимость (</w:t>
            </w:r>
          </w:p>
        </w:tc>
        <w:tc>
          <w:tcPr>
            <w:tcW w:type="dxa" w:w="300"/>
          </w:tcPr>
          <w:p>
            <w:pPr>
              <w:pStyle w:val="Compact"/>
              <w:spacing w:before="40" w:after="40"/>
              <w:jc w:val="left"/>
            </w:pPr>
            <w:r>
              <w:rPr>
                <w:sz w:val="20"/>
              </w:rPr>
              <w:t xml:space="preserve">Δ</w:t>
            </w:r>
          </w:p>
        </w:tc>
      </w:tr>
      <w:tr>
        <w:trPr>
          <w:cantSplit w:val="true"/>
        </w:trPr>
        <w:tc>
          <w:tcPr>
            <w:tcW w:type="dxa" w:w="300"/>
          </w:tcPr>
          <w:p>
            <w:pPr>
              <w:pStyle w:val="Compact"/>
              <w:spacing w:before="40" w:after="40"/>
              <w:jc w:val="right"/>
            </w:pPr>
            <w:r>
              <w:rPr>
                <w:sz w:val="20"/>
              </w:rPr>
              <w:t xml:space="preserve">9</w:t>
            </w:r>
          </w:p>
        </w:tc>
        <w:tc>
          <w:tcPr>
            <w:tcW w:type="dxa" w:w="2011"/>
          </w:tcPr>
          <w:p>
            <w:pPr>
              <w:pStyle w:val="Compact"/>
              <w:spacing w:before="40" w:after="40"/>
              <w:jc w:val="left"/>
            </w:pPr>
            <w:r>
              <w:rPr>
                <w:sz w:val="20"/>
              </w:rPr>
              <w:t xml:space="preserve">сцена «низкий контраст»: яркости сжаты в узкий диапазон</w:t>
            </w:r>
          </w:p>
        </w:tc>
        <w:tc>
          <w:tcPr>
            <w:tcW w:type="dxa" w:w="1891"/>
          </w:tcPr>
          <w:p>
            <w:pPr>
              <w:pStyle w:val="Compact"/>
              <w:spacing w:before="40" w:after="40"/>
              <w:jc w:val="left"/>
            </w:pPr>
            <w:r>
              <w:rPr>
                <w:sz w:val="20"/>
              </w:rPr>
              <w:t xml:space="preserve">уменьшение в 4 раза и возврат к исходному размеру (imresize)</w:t>
            </w:r>
          </w:p>
        </w:tc>
        <w:tc>
          <w:tcPr>
            <w:tcW w:type="dxa" w:w="2568"/>
          </w:tcPr>
          <w:p>
            <w:pPr>
              <w:pStyle w:val="Compact"/>
              <w:spacing w:before="40" w:after="40"/>
              <w:jc w:val="left"/>
            </w:pPr>
            <w:r>
              <w:rPr>
                <w:sz w:val="20"/>
              </w:rPr>
              <w:t xml:space="preserve">На сцене с малым контрастом любая операция сильнее сказывается на различимости деталей: проследите, какая метрика это фиксирует. Уменьшите изображение в 4 раза и верните исходный размер; сравните потери с уменьшением в 2 раза (для своего контекста).</w:t>
            </w:r>
          </w:p>
        </w:tc>
        <w:tc>
          <w:tcPr>
            <w:tcW w:type="dxa" w:w="2568"/>
          </w:tcPr>
          <w:p>
            <w:pPr>
              <w:pStyle w:val="Compact"/>
              <w:spacing w:before="40" w:after="40"/>
              <w:jc w:val="left"/>
            </w:pPr>
            <w:r>
              <w:rPr>
                <w:sz w:val="20"/>
              </w:rPr>
              <w:t xml:space="preserve">Гипотеза и допуск записаны до запуска; вывод сформулирован по каждой из трёх метрик и по PSNR; различены статистическая значимость (</w:t>
            </w:r>
          </w:p>
        </w:tc>
        <w:tc>
          <w:tcPr>
            <w:tcW w:type="dxa" w:w="300"/>
          </w:tcPr>
          <w:p>
            <w:pPr>
              <w:pStyle w:val="Compact"/>
              <w:spacing w:before="40" w:after="40"/>
              <w:jc w:val="left"/>
            </w:pPr>
            <w:r>
              <w:rPr>
                <w:sz w:val="20"/>
              </w:rPr>
              <w:t xml:space="preserve">Δ</w:t>
            </w:r>
          </w:p>
        </w:tc>
      </w:tr>
      <w:tr>
        <w:trPr>
          <w:cantSplit w:val="true"/>
        </w:trPr>
        <w:tc>
          <w:tcPr>
            <w:tcW w:type="dxa" w:w="300"/>
          </w:tcPr>
          <w:p>
            <w:pPr>
              <w:pStyle w:val="Compact"/>
              <w:spacing w:before="40" w:after="40"/>
              <w:jc w:val="right"/>
            </w:pPr>
            <w:r>
              <w:rPr>
                <w:sz w:val="20"/>
              </w:rPr>
              <w:t xml:space="preserve">10</w:t>
            </w:r>
          </w:p>
        </w:tc>
        <w:tc>
          <w:tcPr>
            <w:tcW w:type="dxa" w:w="2011"/>
          </w:tcPr>
          <w:p>
            <w:pPr>
              <w:pStyle w:val="Compact"/>
              <w:spacing w:before="40" w:after="40"/>
              <w:jc w:val="left"/>
            </w:pPr>
            <w:r>
              <w:rPr>
                <w:sz w:val="20"/>
              </w:rPr>
              <w:t xml:space="preserve">сцена «низкий контраст»: яркости сжаты в узкий диапазон</w:t>
            </w:r>
          </w:p>
        </w:tc>
        <w:tc>
          <w:tcPr>
            <w:tcW w:type="dxa" w:w="1891"/>
          </w:tcPr>
          <w:p>
            <w:pPr>
              <w:pStyle w:val="Compact"/>
              <w:spacing w:before="40" w:after="40"/>
              <w:jc w:val="left"/>
            </w:pPr>
            <w:r>
              <w:rPr>
                <w:sz w:val="20"/>
              </w:rPr>
              <w:t xml:space="preserve">линейное растяжение контраста на весь диапазон</w:t>
            </w:r>
          </w:p>
        </w:tc>
        <w:tc>
          <w:tcPr>
            <w:tcW w:type="dxa" w:w="2568"/>
          </w:tcPr>
          <w:p>
            <w:pPr>
              <w:pStyle w:val="Compact"/>
              <w:spacing w:before="40" w:after="40"/>
              <w:jc w:val="left"/>
            </w:pPr>
            <w:r>
              <w:rPr>
                <w:sz w:val="20"/>
              </w:rPr>
              <w:t xml:space="preserve">На сцене с малым контрастом любая операция сильнее сказывается на различимости деталей: проследите, какая метрика это фиксирует. Растяните контраст на весь диапазон и выясните, что изменяется в среднем, контрасте и энтропии, а что нет.</w:t>
            </w:r>
          </w:p>
        </w:tc>
        <w:tc>
          <w:tcPr>
            <w:tcW w:type="dxa" w:w="2568"/>
          </w:tcPr>
          <w:p>
            <w:pPr>
              <w:pStyle w:val="Compact"/>
              <w:spacing w:before="40" w:after="40"/>
              <w:jc w:val="left"/>
            </w:pPr>
            <w:r>
              <w:rPr>
                <w:sz w:val="20"/>
              </w:rPr>
              <w:t xml:space="preserve">Гипотеза и допуск записаны до запуска; вывод сформулирован по каждой из трёх метрик и по PSNR; различены статистическая значимость (</w:t>
            </w:r>
          </w:p>
        </w:tc>
        <w:tc>
          <w:tcPr>
            <w:tcW w:type="dxa" w:w="300"/>
          </w:tcPr>
          <w:p>
            <w:pPr>
              <w:pStyle w:val="Compact"/>
              <w:spacing w:before="40" w:after="40"/>
              <w:jc w:val="left"/>
            </w:pPr>
            <w:r>
              <w:rPr>
                <w:sz w:val="20"/>
              </w:rPr>
              <w:t xml:space="preserve">Δ</w:t>
            </w:r>
          </w:p>
        </w:tc>
      </w:tr>
      <w:tr>
        <w:trPr>
          <w:cantSplit w:val="true"/>
        </w:trPr>
        <w:tc>
          <w:tcPr>
            <w:tcW w:type="dxa" w:w="300"/>
          </w:tcPr>
          <w:p>
            <w:pPr>
              <w:pStyle w:val="Compact"/>
              <w:spacing w:before="40" w:after="40"/>
              <w:jc w:val="right"/>
            </w:pPr>
            <w:r>
              <w:rPr>
                <w:sz w:val="20"/>
              </w:rPr>
              <w:t xml:space="preserve">11</w:t>
            </w:r>
          </w:p>
        </w:tc>
        <w:tc>
          <w:tcPr>
            <w:tcW w:type="dxa" w:w="2011"/>
          </w:tcPr>
          <w:p>
            <w:pPr>
              <w:pStyle w:val="Compact"/>
              <w:spacing w:before="40" w:after="40"/>
              <w:jc w:val="left"/>
            </w:pPr>
            <w:r>
              <w:rPr>
                <w:sz w:val="20"/>
              </w:rPr>
              <w:t xml:space="preserve">сцена «низкий контраст»: яркости сжаты в узкий диапазон</w:t>
            </w:r>
          </w:p>
        </w:tc>
        <w:tc>
          <w:tcPr>
            <w:tcW w:type="dxa" w:w="1891"/>
          </w:tcPr>
          <w:p>
            <w:pPr>
              <w:pStyle w:val="Compact"/>
              <w:spacing w:before="40" w:after="40"/>
              <w:jc w:val="left"/>
            </w:pPr>
            <w:r>
              <w:rPr>
                <w:sz w:val="20"/>
              </w:rPr>
              <w:t xml:space="preserve">гамма-коррекция с показателем 0,5</w:t>
            </w:r>
          </w:p>
        </w:tc>
        <w:tc>
          <w:tcPr>
            <w:tcW w:type="dxa" w:w="2568"/>
          </w:tcPr>
          <w:p>
            <w:pPr>
              <w:pStyle w:val="Compact"/>
              <w:spacing w:before="40" w:after="40"/>
              <w:jc w:val="left"/>
            </w:pPr>
            <w:r>
              <w:rPr>
                <w:sz w:val="20"/>
              </w:rPr>
              <w:t xml:space="preserve">На сцене с малым контрастом любая операция сильнее сказывается на различимости деталей: проследите, какая метрика это фиксирует. Примените гамма-коррекцию 0,5 и определите, как она сдвигает среднюю яркость и распределение по гистограмме.</w:t>
            </w:r>
          </w:p>
        </w:tc>
        <w:tc>
          <w:tcPr>
            <w:tcW w:type="dxa" w:w="2568"/>
          </w:tcPr>
          <w:p>
            <w:pPr>
              <w:pStyle w:val="Compact"/>
              <w:spacing w:before="40" w:after="40"/>
              <w:jc w:val="left"/>
            </w:pPr>
            <w:r>
              <w:rPr>
                <w:sz w:val="20"/>
              </w:rPr>
              <w:t xml:space="preserve">Гипотеза и допуск записаны до запуска; вывод сформулирован по каждой из трёх метрик и по PSNR; различены статистическая значимость (</w:t>
            </w:r>
          </w:p>
        </w:tc>
        <w:tc>
          <w:tcPr>
            <w:tcW w:type="dxa" w:w="300"/>
          </w:tcPr>
          <w:p>
            <w:pPr>
              <w:pStyle w:val="Compact"/>
              <w:spacing w:before="40" w:after="40"/>
              <w:jc w:val="left"/>
            </w:pPr>
            <w:r>
              <w:rPr>
                <w:sz w:val="20"/>
              </w:rPr>
              <w:t xml:space="preserve">Δ</w:t>
            </w:r>
          </w:p>
        </w:tc>
      </w:tr>
      <w:tr>
        <w:trPr>
          <w:cantSplit w:val="true"/>
        </w:trPr>
        <w:tc>
          <w:tcPr>
            <w:tcW w:type="dxa" w:w="300"/>
          </w:tcPr>
          <w:p>
            <w:pPr>
              <w:pStyle w:val="Compact"/>
              <w:spacing w:before="40" w:after="40"/>
              <w:jc w:val="right"/>
            </w:pPr>
            <w:r>
              <w:rPr>
                <w:sz w:val="20"/>
              </w:rPr>
              <w:t xml:space="preserve">12</w:t>
            </w:r>
          </w:p>
        </w:tc>
        <w:tc>
          <w:tcPr>
            <w:tcW w:type="dxa" w:w="2011"/>
          </w:tcPr>
          <w:p>
            <w:pPr>
              <w:pStyle w:val="Compact"/>
              <w:spacing w:before="40" w:after="40"/>
              <w:jc w:val="left"/>
            </w:pPr>
            <w:r>
              <w:rPr>
                <w:sz w:val="20"/>
              </w:rPr>
              <w:t xml:space="preserve">сцена «низкий контраст»: яркости сжаты в узкий диапазон</w:t>
            </w:r>
          </w:p>
        </w:tc>
        <w:tc>
          <w:tcPr>
            <w:tcW w:type="dxa" w:w="1891"/>
          </w:tcPr>
          <w:p>
            <w:pPr>
              <w:pStyle w:val="Compact"/>
              <w:spacing w:before="40" w:after="40"/>
              <w:jc w:val="left"/>
            </w:pPr>
            <w:r>
              <w:rPr>
                <w:sz w:val="20"/>
              </w:rPr>
              <w:t xml:space="preserve">сохранение в PNG (8 бит) и повторное чтение</w:t>
            </w:r>
          </w:p>
        </w:tc>
        <w:tc>
          <w:tcPr>
            <w:tcW w:type="dxa" w:w="2568"/>
          </w:tcPr>
          <w:p>
            <w:pPr>
              <w:pStyle w:val="Compact"/>
              <w:spacing w:before="40" w:after="40"/>
              <w:jc w:val="left"/>
            </w:pPr>
            <w:r>
              <w:rPr>
                <w:sz w:val="20"/>
              </w:rPr>
              <w:t xml:space="preserve">На сцене с малым контрастом любая операция сильнее сказывается на различимости деталей: проследите, какая метрика это фиксирует. Сохраните серое изображение в PNG и прочитайте обратно: измерьте потерю и решите, значима ли она на практике.</w:t>
            </w:r>
          </w:p>
        </w:tc>
        <w:tc>
          <w:tcPr>
            <w:tcW w:type="dxa" w:w="2568"/>
          </w:tcPr>
          <w:p>
            <w:pPr>
              <w:pStyle w:val="Compact"/>
              <w:spacing w:before="40" w:after="40"/>
              <w:jc w:val="left"/>
            </w:pPr>
            <w:r>
              <w:rPr>
                <w:sz w:val="20"/>
              </w:rPr>
              <w:t xml:space="preserve">Гипотеза и допуск записаны до запуска; вывод сформулирован по каждой из трёх метрик и по PSNR; различены статистическая значимость (</w:t>
            </w:r>
          </w:p>
        </w:tc>
        <w:tc>
          <w:tcPr>
            <w:tcW w:type="dxa" w:w="300"/>
          </w:tcPr>
          <w:p>
            <w:pPr>
              <w:pStyle w:val="Compact"/>
              <w:spacing w:before="40" w:after="40"/>
              <w:jc w:val="left"/>
            </w:pPr>
            <w:r>
              <w:rPr>
                <w:sz w:val="20"/>
              </w:rPr>
              <w:t xml:space="preserve">Δ</w:t>
            </w:r>
          </w:p>
        </w:tc>
      </w:tr>
      <w:tr>
        <w:trPr>
          <w:cantSplit w:val="true"/>
        </w:trPr>
        <w:tc>
          <w:tcPr>
            <w:tcW w:type="dxa" w:w="300"/>
          </w:tcPr>
          <w:p>
            <w:pPr>
              <w:pStyle w:val="Compact"/>
              <w:spacing w:before="40" w:after="40"/>
              <w:jc w:val="right"/>
            </w:pPr>
            <w:r>
              <w:rPr>
                <w:sz w:val="20"/>
              </w:rPr>
              <w:t xml:space="preserve">13</w:t>
            </w:r>
          </w:p>
        </w:tc>
        <w:tc>
          <w:tcPr>
            <w:tcW w:type="dxa" w:w="2011"/>
          </w:tcPr>
          <w:p>
            <w:pPr>
              <w:pStyle w:val="Compact"/>
              <w:spacing w:before="40" w:after="40"/>
              <w:jc w:val="left"/>
            </w:pPr>
            <w:r>
              <w:rPr>
                <w:sz w:val="20"/>
              </w:rPr>
              <w:t xml:space="preserve">сцена «тёмная»: все яркости в нижней части диапазона</w:t>
            </w:r>
          </w:p>
        </w:tc>
        <w:tc>
          <w:tcPr>
            <w:tcW w:type="dxa" w:w="1891"/>
          </w:tcPr>
          <w:p>
            <w:pPr>
              <w:pStyle w:val="Compact"/>
              <w:spacing w:before="40" w:after="40"/>
              <w:jc w:val="left"/>
            </w:pPr>
            <w:r>
              <w:rPr>
                <w:sz w:val="20"/>
              </w:rPr>
              <w:t xml:space="preserve">квантование яркости до 4 бит</w:t>
            </w:r>
          </w:p>
        </w:tc>
        <w:tc>
          <w:tcPr>
            <w:tcW w:type="dxa" w:w="2568"/>
          </w:tcPr>
          <w:p>
            <w:pPr>
              <w:pStyle w:val="Compact"/>
              <w:spacing w:before="40" w:after="40"/>
              <w:jc w:val="left"/>
            </w:pPr>
            <w:r>
              <w:rPr>
                <w:sz w:val="20"/>
              </w:rPr>
              <w:t xml:space="preserve">Тёмная сцена чувствительна к квантованию и гамма-коррекции: определите, где теряется информация. Примените квантование до 4 бит и определите, какие метрики и в какой мере отзываются на потерю уровней яркости.</w:t>
            </w:r>
          </w:p>
        </w:tc>
        <w:tc>
          <w:tcPr>
            <w:tcW w:type="dxa" w:w="2568"/>
          </w:tcPr>
          <w:p>
            <w:pPr>
              <w:pStyle w:val="Compact"/>
              <w:spacing w:before="40" w:after="40"/>
              <w:jc w:val="left"/>
            </w:pPr>
            <w:r>
              <w:rPr>
                <w:sz w:val="20"/>
              </w:rPr>
              <w:t xml:space="preserve">Гипотеза и допуск записаны до запуска; вывод сформулирован по каждой из трёх метрик и по PSNR; различены статистическая значимость (</w:t>
            </w:r>
          </w:p>
        </w:tc>
        <w:tc>
          <w:tcPr>
            <w:tcW w:type="dxa" w:w="300"/>
          </w:tcPr>
          <w:p>
            <w:pPr>
              <w:pStyle w:val="Compact"/>
              <w:spacing w:before="40" w:after="40"/>
              <w:jc w:val="left"/>
            </w:pPr>
            <w:r>
              <w:rPr>
                <w:sz w:val="20"/>
              </w:rPr>
              <w:t xml:space="preserve">Δ</w:t>
            </w:r>
          </w:p>
        </w:tc>
      </w:tr>
      <w:tr>
        <w:trPr>
          <w:cantSplit w:val="true"/>
        </w:trPr>
        <w:tc>
          <w:tcPr>
            <w:tcW w:type="dxa" w:w="300"/>
          </w:tcPr>
          <w:p>
            <w:pPr>
              <w:pStyle w:val="Compact"/>
              <w:spacing w:before="40" w:after="40"/>
              <w:jc w:val="right"/>
            </w:pPr>
            <w:r>
              <w:rPr>
                <w:sz w:val="20"/>
              </w:rPr>
              <w:t xml:space="preserve">14</w:t>
            </w:r>
          </w:p>
        </w:tc>
        <w:tc>
          <w:tcPr>
            <w:tcW w:type="dxa" w:w="2011"/>
          </w:tcPr>
          <w:p>
            <w:pPr>
              <w:pStyle w:val="Compact"/>
              <w:spacing w:before="40" w:after="40"/>
              <w:jc w:val="left"/>
            </w:pPr>
            <w:r>
              <w:rPr>
                <w:sz w:val="20"/>
              </w:rPr>
              <w:t xml:space="preserve">сцена «тёмная»: все яркости в нижней части диапазона</w:t>
            </w:r>
          </w:p>
        </w:tc>
        <w:tc>
          <w:tcPr>
            <w:tcW w:type="dxa" w:w="1891"/>
          </w:tcPr>
          <w:p>
            <w:pPr>
              <w:pStyle w:val="Compact"/>
              <w:spacing w:before="40" w:after="40"/>
              <w:jc w:val="left"/>
            </w:pPr>
            <w:r>
              <w:rPr>
                <w:sz w:val="20"/>
              </w:rPr>
              <w:t xml:space="preserve">уменьшение в 2 раза и возврат к исходному размеру (imresize)</w:t>
            </w:r>
          </w:p>
        </w:tc>
        <w:tc>
          <w:tcPr>
            <w:tcW w:type="dxa" w:w="2568"/>
          </w:tcPr>
          <w:p>
            <w:pPr>
              <w:pStyle w:val="Compact"/>
              <w:spacing w:before="40" w:after="40"/>
              <w:jc w:val="left"/>
            </w:pPr>
            <w:r>
              <w:rPr>
                <w:sz w:val="20"/>
              </w:rPr>
              <w:t xml:space="preserve">Тёмная сцена чувствительна к квантованию и гамма-коррекции: определите, где теряется информация. Уменьшите изображение в 2 раза и верните исходный размер, затем оцените потерю деталей по PSNR и метрикам.</w:t>
            </w:r>
          </w:p>
        </w:tc>
        <w:tc>
          <w:tcPr>
            <w:tcW w:type="dxa" w:w="2568"/>
          </w:tcPr>
          <w:p>
            <w:pPr>
              <w:pStyle w:val="Compact"/>
              <w:spacing w:before="40" w:after="40"/>
              <w:jc w:val="left"/>
            </w:pPr>
            <w:r>
              <w:rPr>
                <w:sz w:val="20"/>
              </w:rPr>
              <w:t xml:space="preserve">Гипотеза и допуск записаны до запуска; вывод сформулирован по каждой из трёх метрик и по PSNR; различены статистическая значимость (</w:t>
            </w:r>
          </w:p>
        </w:tc>
        <w:tc>
          <w:tcPr>
            <w:tcW w:type="dxa" w:w="300"/>
          </w:tcPr>
          <w:p>
            <w:pPr>
              <w:pStyle w:val="Compact"/>
              <w:spacing w:before="40" w:after="40"/>
              <w:jc w:val="left"/>
            </w:pPr>
            <w:r>
              <w:rPr>
                <w:sz w:val="20"/>
              </w:rPr>
              <w:t xml:space="preserve">Δ</w:t>
            </w:r>
          </w:p>
        </w:tc>
      </w:tr>
      <w:tr>
        <w:trPr>
          <w:cantSplit w:val="true"/>
        </w:trPr>
        <w:tc>
          <w:tcPr>
            <w:tcW w:type="dxa" w:w="300"/>
          </w:tcPr>
          <w:p>
            <w:pPr>
              <w:pStyle w:val="Compact"/>
              <w:spacing w:before="40" w:after="40"/>
              <w:jc w:val="right"/>
            </w:pPr>
            <w:r>
              <w:rPr>
                <w:sz w:val="20"/>
              </w:rPr>
              <w:t xml:space="preserve">15</w:t>
            </w:r>
          </w:p>
        </w:tc>
        <w:tc>
          <w:tcPr>
            <w:tcW w:type="dxa" w:w="2011"/>
          </w:tcPr>
          <w:p>
            <w:pPr>
              <w:pStyle w:val="Compact"/>
              <w:spacing w:before="40" w:after="40"/>
              <w:jc w:val="left"/>
            </w:pPr>
            <w:r>
              <w:rPr>
                <w:sz w:val="20"/>
              </w:rPr>
              <w:t xml:space="preserve">сцена «тёмная»: все яркости в нижней части диапазона</w:t>
            </w:r>
          </w:p>
        </w:tc>
        <w:tc>
          <w:tcPr>
            <w:tcW w:type="dxa" w:w="1891"/>
          </w:tcPr>
          <w:p>
            <w:pPr>
              <w:pStyle w:val="Compact"/>
              <w:spacing w:before="40" w:after="40"/>
              <w:jc w:val="left"/>
            </w:pPr>
            <w:r>
              <w:rPr>
                <w:sz w:val="20"/>
              </w:rPr>
              <w:t xml:space="preserve">уменьшение в 4 раза и возврат к исходному размеру (imresize)</w:t>
            </w:r>
          </w:p>
        </w:tc>
        <w:tc>
          <w:tcPr>
            <w:tcW w:type="dxa" w:w="2568"/>
          </w:tcPr>
          <w:p>
            <w:pPr>
              <w:pStyle w:val="Compact"/>
              <w:spacing w:before="40" w:after="40"/>
              <w:jc w:val="left"/>
            </w:pPr>
            <w:r>
              <w:rPr>
                <w:sz w:val="20"/>
              </w:rPr>
              <w:t xml:space="preserve">Тёмная сцена чувствительна к квантованию и гамма-коррекции: определите, где теряется информация. Уменьшите изображение в 4 раза и верните исходный размер; сравните потери с уменьшением в 2 раза (для своего контекста).</w:t>
            </w:r>
          </w:p>
        </w:tc>
        <w:tc>
          <w:tcPr>
            <w:tcW w:type="dxa" w:w="2568"/>
          </w:tcPr>
          <w:p>
            <w:pPr>
              <w:pStyle w:val="Compact"/>
              <w:spacing w:before="40" w:after="40"/>
              <w:jc w:val="left"/>
            </w:pPr>
            <w:r>
              <w:rPr>
                <w:sz w:val="20"/>
              </w:rPr>
              <w:t xml:space="preserve">Гипотеза и допуск записаны до запуска; вывод сформулирован по каждой из трёх метрик и по PSNR; различены статистическая значимость (</w:t>
            </w:r>
          </w:p>
        </w:tc>
        <w:tc>
          <w:tcPr>
            <w:tcW w:type="dxa" w:w="300"/>
          </w:tcPr>
          <w:p>
            <w:pPr>
              <w:pStyle w:val="Compact"/>
              <w:spacing w:before="40" w:after="40"/>
              <w:jc w:val="left"/>
            </w:pPr>
            <w:r>
              <w:rPr>
                <w:sz w:val="20"/>
              </w:rPr>
              <w:t xml:space="preserve">Δ</w:t>
            </w:r>
          </w:p>
        </w:tc>
      </w:tr>
      <w:tr>
        <w:trPr>
          <w:cantSplit w:val="true"/>
        </w:trPr>
        <w:tc>
          <w:tcPr>
            <w:tcW w:type="dxa" w:w="300"/>
          </w:tcPr>
          <w:p>
            <w:pPr>
              <w:pStyle w:val="Compact"/>
              <w:spacing w:before="40" w:after="40"/>
              <w:jc w:val="right"/>
            </w:pPr>
            <w:r>
              <w:rPr>
                <w:sz w:val="20"/>
              </w:rPr>
              <w:t xml:space="preserve">16</w:t>
            </w:r>
          </w:p>
        </w:tc>
        <w:tc>
          <w:tcPr>
            <w:tcW w:type="dxa" w:w="2011"/>
          </w:tcPr>
          <w:p>
            <w:pPr>
              <w:pStyle w:val="Compact"/>
              <w:spacing w:before="40" w:after="40"/>
              <w:jc w:val="left"/>
            </w:pPr>
            <w:r>
              <w:rPr>
                <w:sz w:val="20"/>
              </w:rPr>
              <w:t xml:space="preserve">сцена «тёмная»: все яркости в нижней части диапазона</w:t>
            </w:r>
          </w:p>
        </w:tc>
        <w:tc>
          <w:tcPr>
            <w:tcW w:type="dxa" w:w="1891"/>
          </w:tcPr>
          <w:p>
            <w:pPr>
              <w:pStyle w:val="Compact"/>
              <w:spacing w:before="40" w:after="40"/>
              <w:jc w:val="left"/>
            </w:pPr>
            <w:r>
              <w:rPr>
                <w:sz w:val="20"/>
              </w:rPr>
              <w:t xml:space="preserve">линейное растяжение контраста на весь диапазон</w:t>
            </w:r>
          </w:p>
        </w:tc>
        <w:tc>
          <w:tcPr>
            <w:tcW w:type="dxa" w:w="2568"/>
          </w:tcPr>
          <w:p>
            <w:pPr>
              <w:pStyle w:val="Compact"/>
              <w:spacing w:before="40" w:after="40"/>
              <w:jc w:val="left"/>
            </w:pPr>
            <w:r>
              <w:rPr>
                <w:sz w:val="20"/>
              </w:rPr>
              <w:t xml:space="preserve">Тёмная сцена чувствительна к квантованию и гамма-коррекции: определите, где теряется информация. Растяните контраст на весь диапазон и выясните, что изменяется в среднем, контрасте и энтропии, а что нет.</w:t>
            </w:r>
          </w:p>
        </w:tc>
        <w:tc>
          <w:tcPr>
            <w:tcW w:type="dxa" w:w="2568"/>
          </w:tcPr>
          <w:p>
            <w:pPr>
              <w:pStyle w:val="Compact"/>
              <w:spacing w:before="40" w:after="40"/>
              <w:jc w:val="left"/>
            </w:pPr>
            <w:r>
              <w:rPr>
                <w:sz w:val="20"/>
              </w:rPr>
              <w:t xml:space="preserve">Гипотеза и допуск записаны до запуска; вывод сформулирован по каждой из трёх метрик и по PSNR; различены статистическая значимость (</w:t>
            </w:r>
          </w:p>
        </w:tc>
        <w:tc>
          <w:tcPr>
            <w:tcW w:type="dxa" w:w="300"/>
          </w:tcPr>
          <w:p>
            <w:pPr>
              <w:pStyle w:val="Compact"/>
              <w:spacing w:before="40" w:after="40"/>
              <w:jc w:val="left"/>
            </w:pPr>
            <w:r>
              <w:rPr>
                <w:sz w:val="20"/>
              </w:rPr>
              <w:t xml:space="preserve">Δ</w:t>
            </w:r>
          </w:p>
        </w:tc>
      </w:tr>
      <w:tr>
        <w:trPr>
          <w:cantSplit w:val="true"/>
        </w:trPr>
        <w:tc>
          <w:tcPr>
            <w:tcW w:type="dxa" w:w="300"/>
          </w:tcPr>
          <w:p>
            <w:pPr>
              <w:pStyle w:val="Compact"/>
              <w:spacing w:before="40" w:after="40"/>
              <w:jc w:val="right"/>
            </w:pPr>
            <w:r>
              <w:rPr>
                <w:sz w:val="20"/>
              </w:rPr>
              <w:t xml:space="preserve">17</w:t>
            </w:r>
          </w:p>
        </w:tc>
        <w:tc>
          <w:tcPr>
            <w:tcW w:type="dxa" w:w="2011"/>
          </w:tcPr>
          <w:p>
            <w:pPr>
              <w:pStyle w:val="Compact"/>
              <w:spacing w:before="40" w:after="40"/>
              <w:jc w:val="left"/>
            </w:pPr>
            <w:r>
              <w:rPr>
                <w:sz w:val="20"/>
              </w:rPr>
              <w:t xml:space="preserve">сцена «тёмная»: все яркости в нижней части диапазона</w:t>
            </w:r>
          </w:p>
        </w:tc>
        <w:tc>
          <w:tcPr>
            <w:tcW w:type="dxa" w:w="1891"/>
          </w:tcPr>
          <w:p>
            <w:pPr>
              <w:pStyle w:val="Compact"/>
              <w:spacing w:before="40" w:after="40"/>
              <w:jc w:val="left"/>
            </w:pPr>
            <w:r>
              <w:rPr>
                <w:sz w:val="20"/>
              </w:rPr>
              <w:t xml:space="preserve">гамма-коррекция с показателем 0,5</w:t>
            </w:r>
          </w:p>
        </w:tc>
        <w:tc>
          <w:tcPr>
            <w:tcW w:type="dxa" w:w="2568"/>
          </w:tcPr>
          <w:p>
            <w:pPr>
              <w:pStyle w:val="Compact"/>
              <w:spacing w:before="40" w:after="40"/>
              <w:jc w:val="left"/>
            </w:pPr>
            <w:r>
              <w:rPr>
                <w:sz w:val="20"/>
              </w:rPr>
              <w:t xml:space="preserve">Тёмная сцена чувствительна к квантованию и гамма-коррекции: определите, где теряется информация. Примените гамма-коррекцию 0,5 и определите, как она сдвигает среднюю яркость и распределение по гистограмме.</w:t>
            </w:r>
          </w:p>
        </w:tc>
        <w:tc>
          <w:tcPr>
            <w:tcW w:type="dxa" w:w="2568"/>
          </w:tcPr>
          <w:p>
            <w:pPr>
              <w:pStyle w:val="Compact"/>
              <w:spacing w:before="40" w:after="40"/>
              <w:jc w:val="left"/>
            </w:pPr>
            <w:r>
              <w:rPr>
                <w:sz w:val="20"/>
              </w:rPr>
              <w:t xml:space="preserve">Гипотеза и допуск записаны до запуска; вывод сформулирован по каждой из трёх метрик и по PSNR; различены статистическая значимость (</w:t>
            </w:r>
          </w:p>
        </w:tc>
        <w:tc>
          <w:tcPr>
            <w:tcW w:type="dxa" w:w="300"/>
          </w:tcPr>
          <w:p>
            <w:pPr>
              <w:pStyle w:val="Compact"/>
              <w:spacing w:before="40" w:after="40"/>
              <w:jc w:val="left"/>
            </w:pPr>
            <w:r>
              <w:rPr>
                <w:sz w:val="20"/>
              </w:rPr>
              <w:t xml:space="preserve">Δ</w:t>
            </w:r>
          </w:p>
        </w:tc>
      </w:tr>
      <w:tr>
        <w:trPr>
          <w:cantSplit w:val="true"/>
        </w:trPr>
        <w:tc>
          <w:tcPr>
            <w:tcW w:type="dxa" w:w="300"/>
          </w:tcPr>
          <w:p>
            <w:pPr>
              <w:pStyle w:val="Compact"/>
              <w:spacing w:before="40" w:after="40"/>
              <w:jc w:val="right"/>
            </w:pPr>
            <w:r>
              <w:rPr>
                <w:sz w:val="20"/>
              </w:rPr>
              <w:t xml:space="preserve">18</w:t>
            </w:r>
          </w:p>
        </w:tc>
        <w:tc>
          <w:tcPr>
            <w:tcW w:type="dxa" w:w="2011"/>
          </w:tcPr>
          <w:p>
            <w:pPr>
              <w:pStyle w:val="Compact"/>
              <w:spacing w:before="40" w:after="40"/>
              <w:jc w:val="left"/>
            </w:pPr>
            <w:r>
              <w:rPr>
                <w:sz w:val="20"/>
              </w:rPr>
              <w:t xml:space="preserve">сцена «тёмная»: все яркости в нижней части диапазона</w:t>
            </w:r>
          </w:p>
        </w:tc>
        <w:tc>
          <w:tcPr>
            <w:tcW w:type="dxa" w:w="1891"/>
          </w:tcPr>
          <w:p>
            <w:pPr>
              <w:pStyle w:val="Compact"/>
              <w:spacing w:before="40" w:after="40"/>
              <w:jc w:val="left"/>
            </w:pPr>
            <w:r>
              <w:rPr>
                <w:sz w:val="20"/>
              </w:rPr>
              <w:t xml:space="preserve">сохранение в PNG (8 бит) и повторное чтение</w:t>
            </w:r>
          </w:p>
        </w:tc>
        <w:tc>
          <w:tcPr>
            <w:tcW w:type="dxa" w:w="2568"/>
          </w:tcPr>
          <w:p>
            <w:pPr>
              <w:pStyle w:val="Compact"/>
              <w:spacing w:before="40" w:after="40"/>
              <w:jc w:val="left"/>
            </w:pPr>
            <w:r>
              <w:rPr>
                <w:sz w:val="20"/>
              </w:rPr>
              <w:t xml:space="preserve">Тёмная сцена чувствительна к квантованию и гамма-коррекции: определите, где теряется информация. Сохраните серое изображение в PNG и прочитайте обратно: измерьте потерю и решите, значима ли она на практике.</w:t>
            </w:r>
          </w:p>
        </w:tc>
        <w:tc>
          <w:tcPr>
            <w:tcW w:type="dxa" w:w="2568"/>
          </w:tcPr>
          <w:p>
            <w:pPr>
              <w:pStyle w:val="Compact"/>
              <w:spacing w:before="40" w:after="40"/>
              <w:jc w:val="left"/>
            </w:pPr>
            <w:r>
              <w:rPr>
                <w:sz w:val="20"/>
              </w:rPr>
              <w:t xml:space="preserve">Гипотеза и допуск записаны до запуска; вывод сформулирован по каждой из трёх метрик и по PSNR; различены статистическая значимость (</w:t>
            </w:r>
          </w:p>
        </w:tc>
        <w:tc>
          <w:tcPr>
            <w:tcW w:type="dxa" w:w="300"/>
          </w:tcPr>
          <w:p>
            <w:pPr>
              <w:pStyle w:val="Compact"/>
              <w:spacing w:before="40" w:after="40"/>
              <w:jc w:val="left"/>
            </w:pPr>
            <w:r>
              <w:rPr>
                <w:sz w:val="20"/>
              </w:rPr>
              <w:t xml:space="preserve">Δ</w:t>
            </w:r>
          </w:p>
        </w:tc>
      </w:tr>
      <w:tr>
        <w:trPr>
          <w:cantSplit w:val="true"/>
        </w:trPr>
        <w:tc>
          <w:tcPr>
            <w:tcW w:type="dxa" w:w="300"/>
          </w:tcPr>
          <w:p>
            <w:pPr>
              <w:pStyle w:val="Compact"/>
              <w:spacing w:before="40" w:after="40"/>
              <w:jc w:val="right"/>
            </w:pPr>
            <w:r>
              <w:rPr>
                <w:sz w:val="20"/>
              </w:rPr>
              <w:t xml:space="preserve">19</w:t>
            </w:r>
          </w:p>
        </w:tc>
        <w:tc>
          <w:tcPr>
            <w:tcW w:type="dxa" w:w="2011"/>
          </w:tcPr>
          <w:p>
            <w:pPr>
              <w:pStyle w:val="Compact"/>
              <w:spacing w:before="40" w:after="40"/>
              <w:jc w:val="left"/>
            </w:pPr>
            <w:r>
              <w:rPr>
                <w:sz w:val="20"/>
              </w:rPr>
              <w:t xml:space="preserve">сцена «сильный шум»</w:t>
            </w:r>
          </w:p>
        </w:tc>
        <w:tc>
          <w:tcPr>
            <w:tcW w:type="dxa" w:w="1891"/>
          </w:tcPr>
          <w:p>
            <w:pPr>
              <w:pStyle w:val="Compact"/>
              <w:spacing w:before="40" w:after="40"/>
              <w:jc w:val="left"/>
            </w:pPr>
            <w:r>
              <w:rPr>
                <w:sz w:val="20"/>
              </w:rPr>
              <w:t xml:space="preserve">квантование яркости до 4 бит</w:t>
            </w:r>
          </w:p>
        </w:tc>
        <w:tc>
          <w:tcPr>
            <w:tcW w:type="dxa" w:w="2568"/>
          </w:tcPr>
          <w:p>
            <w:pPr>
              <w:pStyle w:val="Compact"/>
              <w:spacing w:before="40" w:after="40"/>
              <w:jc w:val="left"/>
            </w:pPr>
            <w:r>
              <w:rPr>
                <w:sz w:val="20"/>
              </w:rPr>
              <w:t xml:space="preserve">Сильный шум делает сравнение метрик менее стабильным: обратите внимание на разброс между seed. Примените квантование до 4 бит и определите, какие метрики и в какой мере отзываются на потерю уровней яркости.</w:t>
            </w:r>
          </w:p>
        </w:tc>
        <w:tc>
          <w:tcPr>
            <w:tcW w:type="dxa" w:w="2568"/>
          </w:tcPr>
          <w:p>
            <w:pPr>
              <w:pStyle w:val="Compact"/>
              <w:spacing w:before="40" w:after="40"/>
              <w:jc w:val="left"/>
            </w:pPr>
            <w:r>
              <w:rPr>
                <w:sz w:val="20"/>
              </w:rPr>
              <w:t xml:space="preserve">Гипотеза и допуск записаны до запуска; вывод сформулирован по каждой из трёх метрик и по PSNR; различены статистическая значимость (</w:t>
            </w:r>
          </w:p>
        </w:tc>
        <w:tc>
          <w:tcPr>
            <w:tcW w:type="dxa" w:w="300"/>
          </w:tcPr>
          <w:p>
            <w:pPr>
              <w:pStyle w:val="Compact"/>
              <w:spacing w:before="40" w:after="40"/>
              <w:jc w:val="left"/>
            </w:pPr>
            <w:r>
              <w:rPr>
                <w:sz w:val="20"/>
              </w:rPr>
              <w:t xml:space="preserve">Δ</w:t>
            </w:r>
          </w:p>
        </w:tc>
      </w:tr>
      <w:tr>
        <w:trPr>
          <w:cantSplit w:val="true"/>
        </w:trPr>
        <w:tc>
          <w:tcPr>
            <w:tcW w:type="dxa" w:w="300"/>
          </w:tcPr>
          <w:p>
            <w:pPr>
              <w:pStyle w:val="Compact"/>
              <w:spacing w:before="40" w:after="40"/>
              <w:jc w:val="right"/>
            </w:pPr>
            <w:r>
              <w:rPr>
                <w:sz w:val="20"/>
              </w:rPr>
              <w:t xml:space="preserve">20</w:t>
            </w:r>
          </w:p>
        </w:tc>
        <w:tc>
          <w:tcPr>
            <w:tcW w:type="dxa" w:w="2011"/>
          </w:tcPr>
          <w:p>
            <w:pPr>
              <w:pStyle w:val="Compact"/>
              <w:spacing w:before="40" w:after="40"/>
              <w:jc w:val="left"/>
            </w:pPr>
            <w:r>
              <w:rPr>
                <w:sz w:val="20"/>
              </w:rPr>
              <w:t xml:space="preserve">сцена «сильный шум»</w:t>
            </w:r>
          </w:p>
        </w:tc>
        <w:tc>
          <w:tcPr>
            <w:tcW w:type="dxa" w:w="1891"/>
          </w:tcPr>
          <w:p>
            <w:pPr>
              <w:pStyle w:val="Compact"/>
              <w:spacing w:before="40" w:after="40"/>
              <w:jc w:val="left"/>
            </w:pPr>
            <w:r>
              <w:rPr>
                <w:sz w:val="20"/>
              </w:rPr>
              <w:t xml:space="preserve">уменьшение в 2 раза и возврат к исходному размеру (imresize)</w:t>
            </w:r>
          </w:p>
        </w:tc>
        <w:tc>
          <w:tcPr>
            <w:tcW w:type="dxa" w:w="2568"/>
          </w:tcPr>
          <w:p>
            <w:pPr>
              <w:pStyle w:val="Compact"/>
              <w:spacing w:before="40" w:after="40"/>
              <w:jc w:val="left"/>
            </w:pPr>
            <w:r>
              <w:rPr>
                <w:sz w:val="20"/>
              </w:rPr>
              <w:t xml:space="preserve">Сильный шум делает сравнение метрик менее стабильным: обратите внимание на разброс между seed. Уменьшите изображение в 2 раза и верните исходный размер, затем оцените потерю деталей по PSNR и метрикам.</w:t>
            </w:r>
          </w:p>
        </w:tc>
        <w:tc>
          <w:tcPr>
            <w:tcW w:type="dxa" w:w="2568"/>
          </w:tcPr>
          <w:p>
            <w:pPr>
              <w:pStyle w:val="Compact"/>
              <w:spacing w:before="40" w:after="40"/>
              <w:jc w:val="left"/>
            </w:pPr>
            <w:r>
              <w:rPr>
                <w:sz w:val="20"/>
              </w:rPr>
              <w:t xml:space="preserve">Гипотеза и допуск записаны до запуска; вывод сформулирован по каждой из трёх метрик и по PSNR; различены статистическая значимость (</w:t>
            </w:r>
          </w:p>
        </w:tc>
        <w:tc>
          <w:tcPr>
            <w:tcW w:type="dxa" w:w="300"/>
          </w:tcPr>
          <w:p>
            <w:pPr>
              <w:pStyle w:val="Compact"/>
              <w:spacing w:before="40" w:after="40"/>
              <w:jc w:val="left"/>
            </w:pPr>
            <w:r>
              <w:rPr>
                <w:sz w:val="20"/>
              </w:rPr>
              <w:t xml:space="preserve">Δ</w:t>
            </w:r>
          </w:p>
        </w:tc>
      </w:tr>
      <w:tr>
        <w:trPr>
          <w:cantSplit w:val="true"/>
        </w:trPr>
        <w:tc>
          <w:tcPr>
            <w:tcW w:type="dxa" w:w="300"/>
          </w:tcPr>
          <w:p>
            <w:pPr>
              <w:pStyle w:val="Compact"/>
              <w:spacing w:before="40" w:after="40"/>
              <w:jc w:val="right"/>
            </w:pPr>
            <w:r>
              <w:rPr>
                <w:sz w:val="20"/>
              </w:rPr>
              <w:t xml:space="preserve">21</w:t>
            </w:r>
          </w:p>
        </w:tc>
        <w:tc>
          <w:tcPr>
            <w:tcW w:type="dxa" w:w="2011"/>
          </w:tcPr>
          <w:p>
            <w:pPr>
              <w:pStyle w:val="Compact"/>
              <w:spacing w:before="40" w:after="40"/>
              <w:jc w:val="left"/>
            </w:pPr>
            <w:r>
              <w:rPr>
                <w:sz w:val="20"/>
              </w:rPr>
              <w:t xml:space="preserve">сцена «сильный шум»</w:t>
            </w:r>
          </w:p>
        </w:tc>
        <w:tc>
          <w:tcPr>
            <w:tcW w:type="dxa" w:w="1891"/>
          </w:tcPr>
          <w:p>
            <w:pPr>
              <w:pStyle w:val="Compact"/>
              <w:spacing w:before="40" w:after="40"/>
              <w:jc w:val="left"/>
            </w:pPr>
            <w:r>
              <w:rPr>
                <w:sz w:val="20"/>
              </w:rPr>
              <w:t xml:space="preserve">уменьшение в 4 раза и возврат к исходному размеру (imresize)</w:t>
            </w:r>
          </w:p>
        </w:tc>
        <w:tc>
          <w:tcPr>
            <w:tcW w:type="dxa" w:w="2568"/>
          </w:tcPr>
          <w:p>
            <w:pPr>
              <w:pStyle w:val="Compact"/>
              <w:spacing w:before="40" w:after="40"/>
              <w:jc w:val="left"/>
            </w:pPr>
            <w:r>
              <w:rPr>
                <w:sz w:val="20"/>
              </w:rPr>
              <w:t xml:space="preserve">Сильный шум делает сравнение метрик менее стабильным: обратите внимание на разброс между seed. Уменьшите изображение в 4 раза и верните исходный размер; сравните потери с уменьшением в 2 раза (для своего контекста).</w:t>
            </w:r>
          </w:p>
        </w:tc>
        <w:tc>
          <w:tcPr>
            <w:tcW w:type="dxa" w:w="2568"/>
          </w:tcPr>
          <w:p>
            <w:pPr>
              <w:pStyle w:val="Compact"/>
              <w:spacing w:before="40" w:after="40"/>
              <w:jc w:val="left"/>
            </w:pPr>
            <w:r>
              <w:rPr>
                <w:sz w:val="20"/>
              </w:rPr>
              <w:t xml:space="preserve">Гипотеза и допуск записаны до запуска; вывод сформулирован по каждой из трёх метрик и по PSNR; различены статистическая значимость (</w:t>
            </w:r>
          </w:p>
        </w:tc>
        <w:tc>
          <w:tcPr>
            <w:tcW w:type="dxa" w:w="300"/>
          </w:tcPr>
          <w:p>
            <w:pPr>
              <w:pStyle w:val="Compact"/>
              <w:spacing w:before="40" w:after="40"/>
              <w:jc w:val="left"/>
            </w:pPr>
            <w:r>
              <w:rPr>
                <w:sz w:val="20"/>
              </w:rPr>
              <w:t xml:space="preserve">Δ</w:t>
            </w:r>
          </w:p>
        </w:tc>
      </w:tr>
      <w:tr>
        <w:trPr>
          <w:cantSplit w:val="true"/>
        </w:trPr>
        <w:tc>
          <w:tcPr>
            <w:tcW w:type="dxa" w:w="300"/>
          </w:tcPr>
          <w:p>
            <w:pPr>
              <w:pStyle w:val="Compact"/>
              <w:spacing w:before="40" w:after="40"/>
              <w:jc w:val="right"/>
            </w:pPr>
            <w:r>
              <w:rPr>
                <w:sz w:val="20"/>
              </w:rPr>
              <w:t xml:space="preserve">22</w:t>
            </w:r>
          </w:p>
        </w:tc>
        <w:tc>
          <w:tcPr>
            <w:tcW w:type="dxa" w:w="2011"/>
          </w:tcPr>
          <w:p>
            <w:pPr>
              <w:pStyle w:val="Compact"/>
              <w:spacing w:before="40" w:after="40"/>
              <w:jc w:val="left"/>
            </w:pPr>
            <w:r>
              <w:rPr>
                <w:sz w:val="20"/>
              </w:rPr>
              <w:t xml:space="preserve">сцена «сильный шум»</w:t>
            </w:r>
          </w:p>
        </w:tc>
        <w:tc>
          <w:tcPr>
            <w:tcW w:type="dxa" w:w="1891"/>
          </w:tcPr>
          <w:p>
            <w:pPr>
              <w:pStyle w:val="Compact"/>
              <w:spacing w:before="40" w:after="40"/>
              <w:jc w:val="left"/>
            </w:pPr>
            <w:r>
              <w:rPr>
                <w:sz w:val="20"/>
              </w:rPr>
              <w:t xml:space="preserve">линейное растяжение контраста на весь диапазон</w:t>
            </w:r>
          </w:p>
        </w:tc>
        <w:tc>
          <w:tcPr>
            <w:tcW w:type="dxa" w:w="2568"/>
          </w:tcPr>
          <w:p>
            <w:pPr>
              <w:pStyle w:val="Compact"/>
              <w:spacing w:before="40" w:after="40"/>
              <w:jc w:val="left"/>
            </w:pPr>
            <w:r>
              <w:rPr>
                <w:sz w:val="20"/>
              </w:rPr>
              <w:t xml:space="preserve">Сильный шум делает сравнение метрик менее стабильным: обратите внимание на разброс между seed. Растяните контраст на весь диапазон и выясните, что изменяется в среднем, контрасте и энтропии, а что нет.</w:t>
            </w:r>
          </w:p>
        </w:tc>
        <w:tc>
          <w:tcPr>
            <w:tcW w:type="dxa" w:w="2568"/>
          </w:tcPr>
          <w:p>
            <w:pPr>
              <w:pStyle w:val="Compact"/>
              <w:spacing w:before="40" w:after="40"/>
              <w:jc w:val="left"/>
            </w:pPr>
            <w:r>
              <w:rPr>
                <w:sz w:val="20"/>
              </w:rPr>
              <w:t xml:space="preserve">Гипотеза и допуск записаны до запуска; вывод сформулирован по каждой из трёх метрик и по PSNR; различены статистическая значимость (</w:t>
            </w:r>
          </w:p>
        </w:tc>
        <w:tc>
          <w:tcPr>
            <w:tcW w:type="dxa" w:w="300"/>
          </w:tcPr>
          <w:p>
            <w:pPr>
              <w:pStyle w:val="Compact"/>
              <w:spacing w:before="40" w:after="40"/>
              <w:jc w:val="left"/>
            </w:pPr>
            <w:r>
              <w:rPr>
                <w:sz w:val="20"/>
              </w:rPr>
              <w:t xml:space="preserve">Δ</w:t>
            </w:r>
          </w:p>
        </w:tc>
      </w:tr>
      <w:tr>
        <w:trPr>
          <w:cantSplit w:val="true"/>
        </w:trPr>
        <w:tc>
          <w:tcPr>
            <w:tcW w:type="dxa" w:w="300"/>
          </w:tcPr>
          <w:p>
            <w:pPr>
              <w:pStyle w:val="Compact"/>
              <w:spacing w:before="40" w:after="40"/>
              <w:jc w:val="right"/>
            </w:pPr>
            <w:r>
              <w:rPr>
                <w:sz w:val="20"/>
              </w:rPr>
              <w:t xml:space="preserve">23</w:t>
            </w:r>
          </w:p>
        </w:tc>
        <w:tc>
          <w:tcPr>
            <w:tcW w:type="dxa" w:w="2011"/>
          </w:tcPr>
          <w:p>
            <w:pPr>
              <w:pStyle w:val="Compact"/>
              <w:spacing w:before="40" w:after="40"/>
              <w:jc w:val="left"/>
            </w:pPr>
            <w:r>
              <w:rPr>
                <w:sz w:val="20"/>
              </w:rPr>
              <w:t xml:space="preserve">сцена «сильный шум»</w:t>
            </w:r>
          </w:p>
        </w:tc>
        <w:tc>
          <w:tcPr>
            <w:tcW w:type="dxa" w:w="1891"/>
          </w:tcPr>
          <w:p>
            <w:pPr>
              <w:pStyle w:val="Compact"/>
              <w:spacing w:before="40" w:after="40"/>
              <w:jc w:val="left"/>
            </w:pPr>
            <w:r>
              <w:rPr>
                <w:sz w:val="20"/>
              </w:rPr>
              <w:t xml:space="preserve">гамма-коррекция с показателем 0,5</w:t>
            </w:r>
          </w:p>
        </w:tc>
        <w:tc>
          <w:tcPr>
            <w:tcW w:type="dxa" w:w="2568"/>
          </w:tcPr>
          <w:p>
            <w:pPr>
              <w:pStyle w:val="Compact"/>
              <w:spacing w:before="40" w:after="40"/>
              <w:jc w:val="left"/>
            </w:pPr>
            <w:r>
              <w:rPr>
                <w:sz w:val="20"/>
              </w:rPr>
              <w:t xml:space="preserve">Сильный шум делает сравнение метрик менее стабильным: обратите внимание на разброс между seed. Примените гамма-коррекцию 0,5 и определите, как она сдвигает среднюю яркость и распределение по гистограмме.</w:t>
            </w:r>
          </w:p>
        </w:tc>
        <w:tc>
          <w:tcPr>
            <w:tcW w:type="dxa" w:w="2568"/>
          </w:tcPr>
          <w:p>
            <w:pPr>
              <w:pStyle w:val="Compact"/>
              <w:spacing w:before="40" w:after="40"/>
              <w:jc w:val="left"/>
            </w:pPr>
            <w:r>
              <w:rPr>
                <w:sz w:val="20"/>
              </w:rPr>
              <w:t xml:space="preserve">Гипотеза и допуск записаны до запуска; вывод сформулирован по каждой из трёх метрик и по PSNR; различены статистическая значимость (</w:t>
            </w:r>
          </w:p>
        </w:tc>
        <w:tc>
          <w:tcPr>
            <w:tcW w:type="dxa" w:w="300"/>
          </w:tcPr>
          <w:p>
            <w:pPr>
              <w:pStyle w:val="Compact"/>
              <w:spacing w:before="40" w:after="40"/>
              <w:jc w:val="left"/>
            </w:pPr>
            <w:r>
              <w:rPr>
                <w:sz w:val="20"/>
              </w:rPr>
              <w:t xml:space="preserve">Δ</w:t>
            </w:r>
          </w:p>
        </w:tc>
      </w:tr>
      <w:tr>
        <w:trPr>
          <w:cantSplit w:val="true"/>
        </w:trPr>
        <w:tc>
          <w:tcPr>
            <w:tcW w:type="dxa" w:w="300"/>
          </w:tcPr>
          <w:p>
            <w:pPr>
              <w:pStyle w:val="Compact"/>
              <w:spacing w:before="40" w:after="40"/>
              <w:jc w:val="right"/>
            </w:pPr>
            <w:r>
              <w:rPr>
                <w:sz w:val="20"/>
              </w:rPr>
              <w:t xml:space="preserve">24</w:t>
            </w:r>
          </w:p>
        </w:tc>
        <w:tc>
          <w:tcPr>
            <w:tcW w:type="dxa" w:w="2011"/>
          </w:tcPr>
          <w:p>
            <w:pPr>
              <w:pStyle w:val="Compact"/>
              <w:spacing w:before="40" w:after="40"/>
              <w:jc w:val="left"/>
            </w:pPr>
            <w:r>
              <w:rPr>
                <w:sz w:val="20"/>
              </w:rPr>
              <w:t xml:space="preserve">сцена «сильный шум»</w:t>
            </w:r>
          </w:p>
        </w:tc>
        <w:tc>
          <w:tcPr>
            <w:tcW w:type="dxa" w:w="1891"/>
          </w:tcPr>
          <w:p>
            <w:pPr>
              <w:pStyle w:val="Compact"/>
              <w:spacing w:before="40" w:after="40"/>
              <w:jc w:val="left"/>
            </w:pPr>
            <w:r>
              <w:rPr>
                <w:sz w:val="20"/>
              </w:rPr>
              <w:t xml:space="preserve">сохранение в PNG (8 бит) и повторное чтение</w:t>
            </w:r>
          </w:p>
        </w:tc>
        <w:tc>
          <w:tcPr>
            <w:tcW w:type="dxa" w:w="2568"/>
          </w:tcPr>
          <w:p>
            <w:pPr>
              <w:pStyle w:val="Compact"/>
              <w:spacing w:before="40" w:after="40"/>
              <w:jc w:val="left"/>
            </w:pPr>
            <w:r>
              <w:rPr>
                <w:sz w:val="20"/>
              </w:rPr>
              <w:t xml:space="preserve">Сильный шум делает сравнение метрик менее стабильным: обратите внимание на разброс между seed. Сохраните серое изображение в PNG и прочитайте обратно: измерьте потерю и решите, значима ли она на практике.</w:t>
            </w:r>
          </w:p>
        </w:tc>
        <w:tc>
          <w:tcPr>
            <w:tcW w:type="dxa" w:w="2568"/>
          </w:tcPr>
          <w:p>
            <w:pPr>
              <w:pStyle w:val="Compact"/>
              <w:spacing w:before="40" w:after="40"/>
              <w:jc w:val="left"/>
            </w:pPr>
            <w:r>
              <w:rPr>
                <w:sz w:val="20"/>
              </w:rPr>
              <w:t xml:space="preserve">Гипотеза и допуск записаны до запуска; вывод сформулирован по каждой из трёх метрик и по PSNR; различены статистическая значимость (</w:t>
            </w:r>
          </w:p>
        </w:tc>
        <w:tc>
          <w:tcPr>
            <w:tcW w:type="dxa" w:w="300"/>
          </w:tcPr>
          <w:p>
            <w:pPr>
              <w:pStyle w:val="Compact"/>
              <w:spacing w:before="40" w:after="40"/>
              <w:jc w:val="left"/>
            </w:pPr>
            <w:r>
              <w:rPr>
                <w:sz w:val="20"/>
              </w:rPr>
              <w:t xml:space="preserve">Δ</w:t>
            </w:r>
          </w:p>
        </w:tc>
      </w:tr>
      <w:tr>
        <w:trPr>
          <w:cantSplit w:val="true"/>
        </w:trPr>
        <w:tc>
          <w:tcPr>
            <w:tcW w:type="dxa" w:w="300"/>
          </w:tcPr>
          <w:p>
            <w:pPr>
              <w:pStyle w:val="Compact"/>
              <w:spacing w:before="40" w:after="40"/>
              <w:jc w:val="right"/>
            </w:pPr>
            <w:r>
              <w:rPr>
                <w:sz w:val="20"/>
              </w:rPr>
              <w:t xml:space="preserve">25</w:t>
            </w:r>
          </w:p>
        </w:tc>
        <w:tc>
          <w:tcPr>
            <w:tcW w:type="dxa" w:w="2011"/>
          </w:tcPr>
          <w:p>
            <w:pPr>
              <w:pStyle w:val="Compact"/>
              <w:spacing w:before="40" w:after="40"/>
              <w:jc w:val="left"/>
            </w:pPr>
            <w:r>
              <w:rPr>
                <w:sz w:val="20"/>
              </w:rPr>
              <w:t xml:space="preserve">сцена «шахматная структура»: серые клетки 8×8 пикселей</w:t>
            </w:r>
          </w:p>
        </w:tc>
        <w:tc>
          <w:tcPr>
            <w:tcW w:type="dxa" w:w="1891"/>
          </w:tcPr>
          <w:p>
            <w:pPr>
              <w:pStyle w:val="Compact"/>
              <w:spacing w:before="40" w:after="40"/>
              <w:jc w:val="left"/>
            </w:pPr>
            <w:r>
              <w:rPr>
                <w:sz w:val="20"/>
              </w:rPr>
              <w:t xml:space="preserve">квантование яркости до 4 бит</w:t>
            </w:r>
          </w:p>
        </w:tc>
        <w:tc>
          <w:tcPr>
            <w:tcW w:type="dxa" w:w="2568"/>
          </w:tcPr>
          <w:p>
            <w:pPr>
              <w:pStyle w:val="Compact"/>
              <w:spacing w:before="40" w:after="40"/>
              <w:jc w:val="left"/>
            </w:pPr>
            <w:r>
              <w:rPr>
                <w:sz w:val="20"/>
              </w:rPr>
              <w:t xml:space="preserve">Резкие границы шахматной структуры показывают, как операция влияет на края и на распределение яркости. Примените квантование до 4 бит и определите, какие метрики и в какой мере отзываются на потерю уровней яркости.</w:t>
            </w:r>
          </w:p>
        </w:tc>
        <w:tc>
          <w:tcPr>
            <w:tcW w:type="dxa" w:w="2568"/>
          </w:tcPr>
          <w:p>
            <w:pPr>
              <w:pStyle w:val="Compact"/>
              <w:spacing w:before="40" w:after="40"/>
              <w:jc w:val="left"/>
            </w:pPr>
            <w:r>
              <w:rPr>
                <w:sz w:val="20"/>
              </w:rPr>
              <w:t xml:space="preserve">Гипотеза и допуск записаны до запуска; вывод сформулирован по каждой из трёх метрик и по PSNR; различены статистическая значимость (</w:t>
            </w:r>
          </w:p>
        </w:tc>
        <w:tc>
          <w:tcPr>
            <w:tcW w:type="dxa" w:w="300"/>
          </w:tcPr>
          <w:p>
            <w:pPr>
              <w:pStyle w:val="Compact"/>
              <w:spacing w:before="40" w:after="40"/>
              <w:jc w:val="left"/>
            </w:pPr>
            <w:r>
              <w:rPr>
                <w:sz w:val="20"/>
              </w:rPr>
              <w:t xml:space="preserve">Δ</w:t>
            </w:r>
          </w:p>
        </w:tc>
      </w:tr>
      <w:tr>
        <w:trPr>
          <w:cantSplit w:val="true"/>
        </w:trPr>
        <w:tc>
          <w:tcPr>
            <w:tcW w:type="dxa" w:w="300"/>
          </w:tcPr>
          <w:p>
            <w:pPr>
              <w:pStyle w:val="Compact"/>
              <w:spacing w:before="40" w:after="40"/>
              <w:jc w:val="right"/>
            </w:pPr>
            <w:r>
              <w:rPr>
                <w:sz w:val="20"/>
              </w:rPr>
              <w:t xml:space="preserve">26</w:t>
            </w:r>
          </w:p>
        </w:tc>
        <w:tc>
          <w:tcPr>
            <w:tcW w:type="dxa" w:w="2011"/>
          </w:tcPr>
          <w:p>
            <w:pPr>
              <w:pStyle w:val="Compact"/>
              <w:spacing w:before="40" w:after="40"/>
              <w:jc w:val="left"/>
            </w:pPr>
            <w:r>
              <w:rPr>
                <w:sz w:val="20"/>
              </w:rPr>
              <w:t xml:space="preserve">сцена «шахматная структура»: серые клетки 8×8 пикселей</w:t>
            </w:r>
          </w:p>
        </w:tc>
        <w:tc>
          <w:tcPr>
            <w:tcW w:type="dxa" w:w="1891"/>
          </w:tcPr>
          <w:p>
            <w:pPr>
              <w:pStyle w:val="Compact"/>
              <w:spacing w:before="40" w:after="40"/>
              <w:jc w:val="left"/>
            </w:pPr>
            <w:r>
              <w:rPr>
                <w:sz w:val="20"/>
              </w:rPr>
              <w:t xml:space="preserve">уменьшение в 2 раза и возврат к исходному размеру (imresize)</w:t>
            </w:r>
          </w:p>
        </w:tc>
        <w:tc>
          <w:tcPr>
            <w:tcW w:type="dxa" w:w="2568"/>
          </w:tcPr>
          <w:p>
            <w:pPr>
              <w:pStyle w:val="Compact"/>
              <w:spacing w:before="40" w:after="40"/>
              <w:jc w:val="left"/>
            </w:pPr>
            <w:r>
              <w:rPr>
                <w:sz w:val="20"/>
              </w:rPr>
              <w:t xml:space="preserve">Резкие границы шахматной структуры показывают, как операция влияет на края и на распределение яркости. Уменьшите изображение в 2 раза и верните исходный размер, затем оцените потерю деталей по PSNR и метрикам.</w:t>
            </w:r>
          </w:p>
        </w:tc>
        <w:tc>
          <w:tcPr>
            <w:tcW w:type="dxa" w:w="2568"/>
          </w:tcPr>
          <w:p>
            <w:pPr>
              <w:pStyle w:val="Compact"/>
              <w:spacing w:before="40" w:after="40"/>
              <w:jc w:val="left"/>
            </w:pPr>
            <w:r>
              <w:rPr>
                <w:sz w:val="20"/>
              </w:rPr>
              <w:t xml:space="preserve">Гипотеза и допуск записаны до запуска; вывод сформулирован по каждой из трёх метрик и по PSNR; различены статистическая значимость (</w:t>
            </w:r>
          </w:p>
        </w:tc>
        <w:tc>
          <w:tcPr>
            <w:tcW w:type="dxa" w:w="300"/>
          </w:tcPr>
          <w:p>
            <w:pPr>
              <w:pStyle w:val="Compact"/>
              <w:spacing w:before="40" w:after="40"/>
              <w:jc w:val="left"/>
            </w:pPr>
            <w:r>
              <w:rPr>
                <w:sz w:val="20"/>
              </w:rPr>
              <w:t xml:space="preserve">Δ</w:t>
            </w:r>
          </w:p>
        </w:tc>
      </w:tr>
      <w:tr>
        <w:trPr>
          <w:cantSplit w:val="true"/>
        </w:trPr>
        <w:tc>
          <w:tcPr>
            <w:tcW w:type="dxa" w:w="300"/>
          </w:tcPr>
          <w:p>
            <w:pPr>
              <w:pStyle w:val="Compact"/>
              <w:spacing w:before="40" w:after="40"/>
              <w:jc w:val="right"/>
            </w:pPr>
            <w:r>
              <w:rPr>
                <w:sz w:val="20"/>
              </w:rPr>
              <w:t xml:space="preserve">27</w:t>
            </w:r>
          </w:p>
        </w:tc>
        <w:tc>
          <w:tcPr>
            <w:tcW w:type="dxa" w:w="2011"/>
          </w:tcPr>
          <w:p>
            <w:pPr>
              <w:pStyle w:val="Compact"/>
              <w:spacing w:before="40" w:after="40"/>
              <w:jc w:val="left"/>
            </w:pPr>
            <w:r>
              <w:rPr>
                <w:sz w:val="20"/>
              </w:rPr>
              <w:t xml:space="preserve">сцена «шахматная структура»: серые клетки 8×8 пикселей</w:t>
            </w:r>
          </w:p>
        </w:tc>
        <w:tc>
          <w:tcPr>
            <w:tcW w:type="dxa" w:w="1891"/>
          </w:tcPr>
          <w:p>
            <w:pPr>
              <w:pStyle w:val="Compact"/>
              <w:spacing w:before="40" w:after="40"/>
              <w:jc w:val="left"/>
            </w:pPr>
            <w:r>
              <w:rPr>
                <w:sz w:val="20"/>
              </w:rPr>
              <w:t xml:space="preserve">уменьшение в 4 раза и возврат к исходному размеру (imresize)</w:t>
            </w:r>
          </w:p>
        </w:tc>
        <w:tc>
          <w:tcPr>
            <w:tcW w:type="dxa" w:w="2568"/>
          </w:tcPr>
          <w:p>
            <w:pPr>
              <w:pStyle w:val="Compact"/>
              <w:spacing w:before="40" w:after="40"/>
              <w:jc w:val="left"/>
            </w:pPr>
            <w:r>
              <w:rPr>
                <w:sz w:val="20"/>
              </w:rPr>
              <w:t xml:space="preserve">Резкие границы шахматной структуры показывают, как операция влияет на края и на распределение яркости. Уменьшите изображение в 4 раза и верните исходный размер; сравните потери с уменьшением в 2 раза (для своего контекста).</w:t>
            </w:r>
          </w:p>
        </w:tc>
        <w:tc>
          <w:tcPr>
            <w:tcW w:type="dxa" w:w="2568"/>
          </w:tcPr>
          <w:p>
            <w:pPr>
              <w:pStyle w:val="Compact"/>
              <w:spacing w:before="40" w:after="40"/>
              <w:jc w:val="left"/>
            </w:pPr>
            <w:r>
              <w:rPr>
                <w:sz w:val="20"/>
              </w:rPr>
              <w:t xml:space="preserve">Гипотеза и допуск записаны до запуска; вывод сформулирован по каждой из трёх метрик и по PSNR; различены статистическая значимость (</w:t>
            </w:r>
          </w:p>
        </w:tc>
        <w:tc>
          <w:tcPr>
            <w:tcW w:type="dxa" w:w="300"/>
          </w:tcPr>
          <w:p>
            <w:pPr>
              <w:pStyle w:val="Compact"/>
              <w:spacing w:before="40" w:after="40"/>
              <w:jc w:val="left"/>
            </w:pPr>
            <w:r>
              <w:rPr>
                <w:sz w:val="20"/>
              </w:rPr>
              <w:t xml:space="preserve">Δ</w:t>
            </w:r>
          </w:p>
        </w:tc>
      </w:tr>
      <w:tr>
        <w:trPr>
          <w:cantSplit w:val="true"/>
        </w:trPr>
        <w:tc>
          <w:tcPr>
            <w:tcW w:type="dxa" w:w="300"/>
          </w:tcPr>
          <w:p>
            <w:pPr>
              <w:pStyle w:val="Compact"/>
              <w:spacing w:before="40" w:after="40"/>
              <w:jc w:val="right"/>
            </w:pPr>
            <w:r>
              <w:rPr>
                <w:sz w:val="20"/>
              </w:rPr>
              <w:t xml:space="preserve">28</w:t>
            </w:r>
          </w:p>
        </w:tc>
        <w:tc>
          <w:tcPr>
            <w:tcW w:type="dxa" w:w="2011"/>
          </w:tcPr>
          <w:p>
            <w:pPr>
              <w:pStyle w:val="Compact"/>
              <w:spacing w:before="40" w:after="40"/>
              <w:jc w:val="left"/>
            </w:pPr>
            <w:r>
              <w:rPr>
                <w:sz w:val="20"/>
              </w:rPr>
              <w:t xml:space="preserve">сцена «шахматная структура»: серые клетки 8×8 пикселей</w:t>
            </w:r>
          </w:p>
        </w:tc>
        <w:tc>
          <w:tcPr>
            <w:tcW w:type="dxa" w:w="1891"/>
          </w:tcPr>
          <w:p>
            <w:pPr>
              <w:pStyle w:val="Compact"/>
              <w:spacing w:before="40" w:after="40"/>
              <w:jc w:val="left"/>
            </w:pPr>
            <w:r>
              <w:rPr>
                <w:sz w:val="20"/>
              </w:rPr>
              <w:t xml:space="preserve">линейное растяжение контраста на весь диапазон</w:t>
            </w:r>
          </w:p>
        </w:tc>
        <w:tc>
          <w:tcPr>
            <w:tcW w:type="dxa" w:w="2568"/>
          </w:tcPr>
          <w:p>
            <w:pPr>
              <w:pStyle w:val="Compact"/>
              <w:spacing w:before="40" w:after="40"/>
              <w:jc w:val="left"/>
            </w:pPr>
            <w:r>
              <w:rPr>
                <w:sz w:val="20"/>
              </w:rPr>
              <w:t xml:space="preserve">Резкие границы шахматной структуры показывают, как операция влияет на края и на распределение яркости. Растяните контраст на весь диапазон и выясните, что изменяется в среднем, контрасте и энтропии, а что нет.</w:t>
            </w:r>
          </w:p>
        </w:tc>
        <w:tc>
          <w:tcPr>
            <w:tcW w:type="dxa" w:w="2568"/>
          </w:tcPr>
          <w:p>
            <w:pPr>
              <w:pStyle w:val="Compact"/>
              <w:spacing w:before="40" w:after="40"/>
              <w:jc w:val="left"/>
            </w:pPr>
            <w:r>
              <w:rPr>
                <w:sz w:val="20"/>
              </w:rPr>
              <w:t xml:space="preserve">Гипотеза и допуск записаны до запуска; вывод сформулирован по каждой из трёх метрик и по PSNR; различены статистическая значимость (</w:t>
            </w:r>
          </w:p>
        </w:tc>
        <w:tc>
          <w:tcPr>
            <w:tcW w:type="dxa" w:w="300"/>
          </w:tcPr>
          <w:p>
            <w:pPr>
              <w:pStyle w:val="Compact"/>
              <w:spacing w:before="40" w:after="40"/>
              <w:jc w:val="left"/>
            </w:pPr>
            <w:r>
              <w:rPr>
                <w:sz w:val="20"/>
              </w:rPr>
              <w:t xml:space="preserve">Δ</w:t>
            </w:r>
          </w:p>
        </w:tc>
      </w:tr>
      <w:tr>
        <w:trPr>
          <w:cantSplit w:val="true"/>
        </w:trPr>
        <w:tc>
          <w:tcPr>
            <w:tcW w:type="dxa" w:w="300"/>
          </w:tcPr>
          <w:p>
            <w:pPr>
              <w:pStyle w:val="Compact"/>
              <w:spacing w:before="40" w:after="40"/>
              <w:jc w:val="right"/>
            </w:pPr>
            <w:r>
              <w:rPr>
                <w:sz w:val="20"/>
              </w:rPr>
              <w:t xml:space="preserve">29</w:t>
            </w:r>
          </w:p>
        </w:tc>
        <w:tc>
          <w:tcPr>
            <w:tcW w:type="dxa" w:w="2011"/>
          </w:tcPr>
          <w:p>
            <w:pPr>
              <w:pStyle w:val="Compact"/>
              <w:spacing w:before="40" w:after="40"/>
              <w:jc w:val="left"/>
            </w:pPr>
            <w:r>
              <w:rPr>
                <w:sz w:val="20"/>
              </w:rPr>
              <w:t xml:space="preserve">сцена «шахматная структура»: серые клетки 8×8 пикселей</w:t>
            </w:r>
          </w:p>
        </w:tc>
        <w:tc>
          <w:tcPr>
            <w:tcW w:type="dxa" w:w="1891"/>
          </w:tcPr>
          <w:p>
            <w:pPr>
              <w:pStyle w:val="Compact"/>
              <w:spacing w:before="40" w:after="40"/>
              <w:jc w:val="left"/>
            </w:pPr>
            <w:r>
              <w:rPr>
                <w:sz w:val="20"/>
              </w:rPr>
              <w:t xml:space="preserve">гамма-коррекция с показателем 0,5</w:t>
            </w:r>
          </w:p>
        </w:tc>
        <w:tc>
          <w:tcPr>
            <w:tcW w:type="dxa" w:w="2568"/>
          </w:tcPr>
          <w:p>
            <w:pPr>
              <w:pStyle w:val="Compact"/>
              <w:spacing w:before="40" w:after="40"/>
              <w:jc w:val="left"/>
            </w:pPr>
            <w:r>
              <w:rPr>
                <w:sz w:val="20"/>
              </w:rPr>
              <w:t xml:space="preserve">Резкие границы шахматной структуры показывают, как операция влияет на края и на распределение яркости. Примените гамма-коррекцию 0,5 и определите, как она сдвигает среднюю яркость и распределение по гистограмме.</w:t>
            </w:r>
          </w:p>
        </w:tc>
        <w:tc>
          <w:tcPr>
            <w:tcW w:type="dxa" w:w="2568"/>
          </w:tcPr>
          <w:p>
            <w:pPr>
              <w:pStyle w:val="Compact"/>
              <w:spacing w:before="40" w:after="40"/>
              <w:jc w:val="left"/>
            </w:pPr>
            <w:r>
              <w:rPr>
                <w:sz w:val="20"/>
              </w:rPr>
              <w:t xml:space="preserve">Гипотеза и допуск записаны до запуска; вывод сформулирован по каждой из трёх метрик и по PSNR; различены статистическая значимость (</w:t>
            </w:r>
          </w:p>
        </w:tc>
        <w:tc>
          <w:tcPr>
            <w:tcW w:type="dxa" w:w="300"/>
          </w:tcPr>
          <w:p>
            <w:pPr>
              <w:pStyle w:val="Compact"/>
              <w:spacing w:before="40" w:after="40"/>
              <w:jc w:val="left"/>
            </w:pPr>
            <w:r>
              <w:rPr>
                <w:sz w:val="20"/>
              </w:rPr>
              <w:t xml:space="preserve">Δ</w:t>
            </w:r>
          </w:p>
        </w:tc>
      </w:tr>
      <w:tr>
        <w:trPr>
          <w:cantSplit w:val="true"/>
        </w:trPr>
        <w:tc>
          <w:tcPr>
            <w:tcW w:type="dxa" w:w="300"/>
          </w:tcPr>
          <w:p>
            <w:pPr>
              <w:pStyle w:val="Compact"/>
              <w:spacing w:before="40" w:after="40"/>
              <w:jc w:val="right"/>
            </w:pPr>
            <w:r>
              <w:rPr>
                <w:sz w:val="20"/>
              </w:rPr>
              <w:t xml:space="preserve">30</w:t>
            </w:r>
          </w:p>
        </w:tc>
        <w:tc>
          <w:tcPr>
            <w:tcW w:type="dxa" w:w="2011"/>
          </w:tcPr>
          <w:p>
            <w:pPr>
              <w:pStyle w:val="Compact"/>
              <w:spacing w:before="40" w:after="40"/>
              <w:jc w:val="left"/>
            </w:pPr>
            <w:r>
              <w:rPr>
                <w:sz w:val="20"/>
              </w:rPr>
              <w:t xml:space="preserve">сцена «шахматная структура»: серые клетки 8×8 пикселей</w:t>
            </w:r>
          </w:p>
        </w:tc>
        <w:tc>
          <w:tcPr>
            <w:tcW w:type="dxa" w:w="1891"/>
          </w:tcPr>
          <w:p>
            <w:pPr>
              <w:pStyle w:val="Compact"/>
              <w:spacing w:before="40" w:after="40"/>
              <w:jc w:val="left"/>
            </w:pPr>
            <w:r>
              <w:rPr>
                <w:sz w:val="20"/>
              </w:rPr>
              <w:t xml:space="preserve">сохранение в PNG (8 бит) и повторное чтение</w:t>
            </w:r>
          </w:p>
        </w:tc>
        <w:tc>
          <w:tcPr>
            <w:tcW w:type="dxa" w:w="2568"/>
          </w:tcPr>
          <w:p>
            <w:pPr>
              <w:pStyle w:val="Compact"/>
              <w:spacing w:before="40" w:after="40"/>
              <w:jc w:val="left"/>
            </w:pPr>
            <w:r>
              <w:rPr>
                <w:sz w:val="20"/>
              </w:rPr>
              <w:t xml:space="preserve">Резкие границы шахматной структуры показывают, как операция влияет на края и на распределение яркости. Сохраните серое изображение в PNG и прочитайте обратно: измерьте потерю и решите, значима ли она на практике.</w:t>
            </w:r>
          </w:p>
        </w:tc>
        <w:tc>
          <w:tcPr>
            <w:tcW w:type="dxa" w:w="2568"/>
          </w:tcPr>
          <w:p>
            <w:pPr>
              <w:pStyle w:val="Compact"/>
              <w:spacing w:before="40" w:after="40"/>
              <w:jc w:val="left"/>
            </w:pPr>
            <w:r>
              <w:rPr>
                <w:sz w:val="20"/>
              </w:rPr>
              <w:t xml:space="preserve">Гипотеза и допуск записаны до запуска; вывод сформулирован по каждой из трёх метрик и по PSNR; различены статистическая значимость (</w:t>
            </w:r>
          </w:p>
        </w:tc>
        <w:tc>
          <w:tcPr>
            <w:tcW w:type="dxa" w:w="300"/>
          </w:tcPr>
          <w:p>
            <w:pPr>
              <w:pStyle w:val="Compact"/>
              <w:spacing w:before="40" w:after="40"/>
              <w:jc w:val="left"/>
            </w:pPr>
            <w:r>
              <w:rPr>
                <w:sz w:val="20"/>
              </w:rPr>
              <w:t xml:space="preserve">Δ</w:t>
            </w:r>
          </w:p>
        </w:tc>
      </w:tr>
    </w:tbl>
    <w:p>
      <w:pPr>
        <w:pStyle w:val="af"/>
      </w:pPr>
      <w:r>
        <w:t xml:space="preserve">Для всех вариантов обязательны: гипотеза и допуск до запуска; воспроизведение контрольной суммы; гистограммы до и после; таблица метрик и PSNR; раздельный вывод о статистической и практической значимости; обновлённый паспорт.</w:t>
      </w:r>
    </w:p>
    <w:bookmarkEnd w:id="38"/>
    <w:bookmarkStart w:id="39" w:name="отчёт-и-защита"/>
    <w:p>
      <w:pPr>
        <w:pStyle w:val="1"/>
      </w:pPr>
      <w:r>
        <w:t xml:space="preserve">8. Отчёт и защита</w:t>
      </w:r>
    </w:p>
    <w:p>
      <w:pPr>
        <w:pStyle w:val="FirstParagraph"/>
      </w:pPr>
      <w:r>
        <w:rPr>
          <w:bCs/>
          <w:b/>
        </w:rPr>
        <w:t xml:space="preserve">Структура отчёта.</w:t>
      </w:r>
      <w:r>
        <w:t xml:space="preserve"> </w:t>
      </w:r>
      <w:r>
        <w:t xml:space="preserve">1) титульный лист и номер варианта; 2) цель, сцена, воздействие, гипотеза и допуск; 3) данные (синтетические), ограничения; 4) среда и версии (Engee, Julia, библиотека); 5) ход работы с фрагментами кода; 6) результаты: свойства сцены, контрольная сумма, гистограммы, таблица метрик, изображения; 7) анализ: значимость статистическая и практическая, угрозы валидности; 8) вывод; 9) паспорт и ссылка на архив артефактов.</w:t>
      </w:r>
    </w:p>
    <w:tbl>
      <w:tblPr>
        <w:tblStyle w:val="aff0"/>
        <w:tblW w:type="pct" w:w="5000"/>
        <w:jc w:val="center"/>
        <w:tblLayout w:type="fixed"/>
        <w:tblLook w:firstRow="1" w:lastRow="0" w:firstColumn="0" w:lastColumn="0" w:noHBand="0" w:noVBand="0" w:val="0020"/>
      </w:tblPr>
      <w:tblGrid>
        <w:gridCol w:w="1465"/>
        <w:gridCol w:w="479"/>
        <w:gridCol w:w="2327"/>
        <w:gridCol w:w="2451"/>
        <w:gridCol w:w="2916"/>
      </w:tblGrid>
      <w:tr>
        <w:trPr>
          <w:tblHeader w:val="true"/>
          <w:tblHeader w:val="true"/>
          <w:cantSplit w:val="true"/>
        </w:trPr>
        <w:tc>
          <w:tcPr>
            <w:tcW w:type="dxa" w:w="1465"/>
            <w:shd w:val="clear" w:color="auto" w:fill="D9E2F3"/>
          </w:tcPr>
          <w:p>
            <w:pPr>
              <w:pStyle w:val="Compact"/>
              <w:spacing w:before="40" w:after="40"/>
              <w:jc w:val="left"/>
            </w:pPr>
            <w:r>
              <w:rPr>
                <w:b/>
                <w:sz w:val="20"/>
              </w:rPr>
              <w:t xml:space="preserve">Блок</w:t>
            </w:r>
          </w:p>
        </w:tc>
        <w:tc>
          <w:tcPr>
            <w:tcW w:type="dxa" w:w="479"/>
            <w:shd w:val="clear" w:color="auto" w:fill="D9E2F3"/>
          </w:tcPr>
          <w:p>
            <w:pPr>
              <w:pStyle w:val="Compact"/>
              <w:spacing w:before="40" w:after="40"/>
              <w:jc w:val="right"/>
            </w:pPr>
            <w:r>
              <w:rPr>
                <w:b/>
                <w:sz w:val="20"/>
              </w:rPr>
              <w:t xml:space="preserve">Доля</w:t>
            </w:r>
          </w:p>
        </w:tc>
        <w:tc>
          <w:tcPr>
            <w:tcW w:type="dxa" w:w="2327"/>
            <w:shd w:val="clear" w:color="auto" w:fill="D9E2F3"/>
          </w:tcPr>
          <w:p>
            <w:pPr>
              <w:pStyle w:val="Compact"/>
              <w:spacing w:before="40" w:after="40"/>
              <w:jc w:val="left"/>
            </w:pPr>
            <w:r>
              <w:rPr>
                <w:b/>
                <w:sz w:val="20"/>
              </w:rPr>
              <w:t xml:space="preserve">Базовый уровень</w:t>
            </w:r>
          </w:p>
        </w:tc>
        <w:tc>
          <w:tcPr>
            <w:tcW w:type="dxa" w:w="2451"/>
            <w:shd w:val="clear" w:color="auto" w:fill="D9E2F3"/>
          </w:tcPr>
          <w:p>
            <w:pPr>
              <w:pStyle w:val="Compact"/>
              <w:spacing w:before="40" w:after="40"/>
              <w:jc w:val="left"/>
            </w:pPr>
            <w:r>
              <w:rPr>
                <w:b/>
                <w:sz w:val="20"/>
              </w:rPr>
              <w:t xml:space="preserve">Средний уровень</w:t>
            </w:r>
          </w:p>
        </w:tc>
        <w:tc>
          <w:tcPr>
            <w:tcW w:type="dxa" w:w="2916"/>
            <w:shd w:val="clear" w:color="auto" w:fill="D9E2F3"/>
          </w:tcPr>
          <w:p>
            <w:pPr>
              <w:pStyle w:val="Compact"/>
              <w:spacing w:before="40" w:after="40"/>
              <w:jc w:val="left"/>
            </w:pPr>
            <w:r>
              <w:rPr>
                <w:b/>
                <w:sz w:val="20"/>
              </w:rPr>
              <w:t xml:space="preserve">Продвинутый уровень</w:t>
            </w:r>
          </w:p>
        </w:tc>
      </w:tr>
      <w:tr>
        <w:trPr>
          <w:cantSplit w:val="true"/>
        </w:trPr>
        <w:tc>
          <w:tcPr>
            <w:tcW w:type="dxa" w:w="1465"/>
          </w:tcPr>
          <w:p>
            <w:pPr>
              <w:pStyle w:val="Compact"/>
              <w:spacing w:before="40" w:after="40"/>
              <w:jc w:val="left"/>
            </w:pPr>
            <w:r>
              <w:rPr>
                <w:sz w:val="20"/>
              </w:rPr>
              <w:t xml:space="preserve">Артефакт и воспроизводимость</w:t>
            </w:r>
          </w:p>
        </w:tc>
        <w:tc>
          <w:tcPr>
            <w:tcW w:type="dxa" w:w="479"/>
          </w:tcPr>
          <w:p>
            <w:pPr>
              <w:pStyle w:val="Compact"/>
              <w:spacing w:before="40" w:after="40"/>
              <w:jc w:val="right"/>
            </w:pPr>
            <w:r>
              <w:rPr>
                <w:sz w:val="20"/>
              </w:rPr>
              <w:t xml:space="preserve">35</w:t>
            </w:r>
          </w:p>
        </w:tc>
        <w:tc>
          <w:tcPr>
            <w:tcW w:type="dxa" w:w="2327"/>
          </w:tcPr>
          <w:p>
            <w:pPr>
              <w:pStyle w:val="Compact"/>
              <w:spacing w:before="40" w:after="40"/>
              <w:jc w:val="left"/>
            </w:pPr>
            <w:r>
              <w:rPr>
                <w:sz w:val="20"/>
              </w:rPr>
              <w:t xml:space="preserve">скрипт выполняется, контрольная сумма воспроизведена, PNG и график сохранены</w:t>
            </w:r>
          </w:p>
        </w:tc>
        <w:tc>
          <w:tcPr>
            <w:tcW w:type="dxa" w:w="2451"/>
          </w:tcPr>
          <w:p>
            <w:pPr>
              <w:pStyle w:val="Compact"/>
              <w:spacing w:before="40" w:after="40"/>
              <w:jc w:val="left"/>
            </w:pPr>
            <w:r>
              <w:rPr>
                <w:sz w:val="20"/>
              </w:rPr>
              <w:t xml:space="preserve">паспорт с версиями среды и языка; сравнение двух способов яркости с допуском</w:t>
            </w:r>
          </w:p>
        </w:tc>
        <w:tc>
          <w:tcPr>
            <w:tcW w:type="dxa" w:w="2916"/>
          </w:tcPr>
          <w:p>
            <w:pPr>
              <w:pStyle w:val="Compact"/>
              <w:spacing w:before="40" w:after="40"/>
              <w:jc w:val="left"/>
            </w:pPr>
            <w:r>
              <w:rPr>
                <w:sz w:val="20"/>
              </w:rPr>
              <w:t xml:space="preserve">результат демо воспроизведён и сопоставлен</w:t>
            </w:r>
          </w:p>
        </w:tc>
      </w:tr>
      <w:tr>
        <w:trPr>
          <w:cantSplit w:val="true"/>
        </w:trPr>
        <w:tc>
          <w:tcPr>
            <w:tcW w:type="dxa" w:w="1465"/>
          </w:tcPr>
          <w:p>
            <w:pPr>
              <w:pStyle w:val="Compact"/>
              <w:spacing w:before="40" w:after="40"/>
              <w:jc w:val="left"/>
            </w:pPr>
            <w:r>
              <w:rPr>
                <w:sz w:val="20"/>
              </w:rPr>
              <w:t xml:space="preserve">Постановка, данные, методика</w:t>
            </w:r>
          </w:p>
        </w:tc>
        <w:tc>
          <w:tcPr>
            <w:tcW w:type="dxa" w:w="479"/>
          </w:tcPr>
          <w:p>
            <w:pPr>
              <w:pStyle w:val="Compact"/>
              <w:spacing w:before="40" w:after="40"/>
              <w:jc w:val="right"/>
            </w:pPr>
            <w:r>
              <w:rPr>
                <w:sz w:val="20"/>
              </w:rPr>
              <w:t xml:space="preserve">25</w:t>
            </w:r>
          </w:p>
        </w:tc>
        <w:tc>
          <w:tcPr>
            <w:tcW w:type="dxa" w:w="2327"/>
          </w:tcPr>
          <w:p>
            <w:pPr>
              <w:pStyle w:val="Compact"/>
              <w:spacing w:before="40" w:after="40"/>
              <w:jc w:val="left"/>
            </w:pPr>
            <w:r>
              <w:rPr>
                <w:sz w:val="20"/>
              </w:rPr>
              <w:t xml:space="preserve">гипотеза и допуск записаны до запуска</w:t>
            </w:r>
          </w:p>
        </w:tc>
        <w:tc>
          <w:tcPr>
            <w:tcW w:type="dxa" w:w="2451"/>
          </w:tcPr>
          <w:p>
            <w:pPr>
              <w:pStyle w:val="Compact"/>
              <w:spacing w:before="40" w:after="40"/>
              <w:jc w:val="left"/>
            </w:pPr>
            <w:r>
              <w:rPr>
                <w:sz w:val="20"/>
              </w:rPr>
              <w:t xml:space="preserve">допуск обоснован</w:t>
            </w:r>
          </w:p>
        </w:tc>
        <w:tc>
          <w:tcPr>
            <w:tcW w:type="dxa" w:w="2916"/>
          </w:tcPr>
          <w:p>
            <w:pPr>
              <w:pStyle w:val="Compact"/>
              <w:spacing w:before="40" w:after="40"/>
              <w:jc w:val="left"/>
            </w:pPr>
            <w:r>
              <w:rPr>
                <w:sz w:val="20"/>
              </w:rPr>
              <w:t xml:space="preserve">обсуждена чувствительность вывода к допуску</w:t>
            </w:r>
          </w:p>
        </w:tc>
      </w:tr>
      <w:tr>
        <w:trPr>
          <w:cantSplit w:val="true"/>
        </w:trPr>
        <w:tc>
          <w:tcPr>
            <w:tcW w:type="dxa" w:w="1465"/>
          </w:tcPr>
          <w:p>
            <w:pPr>
              <w:pStyle w:val="Compact"/>
              <w:spacing w:before="40" w:after="40"/>
              <w:jc w:val="left"/>
            </w:pPr>
            <w:r>
              <w:rPr>
                <w:sz w:val="20"/>
              </w:rPr>
              <w:t xml:space="preserve">Анализ, ошибки, ограничения</w:t>
            </w:r>
          </w:p>
        </w:tc>
        <w:tc>
          <w:tcPr>
            <w:tcW w:type="dxa" w:w="479"/>
          </w:tcPr>
          <w:p>
            <w:pPr>
              <w:pStyle w:val="Compact"/>
              <w:spacing w:before="40" w:after="40"/>
              <w:jc w:val="right"/>
            </w:pPr>
            <w:r>
              <w:rPr>
                <w:sz w:val="20"/>
              </w:rPr>
              <w:t xml:space="preserve">25</w:t>
            </w:r>
          </w:p>
        </w:tc>
        <w:tc>
          <w:tcPr>
            <w:tcW w:type="dxa" w:w="2327"/>
          </w:tcPr>
          <w:p>
            <w:pPr>
              <w:pStyle w:val="Compact"/>
              <w:spacing w:before="40" w:after="40"/>
              <w:jc w:val="left"/>
            </w:pPr>
            <w:r>
              <w:rPr>
                <w:sz w:val="20"/>
              </w:rPr>
              <w:t xml:space="preserve">вывод по каждой метрике</w:t>
            </w:r>
          </w:p>
        </w:tc>
        <w:tc>
          <w:tcPr>
            <w:tcW w:type="dxa" w:w="2451"/>
          </w:tcPr>
          <w:p>
            <w:pPr>
              <w:pStyle w:val="Compact"/>
              <w:spacing w:before="40" w:after="40"/>
              <w:jc w:val="left"/>
            </w:pPr>
            <w:r>
              <w:rPr>
                <w:sz w:val="20"/>
              </w:rPr>
              <w:t xml:space="preserve">различены статистическая и практическая значимость</w:t>
            </w:r>
          </w:p>
        </w:tc>
        <w:tc>
          <w:tcPr>
            <w:tcW w:type="dxa" w:w="2916"/>
          </w:tcPr>
          <w:p>
            <w:pPr>
              <w:pStyle w:val="Compact"/>
              <w:spacing w:before="40" w:after="40"/>
              <w:jc w:val="left"/>
            </w:pPr>
            <w:r>
              <w:rPr>
                <w:sz w:val="20"/>
              </w:rPr>
              <w:t xml:space="preserve">предложена проверка на реальном изображении с подтверждёнными правами</w:t>
            </w:r>
          </w:p>
        </w:tc>
      </w:tr>
      <w:tr>
        <w:trPr>
          <w:cantSplit w:val="true"/>
        </w:trPr>
        <w:tc>
          <w:tcPr>
            <w:tcW w:type="dxa" w:w="1465"/>
          </w:tcPr>
          <w:p>
            <w:pPr>
              <w:pStyle w:val="Compact"/>
              <w:spacing w:before="40" w:after="40"/>
              <w:jc w:val="left"/>
            </w:pPr>
            <w:r>
              <w:rPr>
                <w:sz w:val="20"/>
              </w:rPr>
              <w:t xml:space="preserve">Отчёт и коммуникация</w:t>
            </w:r>
          </w:p>
        </w:tc>
        <w:tc>
          <w:tcPr>
            <w:tcW w:type="dxa" w:w="479"/>
          </w:tcPr>
          <w:p>
            <w:pPr>
              <w:pStyle w:val="Compact"/>
              <w:spacing w:before="40" w:after="40"/>
              <w:jc w:val="right"/>
            </w:pPr>
            <w:r>
              <w:rPr>
                <w:sz w:val="20"/>
              </w:rPr>
              <w:t xml:space="preserve">15</w:t>
            </w:r>
          </w:p>
        </w:tc>
        <w:tc>
          <w:tcPr>
            <w:tcW w:type="dxa" w:w="2327"/>
          </w:tcPr>
          <w:p>
            <w:pPr>
              <w:pStyle w:val="Compact"/>
              <w:spacing w:before="40" w:after="40"/>
              <w:jc w:val="left"/>
            </w:pPr>
            <w:r>
              <w:rPr>
                <w:sz w:val="20"/>
              </w:rPr>
              <w:t xml:space="preserve">структура соблюдена</w:t>
            </w:r>
          </w:p>
        </w:tc>
        <w:tc>
          <w:tcPr>
            <w:tcW w:type="dxa" w:w="2451"/>
          </w:tcPr>
          <w:p>
            <w:pPr>
              <w:pStyle w:val="Compact"/>
              <w:spacing w:before="40" w:after="40"/>
              <w:jc w:val="left"/>
            </w:pPr>
            <w:r>
              <w:rPr>
                <w:sz w:val="20"/>
              </w:rPr>
              <w:t xml:space="preserve">ответы аргументированы</w:t>
            </w:r>
          </w:p>
        </w:tc>
        <w:tc>
          <w:tcPr>
            <w:tcW w:type="dxa" w:w="2916"/>
          </w:tcPr>
          <w:p>
            <w:pPr>
              <w:pStyle w:val="Compact"/>
              <w:spacing w:before="40" w:after="40"/>
              <w:jc w:val="left"/>
            </w:pPr>
            <w:r>
              <w:rPr>
                <w:sz w:val="20"/>
              </w:rPr>
              <w:t xml:space="preserve">студент объясняет и предлагает улучшения</w:t>
            </w:r>
          </w:p>
        </w:tc>
      </w:tr>
    </w:tbl>
    <w:p>
      <w:pPr>
        <w:pStyle w:val="af"/>
      </w:pPr>
      <w:r>
        <w:rPr>
          <w:bCs/>
          <w:b/>
        </w:rPr>
        <w:t xml:space="preserve">Критические ошибки:</w:t>
      </w:r>
      <w:r>
        <w:t xml:space="preserve"> </w:t>
      </w:r>
      <w:r>
        <w:t xml:space="preserve">допуск задан после просмотра результата; метрики рассчитаны по одному seed; PSNR посчитан на данных вне диапазона</w:t>
      </w:r>
      <w:r>
        <w:t xml:space="preserve"> </w:t>
      </w:r>
      <m:oMath>
        <m:d>
          <m:dPr>
            <m:begChr m:val="["/>
            <m:endChr m:val="]"/>
            <m:sepChr m:val="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r>
              <m:t>1</m:t>
            </m:r>
          </m:e>
        </m:d>
      </m:oMath>
      <w:r>
        <w:t xml:space="preserve">; вывод о «значимости» без разделения на статистическую и практическую.</w:t>
      </w:r>
      <w:r>
        <w:t xml:space="preserve"> </w:t>
      </w:r>
      <w:r>
        <w:rPr>
          <w:bCs/>
          <w:b/>
        </w:rPr>
        <w:t xml:space="preserve">Допуск к защите:</w:t>
      </w:r>
      <w:r>
        <w:t xml:space="preserve"> </w:t>
      </w:r>
      <w:r>
        <w:t xml:space="preserve">отчёт, артефакты, ответы на два вопроса из раздела 9.</w:t>
      </w:r>
    </w:p>
    <w:bookmarkEnd w:id="39"/>
    <w:bookmarkStart w:id="40" w:name="контрольные-вопросы-для-самоконтроля"/>
    <w:p>
      <w:pPr>
        <w:pStyle w:val="1"/>
      </w:pPr>
      <w:r>
        <w:t xml:space="preserve">9. Контрольные вопросы для самоконтроля</w:t>
      </w:r>
    </w:p>
    <w:p>
      <w:pPr>
        <w:numPr>
          <w:ilvl w:val="0"/>
          <w:numId w:val="1004"/>
        </w:numPr>
        <w:pStyle w:val="Compact"/>
      </w:pPr>
      <w:r>
        <w:t xml:space="preserve">Сколько байт занимает изображение</w:t>
      </w:r>
      <w:r>
        <w:t xml:space="preserve"> </w:t>
      </w:r>
      <m:oMath>
        <m:r>
          <m:t>256</m:t>
        </m:r>
        <m:r>
          <m:rPr>
            <m:sty m:val="p"/>
          </m:rPr>
          <m:t>×</m:t>
        </m:r>
        <m:r>
          <m:t>256</m:t>
        </m:r>
      </m:oMath>
      <w:r>
        <w:t xml:space="preserve"> </w:t>
      </w:r>
      <w:r>
        <w:t xml:space="preserve">типа</w:t>
      </w:r>
      <w:r>
        <w:t xml:space="preserve"> </w:t>
      </w:r>
      <w:r>
        <w:rPr>
          <w:rStyle w:val="VerbatimChar"/>
        </w:rPr>
        <w:t xml:space="preserve">RGB{Float64}</w:t>
      </w:r>
      <w:r>
        <w:t xml:space="preserve">? Во сколько раз меньше при типе</w:t>
      </w:r>
      <w:r>
        <w:t xml:space="preserve"> </w:t>
      </w:r>
      <w:r>
        <w:rPr>
          <w:rStyle w:val="VerbatimChar"/>
        </w:rPr>
        <w:t xml:space="preserve">RGB{N0f8}</w:t>
      </w:r>
      <w:r>
        <w:t xml:space="preserve">?</w:t>
      </w:r>
    </w:p>
    <w:p>
      <w:pPr>
        <w:numPr>
          <w:ilvl w:val="0"/>
          <w:numId w:val="1004"/>
        </w:numPr>
        <w:pStyle w:val="Compact"/>
      </w:pPr>
      <w:r>
        <w:t xml:space="preserve">Почему две функции получения яркости дали разные числа, хотя формула одна? Как правильно сравнить результаты?</w:t>
      </w:r>
    </w:p>
    <w:p>
      <w:pPr>
        <w:numPr>
          <w:ilvl w:val="0"/>
          <w:numId w:val="1004"/>
        </w:numPr>
        <w:pStyle w:val="Compact"/>
      </w:pPr>
      <w:r>
        <w:t xml:space="preserve">Найдите PSNR при</w:t>
      </w:r>
      <w:r>
        <w:t xml:space="preserve"> </w:t>
      </w:r>
      <m:oMath>
        <m:r>
          <m:rPr>
            <m:sty m:val="p"/>
          </m:rPr>
          <m:t>M</m:t>
        </m:r>
        <m:r>
          <m:rPr>
            <m:sty m:val="p"/>
          </m:rPr>
          <m:t>S</m:t>
        </m:r>
        <m:r>
          <m:rPr>
            <m:sty m:val="p"/>
          </m:rPr>
          <m:t>E</m:t>
        </m:r>
        <m:r>
          <m:rPr>
            <m:sty m:val="p"/>
          </m:rPr>
          <m:t>=</m:t>
        </m:r>
        <m:r>
          <m:t>4</m:t>
        </m:r>
        <m:r>
          <m:rPr>
            <m:sty m:val="p"/>
          </m:rPr>
          <m:t>⋅</m:t>
        </m:r>
        <m:sSup>
          <m:e>
            <m:r>
              <m:t>10</m:t>
            </m:r>
          </m:e>
          <m:sup>
            <m:r>
              <m:rPr>
                <m:sty m:val="p"/>
              </m:rPr>
              <m:t>−</m:t>
            </m:r>
            <m:r>
              <m:t>4</m:t>
            </m:r>
          </m:sup>
        </m:sSup>
      </m:oMath>
      <w:r>
        <w:t xml:space="preserve">. Как изменится PSNR при уменьшении MSE вдвое?</w:t>
      </w:r>
    </w:p>
    <w:p>
      <w:pPr>
        <w:numPr>
          <w:ilvl w:val="0"/>
          <w:numId w:val="1004"/>
        </w:numPr>
        <w:pStyle w:val="Compact"/>
      </w:pPr>
      <w:r>
        <w:t xml:space="preserve">Почему при квантовании до 4 бит энтропия 32-интервальной гистограммы не может превышать 4 бит?</w:t>
      </w:r>
    </w:p>
    <w:p>
      <w:pPr>
        <w:numPr>
          <w:ilvl w:val="0"/>
          <w:numId w:val="1004"/>
        </w:numPr>
        <w:pStyle w:val="Compact"/>
      </w:pPr>
      <w:r>
        <w:t xml:space="preserve">Почему разброс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между seed в этой работе мал и к чему это приводит для критерия</w:t>
      </w:r>
      <w:r>
        <w:t xml:space="preserve"> </w:t>
      </w:r>
      <m:oMath>
        <m:r>
          <m:t>2</m:t>
        </m:r>
        <m:r>
          <m:t>s</m:t>
        </m:r>
      </m:oMath>
      <w:r>
        <w:t xml:space="preserve">?</w:t>
      </w:r>
    </w:p>
    <w:p>
      <w:pPr>
        <w:numPr>
          <w:ilvl w:val="0"/>
          <w:numId w:val="1004"/>
        </w:numPr>
        <w:pStyle w:val="Compact"/>
      </w:pPr>
      <w:r>
        <w:t xml:space="preserve">Приведите пример эффекта, который статистически значим, но практически неважен, и наоборот.</w:t>
      </w:r>
    </w:p>
    <w:p>
      <w:pPr>
        <w:numPr>
          <w:ilvl w:val="0"/>
          <w:numId w:val="1004"/>
        </w:numPr>
        <w:pStyle w:val="Compact"/>
      </w:pPr>
      <w:r>
        <w:t xml:space="preserve">Чем гамма-коррекция отличается от линейного растяжения контраста по влиянию на гистограмму?</w:t>
      </w:r>
    </w:p>
    <w:p>
      <w:pPr>
        <w:numPr>
          <w:ilvl w:val="0"/>
          <w:numId w:val="1004"/>
        </w:numPr>
        <w:pStyle w:val="Compact"/>
      </w:pPr>
      <w:r>
        <w:t xml:space="preserve">Почему «уменьшили и вернули» — модель потери информации, а не ошибка алгоритма?</w:t>
      </w:r>
    </w:p>
    <w:p>
      <w:pPr>
        <w:numPr>
          <w:ilvl w:val="0"/>
          <w:numId w:val="1004"/>
        </w:numPr>
        <w:pStyle w:val="Compact"/>
      </w:pPr>
      <w:r>
        <w:t xml:space="preserve">Какие данные нужно записать в паспорт, чтобы другой студент повторил вашу серию в Engee?</w:t>
      </w:r>
    </w:p>
    <w:p>
      <w:pPr>
        <w:numPr>
          <w:ilvl w:val="0"/>
          <w:numId w:val="1004"/>
        </w:numPr>
        <w:pStyle w:val="Compact"/>
      </w:pPr>
      <w:r>
        <w:t xml:space="preserve">Как изменится результат, если сцену получить другим числом seed? Что вы проверите в первую очередь?</w:t>
      </w:r>
    </w:p>
    <w:bookmarkEnd w:id="40"/>
    <w:bookmarkStart w:id="41" w:name="материалы-преподавателя"/>
    <w:p>
      <w:pPr>
        <w:pStyle w:val="1"/>
      </w:pPr>
      <w:r>
        <w:t xml:space="preserve">10. Материалы преподавателя</w:t>
      </w:r>
    </w:p>
    <w:p>
      <w:pPr>
        <w:pStyle w:val="FirstParagraph"/>
      </w:pPr>
      <w:r>
        <w:rPr>
          <w:bCs/>
          <w:b/>
        </w:rPr>
        <w:t xml:space="preserve">Ожидаемые закономерности (общие).</w:t>
      </w:r>
      <w:r>
        <w:t xml:space="preserve"> </w:t>
      </w:r>
      <w:r>
        <w:t xml:space="preserve">PSNR падает с ростом потери (сильное уменьшение и гамма-коррекция дают наименьшие значения); сохранение в PNG 8 бит даёт высокий PSNR (десятки дБ) и малые изменения метрик; растяжение контраста и гамма-коррекция меняют среднее, контраст и энтропию; критерий</w:t>
      </w:r>
      <w:r>
        <w:t xml:space="preserve"> </w:t>
      </w:r>
      <m:oMath>
        <m:r>
          <m:t>2</m:t>
        </m:r>
        <m:r>
          <m:t>s</m:t>
        </m:r>
      </m:oMath>
      <w:r>
        <w:t xml:space="preserve"> </w:t>
      </w:r>
      <w:r>
        <w:t xml:space="preserve">выполняется почти везде, поэтому оценка строится на практическом допуске.</w:t>
      </w:r>
    </w:p>
    <w:p>
      <w:pPr>
        <w:pStyle w:val="af"/>
      </w:pPr>
      <w:r>
        <w:rPr>
          <w:bCs/>
          <w:b/>
        </w:rPr>
        <w:t xml:space="preserve">Проверка выполнимости вариантов.</w:t>
      </w:r>
      <w:r>
        <w:t xml:space="preserve"> </w:t>
      </w:r>
      <w:r>
        <w:t xml:space="preserve">19.09.2026 все 30 вариантов выполнены в среде Engee 26.8.2-H3: вырожденных случаев (бесконечное или неопределённое отношение, нулевой разброс) нет; число метрик со значимым по критерию</w:t>
      </w:r>
      <w:r>
        <w:t xml:space="preserve"> </w:t>
      </w:r>
      <m:oMath>
        <m:r>
          <m:t>2</m:t>
        </m:r>
        <m:r>
          <m:t>s</m:t>
        </m:r>
      </m:oMath>
      <w:r>
        <w:t xml:space="preserve"> </w:t>
      </w:r>
      <w:r>
        <w:t xml:space="preserve">эффектом на вариант распределено как 0/1/2/3 = 5/0/6/19; значения PSNR лежат в диапазоне от 8,3 до 58,9 дБ. Результаты по вариантам студентам не выдаются.</w:t>
      </w:r>
    </w:p>
    <w:p>
      <w:pPr>
        <w:pStyle w:val="af"/>
      </w:pPr>
      <w:r>
        <w:rPr>
          <w:bCs/>
          <w:b/>
        </w:rPr>
        <w:t xml:space="preserve">Типичные ошибки.</w:t>
      </w:r>
      <w:r>
        <w:t xml:space="preserve"> </w:t>
      </w:r>
      <w:r>
        <w:t xml:space="preserve">Допуск записан после просмотра; сравнение яркости двух способов по хеш-сумме; PSNR по данным вне</w:t>
      </w:r>
      <w:r>
        <w:t xml:space="preserve"> </w:t>
      </w:r>
      <m:oMath>
        <m:d>
          <m:dPr>
            <m:begChr m:val="["/>
            <m:endChr m:val="]"/>
            <m:sepChr m:val="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r>
              <m:t>1</m:t>
            </m:r>
          </m:e>
        </m:d>
      </m:oMath>
      <w:r>
        <w:t xml:space="preserve">; вывод «значимо» без разделения на статистическую и практическую; расчёт по одному seed; в паспорте нет версии Julia.</w:t>
      </w:r>
    </w:p>
    <w:p>
      <w:pPr>
        <w:pStyle w:val="af"/>
      </w:pPr>
      <w:r>
        <w:rPr>
          <w:bCs/>
          <w:b/>
        </w:rPr>
        <w:t xml:space="preserve">Ключ к вопросам (кратко).</w:t>
      </w:r>
      <w:r>
        <w:t xml:space="preserve"> </w:t>
      </w:r>
      <w:r>
        <w:t xml:space="preserve">1)</w:t>
      </w:r>
      <w:r>
        <w:t xml:space="preserve"> </w:t>
      </w:r>
      <m:oMath>
        <m:r>
          <m:t>256</m:t>
        </m:r>
        <m:r>
          <m:rPr>
            <m:sty m:val="p"/>
          </m:rPr>
          <m:t>⋅</m:t>
        </m:r>
        <m:r>
          <m:t>256</m:t>
        </m:r>
        <m:r>
          <m:rPr>
            <m:sty m:val="p"/>
          </m:rPr>
          <m:t>⋅</m:t>
        </m:r>
        <m:r>
          <m:t>3</m:t>
        </m:r>
        <m:r>
          <m:rPr>
            <m:sty m:val="p"/>
          </m:rPr>
          <m:t>⋅</m:t>
        </m:r>
        <m:r>
          <m:t>8</m:t>
        </m:r>
        <m:r>
          <m:rPr>
            <m:sty m:val="p"/>
          </m:rPr>
          <m:t>=</m:t>
        </m:r>
        <m:r>
          <m:t>1</m:t>
        </m:r>
        <m:r>
          <m:t> </m:t>
        </m:r>
        <m:r>
          <m:t>572</m:t>
        </m:r>
        <m:r>
          <m:t> </m:t>
        </m:r>
        <m:r>
          <m:t>864</m:t>
        </m:r>
      </m:oMath>
      <w:r>
        <w:t xml:space="preserve"> </w:t>
      </w:r>
      <w:r>
        <w:t xml:space="preserve">байт; при</w:t>
      </w:r>
      <w:r>
        <w:t xml:space="preserve"> </w:t>
      </w:r>
      <w:r>
        <w:rPr>
          <w:rStyle w:val="VerbatimChar"/>
        </w:rPr>
        <w:t xml:space="preserve">N0f8</w:t>
      </w:r>
      <w:r>
        <w:t xml:space="preserve"> </w:t>
      </w:r>
      <w:r>
        <w:t xml:space="preserve">в 8 раз меньше. 3)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S</m:t>
        </m:r>
        <m:r>
          <m:rPr>
            <m:sty m:val="p"/>
          </m:rPr>
          <m:t>N</m:t>
        </m:r>
        <m:r>
          <m:rPr>
            <m:sty m:val="p"/>
          </m:rPr>
          <m:t>R</m:t>
        </m:r>
        <m:r>
          <m:rPr>
            <m:sty m:val="p"/>
          </m:rPr>
          <m:t>=</m:t>
        </m:r>
        <m:r>
          <m:t>10</m:t>
        </m:r>
        <m:r>
          <m:rPr>
            <m:sty m:val="p"/>
          </m:rPr>
          <m:t>lg</m:t>
        </m:r>
        <m:d>
          <m:dPr>
            <m:begChr m:val="("/>
            <m:endChr m:val=")"/>
            <m:sepChr m:val=""/>
            <m:grow/>
          </m:dPr>
          <m:e>
            <m:r>
              <m:t>1</m:t>
            </m:r>
            <m:r>
              <m:rPr>
                <m:sty m:val="p"/>
              </m:rPr>
              <m:t>/</m:t>
            </m:r>
            <m:d>
              <m:dPr>
                <m:begChr m:val="("/>
                <m:endChr m:val=")"/>
                <m:sepChr m:val=""/>
                <m:grow/>
              </m:dPr>
              <m:e>
                <m:r>
                  <m:t>4</m:t>
                </m:r>
                <m:r>
                  <m:rPr>
                    <m:sty m:val="p"/>
                  </m:rPr>
                  <m:t>⋅</m:t>
                </m:r>
                <m:sSup>
                  <m:e>
                    <m:r>
                      <m:t>10</m:t>
                    </m:r>
                  </m:e>
                  <m:sup>
                    <m:r>
                      <m:rPr>
                        <m:sty m:val="p"/>
                      </m:rPr>
                      <m:t>−</m:t>
                    </m:r>
                    <m:r>
                      <m:t>4</m:t>
                    </m:r>
                  </m:sup>
                </m:sSup>
              </m:e>
            </m:d>
          </m:e>
        </m:d>
        <m:r>
          <m:rPr>
            <m:sty m:val="p"/>
          </m:rPr>
          <m:t>≈</m:t>
        </m:r>
        <m:r>
          <m:t>34</m:t>
        </m:r>
        <m:r>
          <m:rPr>
            <m:sty m:val="p"/>
          </m:rPr>
          <m:t>,</m:t>
        </m:r>
        <m:r>
          <m:t>0</m:t>
        </m:r>
      </m:oMath>
      <w:r>
        <w:t xml:space="preserve"> </w:t>
      </w:r>
      <w:r>
        <w:t xml:space="preserve">дБ; при вдвое меньшей MSE PSNR растёт примерно на 3 дБ. 4) 16 уровней — не более</w:t>
      </w:r>
      <w:r>
        <w:t xml:space="preserve"> </w:t>
      </w:r>
      <m:oMath>
        <m:sSub>
          <m:e>
            <m:r>
              <m:rPr>
                <m:sty m:val="p"/>
              </m:rPr>
              <m:t>log</m:t>
            </m:r>
          </m:e>
          <m:sub>
            <m:r>
              <m:t>2</m:t>
            </m:r>
          </m:sub>
        </m:sSub>
        <m:r>
          <m:t>16</m:t>
        </m:r>
        <m:r>
          <m:rPr>
            <m:sty m:val="p"/>
          </m:rPr>
          <m:t>=</m:t>
        </m:r>
        <m:r>
          <m:t>4</m:t>
        </m:r>
      </m:oMath>
      <w:r>
        <w:t xml:space="preserve"> </w:t>
      </w:r>
      <w:r>
        <w:t xml:space="preserve">бит. 5) Структура сцены неизменна, меняется только шум; критерий выполняется почти всегда. 7) Растяжение — линейное отображение диапазона; гамма — нелинейный сдвиг формы распределения.</w:t>
      </w:r>
    </w:p>
    <w:bookmarkEnd w:id="41"/>
    <w:bookmarkStart w:id="42" w:name="источники"/>
    <w:p>
      <w:pPr>
        <w:pStyle w:val="1"/>
      </w:pPr>
      <w:r>
        <w:t xml:space="preserve">11. Источники</w:t>
      </w:r>
    </w:p>
    <w:p>
      <w:pPr>
        <w:numPr>
          <w:ilvl w:val="0"/>
          <w:numId w:val="1005"/>
        </w:numPr>
        <w:pStyle w:val="Compact"/>
      </w:pPr>
      <w:r>
        <w:t xml:space="preserve">Конспект лекции 3 курса; методические указания к ЛР 1.</w:t>
      </w:r>
    </w:p>
    <w:p>
      <w:pPr>
        <w:numPr>
          <w:ilvl w:val="0"/>
          <w:numId w:val="1005"/>
        </w:numPr>
        <w:pStyle w:val="Compact"/>
      </w:pPr>
      <w:r>
        <w:t xml:space="preserve">Документация Engee: раздел «Среда вычислений» и встроенная справка среды (проверено 19.09.2026 по интерфейсу и оглавлению документации; возможности пакетов проверены выполнением в среде Engee 26.8.2-H3, Julia 1.12.4).</w:t>
      </w:r>
    </w:p>
    <w:p>
      <w:pPr>
        <w:numPr>
          <w:ilvl w:val="0"/>
          <w:numId w:val="1005"/>
        </w:numPr>
        <w:pStyle w:val="Compact"/>
      </w:pPr>
      <w:r>
        <w:t xml:space="preserve">Рекомендация ITU-R BT.601 — коэффициенты яркости (справочно; совпадение с расчётом пакета</w:t>
      </w:r>
      <w:r>
        <w:t xml:space="preserve"> </w:t>
      </w:r>
      <w:r>
        <w:rPr>
          <w:rStyle w:val="VerbatimChar"/>
        </w:rPr>
        <w:t xml:space="preserve">Images</w:t>
      </w:r>
      <w:r>
        <w:t xml:space="preserve"> </w:t>
      </w:r>
      <w:r>
        <w:t xml:space="preserve">подтверждено сравнением в демо).</w:t>
      </w:r>
    </w:p>
    <w:bookmarkEnd w:id="42"/>
    <w:sectPr w:rsidR="00E55B48" w:rsidSect="00034616">
      <w:footerReference r:id="rId9" w:type="default"/>
      <w:pgSz w:h="16838" w:w="11906"/>
      <w:pgMar w:bottom="1020" w:footer="454" w:gutter="0" w:header="454" w:left="1417" w:right="850" w:top="1134"/>
      <w:cols w:space="720"/>
      <w:docGrid w:linePitch="360"/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Wingdings">
    <w:panose1 w:val="05000000000000000000"/>
    <w:charset w:val="02"/>
    <w:family w:val="auto"/>
    <w:pitch w:val="variable"/>
    <w:sig w:usb0="00000000" w:usb1="00000000" w:usb2="00010000" w:usb3="00000000" w:csb0="80000000" w:csb1="00000000"/>
  </w:font>
  <w:font w:name="Cambria">
    <w:panose1 w:val="02040503050406030204"/>
    <w:charset w:val="00"/>
    <w:family w:val="auto"/>
    <w:pitch w:val="variable"/>
    <w:sig w:usb0="00000003" w:usb1="00000000" w:usb2="00000000" w:usb3="00000000" w:csb0="00000001" w:csb1="00000000"/>
  </w:font>
  <w:font w:name="MS Mincho">
    <w:altName w:val="ＭＳ 明朝"/>
    <w:panose1 w:val="02020609040205080304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00000003" w:usb1="00000000" w:usb2="00000000" w:usb3="00000000" w:csb0="00000001" w:csb1="00000000"/>
  </w:font>
  <w:font w:name="MS Gothic">
    <w:altName w:val="ＭＳ ゴシック"/>
    <w:panose1 w:val="020B0609070205080204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Liberation Mono">
    <w:altName w:val="Times New Roman"/>
    <w:panose1 w:val="00000000000000000000"/>
    <w:charset w:val="00"/>
    <w:family w:val="roman"/>
    <w:notTrueType/>
    <w:pitch w:val="default"/>
  </w:font>
</w:fonts>
</file>

<file path=word/footer1.xml><?xml version="1.0" encoding="utf-8"?>
<w:ft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8328B6" w:rsidRDefault="008328B6">
    <w:pPr>
      <w:pStyle w:val="a7"/>
      <w:jc w:val="center"/>
    </w:pPr>
    <w:r>
      <w:fldChar w:fldCharType="begin"/>
    </w:r>
    <w:r>
      <w:instrText>PAGE</w:instrText>
    </w:r>
    <w:r>
      <w:fldChar w:fldCharType="separate"/>
    </w:r>
    <w:r w:rsidR="00490285">
      <w:rPr>
        <w:noProof/>
      </w:rPr>
      <w:t>1</w:t>
    </w:r>
    <w:r>
      <w:fldChar w:fldCharType="end"/>
    </w:r>
  </w:p>
</w:ftr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cx="http://schemas.microsoft.com/office/drawing/2014/chartex" xmlns:m="http://schemas.openxmlformats.org/officeDocument/2006/math" xmlns:mc="http://schemas.openxmlformats.org/markup-compatibility/2006"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14="http://schemas.microsoft.com/office/word/2010/wordml" xmlns:w15="http://schemas.microsoft.com/office/word/2012/wordml" xmlns:w16se="http://schemas.microsoft.com/office/word/2015/wordml/symex" xmlns:wne="http://schemas.microsoft.com/office/word/2006/wordml" xmlns:wp="http://schemas.openxmlformats.org/drawingml/2006/wordprocessingDrawing" xmlns:wp14="http://schemas.microsoft.com/office/word/2010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15 w16se wp14">
  <w:abstractNum w15:restartNumberingAfterBreak="0"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pos="1800" w:val="num"/>
        </w:tabs>
        <w:ind w:hanging="360" w:left="1800"/>
      </w:pPr>
    </w:lvl>
  </w:abstractNum>
  <w:abstractNum w15:restartNumberingAfterBreak="0"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pos="1440" w:val="num"/>
        </w:tabs>
        <w:ind w:hanging="360" w:left="1440"/>
      </w:pPr>
    </w:lvl>
  </w:abstractNum>
  <w:abstractNum w15:restartNumberingAfterBreak="0" w:abstractNumId="2">
    <w:nsid w:val="FFFFFF7E"/>
    <w:multiLevelType w:val="singleLevel"/>
    <w:tmpl w:val="FB12693A"/>
    <w:lvl w:ilvl="0">
      <w:start w:val="1"/>
      <w:numFmt w:val="decimal"/>
      <w:pStyle w:val="3"/>
      <w:lvlText w:val="%1."/>
      <w:lvlJc w:val="left"/>
      <w:pPr>
        <w:tabs>
          <w:tab w:pos="1080" w:val="num"/>
        </w:tabs>
        <w:ind w:hanging="360" w:left="1080"/>
      </w:pPr>
    </w:lvl>
  </w:abstractNum>
  <w:abstractNum w15:restartNumberingAfterBreak="0" w:abstractNumId="3">
    <w:nsid w:val="FFFFFF7F"/>
    <w:multiLevelType w:val="singleLevel"/>
    <w:tmpl w:val="38441652"/>
    <w:lvl w:ilvl="0">
      <w:start w:val="1"/>
      <w:numFmt w:val="decimal"/>
      <w:pStyle w:val="2"/>
      <w:lvlText w:val="%1."/>
      <w:lvlJc w:val="left"/>
      <w:pPr>
        <w:tabs>
          <w:tab w:pos="720" w:val="num"/>
        </w:tabs>
        <w:ind w:hanging="360" w:left="720"/>
      </w:pPr>
    </w:lvl>
  </w:abstractNum>
  <w:abstractNum w15:restartNumberingAfterBreak="0"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pos="1440" w:val="num"/>
        </w:tabs>
        <w:ind w:hanging="360" w:left="1440"/>
      </w:pPr>
      <w:rPr>
        <w:rFonts w:ascii="Symbol" w:hAnsi="Symbol" w:hint="default"/>
      </w:rPr>
    </w:lvl>
  </w:abstractNum>
  <w:abstractNum w15:restartNumberingAfterBreak="0" w:abstractNumId="5">
    <w:nsid w:val="FFFFFF82"/>
    <w:multiLevelType w:val="singleLevel"/>
    <w:tmpl w:val="F3EAFDEC"/>
    <w:lvl w:ilvl="0">
      <w:start w:val="1"/>
      <w:numFmt w:val="bullet"/>
      <w:pStyle w:val="30"/>
      <w:lvlText w:val=""/>
      <w:lvlJc w:val="left"/>
      <w:pPr>
        <w:tabs>
          <w:tab w:pos="1080" w:val="num"/>
        </w:tabs>
        <w:ind w:hanging="360" w:left="1080"/>
      </w:pPr>
      <w:rPr>
        <w:rFonts w:ascii="Symbol" w:hAnsi="Symbol" w:hint="default"/>
      </w:rPr>
    </w:lvl>
  </w:abstractNum>
  <w:abstractNum w15:restartNumberingAfterBreak="0" w:abstractNumId="6">
    <w:nsid w:val="FFFFFF83"/>
    <w:multiLevelType w:val="singleLevel"/>
    <w:tmpl w:val="3D1EFFD4"/>
    <w:lvl w:ilvl="0">
      <w:start w:val="1"/>
      <w:numFmt w:val="bullet"/>
      <w:pStyle w:val="20"/>
      <w:lvlText w:val=""/>
      <w:lvlJc w:val="left"/>
      <w:pPr>
        <w:tabs>
          <w:tab w:pos="720" w:val="num"/>
        </w:tabs>
        <w:ind w:hanging="360" w:left="720"/>
      </w:pPr>
      <w:rPr>
        <w:rFonts w:ascii="Symbol" w:hAnsi="Symbol" w:hint="default"/>
      </w:rPr>
    </w:lvl>
  </w:abstractNum>
  <w:abstractNum w15:restartNumberingAfterBreak="0" w:abstractNumId="7">
    <w:nsid w:val="FFFFFF88"/>
    <w:multiLevelType w:val="singleLevel"/>
    <w:tmpl w:val="D0A62B40"/>
    <w:lvl w:ilvl="0">
      <w:start w:val="1"/>
      <w:numFmt w:val="decimal"/>
      <w:pStyle w:val="a"/>
      <w:lvlText w:val="%1."/>
      <w:lvlJc w:val="left"/>
      <w:pPr>
        <w:tabs>
          <w:tab w:pos="360" w:val="num"/>
        </w:tabs>
        <w:ind w:hanging="360" w:left="360"/>
      </w:pPr>
    </w:lvl>
  </w:abstractNum>
  <w:abstractNum w15:restartNumberingAfterBreak="0" w:abstractNumId="8">
    <w:nsid w:val="FFFFFF89"/>
    <w:multiLevelType w:val="singleLevel"/>
    <w:tmpl w:val="29761A62"/>
    <w:lvl w:ilvl="0">
      <w:start w:val="1"/>
      <w:numFmt w:val="bullet"/>
      <w:pStyle w:val="a0"/>
      <w:lvlText w:val=""/>
      <w:lvlJc w:val="left"/>
      <w:pPr>
        <w:tabs>
          <w:tab w:pos="360" w:val="num"/>
        </w:tabs>
        <w:ind w:hanging="360" w:left="360"/>
      </w:pPr>
      <w:rPr>
        <w:rFonts w:ascii="Symbol" w:hAnsi="Symbol" w:hint="default"/>
      </w:rPr>
    </w:lvl>
  </w:abstractNum>
  <w:abstractNum w15:restartNumberingAfterBreak="0" w:abstractNumId="9">
    <w:nsid w:val="1BBF1C02"/>
    <w:multiLevelType w:val="hybridMultilevel"/>
    <w:tmpl w:val="6016A21A"/>
    <w:lvl w:ilvl="0" w:tplc="F4A05840">
      <w:start w:val="1"/>
      <w:numFmt w:val="bullet"/>
      <w:lvlText w:val=""/>
      <w:lvlJc w:val="left"/>
      <w:pPr>
        <w:ind w:hanging="360" w:left="1429"/>
      </w:pPr>
      <w:rPr>
        <w:rFonts w:ascii="Symbol" w:hAnsi="Symbol" w:hint="default"/>
      </w:rPr>
    </w:lvl>
    <w:lvl w:ilvl="1" w:tentative="1" w:tplc="04190003">
      <w:start w:val="1"/>
      <w:numFmt w:val="bullet"/>
      <w:lvlText w:val="o"/>
      <w:lvlJc w:val="left"/>
      <w:pPr>
        <w:ind w:hanging="360" w:left="2149"/>
      </w:pPr>
      <w:rPr>
        <w:rFonts w:ascii="Courier New" w:cs="Courier New" w:hAnsi="Courier New" w:hint="default"/>
      </w:rPr>
    </w:lvl>
    <w:lvl w:ilvl="2" w:tentative="1" w:tplc="04190005">
      <w:start w:val="1"/>
      <w:numFmt w:val="bullet"/>
      <w:lvlText w:val=""/>
      <w:lvlJc w:val="left"/>
      <w:pPr>
        <w:ind w:hanging="360" w:left="2869"/>
      </w:pPr>
      <w:rPr>
        <w:rFonts w:ascii="Wingdings" w:hAnsi="Wingdings" w:hint="default"/>
      </w:rPr>
    </w:lvl>
    <w:lvl w:ilvl="3" w:tentative="1" w:tplc="04190001">
      <w:start w:val="1"/>
      <w:numFmt w:val="bullet"/>
      <w:lvlText w:val=""/>
      <w:lvlJc w:val="left"/>
      <w:pPr>
        <w:ind w:hanging="360" w:left="3589"/>
      </w:pPr>
      <w:rPr>
        <w:rFonts w:ascii="Symbol" w:hAnsi="Symbol" w:hint="default"/>
      </w:rPr>
    </w:lvl>
    <w:lvl w:ilvl="4" w:tentative="1" w:tplc="04190003">
      <w:start w:val="1"/>
      <w:numFmt w:val="bullet"/>
      <w:lvlText w:val="o"/>
      <w:lvlJc w:val="left"/>
      <w:pPr>
        <w:ind w:hanging="360" w:left="4309"/>
      </w:pPr>
      <w:rPr>
        <w:rFonts w:ascii="Courier New" w:cs="Courier New" w:hAnsi="Courier New" w:hint="default"/>
      </w:rPr>
    </w:lvl>
    <w:lvl w:ilvl="5" w:tentative="1" w:tplc="04190005">
      <w:start w:val="1"/>
      <w:numFmt w:val="bullet"/>
      <w:lvlText w:val=""/>
      <w:lvlJc w:val="left"/>
      <w:pPr>
        <w:ind w:hanging="360" w:left="5029"/>
      </w:pPr>
      <w:rPr>
        <w:rFonts w:ascii="Wingdings" w:hAnsi="Wingdings" w:hint="default"/>
      </w:rPr>
    </w:lvl>
    <w:lvl w:ilvl="6" w:tentative="1" w:tplc="04190001">
      <w:start w:val="1"/>
      <w:numFmt w:val="bullet"/>
      <w:lvlText w:val=""/>
      <w:lvlJc w:val="left"/>
      <w:pPr>
        <w:ind w:hanging="360" w:left="5749"/>
      </w:pPr>
      <w:rPr>
        <w:rFonts w:ascii="Symbol" w:hAnsi="Symbol" w:hint="default"/>
      </w:rPr>
    </w:lvl>
    <w:lvl w:ilvl="7" w:tentative="1" w:tplc="04190003">
      <w:start w:val="1"/>
      <w:numFmt w:val="bullet"/>
      <w:lvlText w:val="o"/>
      <w:lvlJc w:val="left"/>
      <w:pPr>
        <w:ind w:hanging="360" w:left="6469"/>
      </w:pPr>
      <w:rPr>
        <w:rFonts w:ascii="Courier New" w:cs="Courier New" w:hAnsi="Courier New" w:hint="default"/>
      </w:rPr>
    </w:lvl>
    <w:lvl w:ilvl="8" w:tentative="1" w:tplc="04190005">
      <w:start w:val="1"/>
      <w:numFmt w:val="bullet"/>
      <w:lvlText w:val=""/>
      <w:lvlJc w:val="left"/>
      <w:pPr>
        <w:ind w:hanging="360" w:left="7189"/>
      </w:pPr>
      <w:rPr>
        <w:rFonts w:ascii="Wingdings" w:hAnsi="Wingdings" w:hint="default"/>
      </w:rPr>
    </w:lvl>
  </w:abstractNum>
  <w:abstractNum w:abstractNumId="990">
    <w:nsid w:val="A990"/>
    <w:multiLevelType w:val="multilevel"/>
    <w:lvl w:ilvl="0">
      <w:numFmt w:val="bullet"/>
      <w:lvlText w:val=" "/>
      <w:lvlJc w:val="left"/>
      <w:pPr>
        <w:ind w:left="720" w:hanging="480"/>
      </w:pPr>
    </w:lvl>
    <w:lvl w:ilvl="1">
      <w:numFmt w:val="bullet"/>
      <w:lvlText w:val=" "/>
      <w:lvlJc w:val="left"/>
      <w:pPr>
        <w:ind w:left="1440" w:hanging="480"/>
      </w:pPr>
    </w:lvl>
    <w:lvl w:ilvl="2">
      <w:numFmt w:val="bullet"/>
      <w:lvlText w:val=" "/>
      <w:lvlJc w:val="left"/>
      <w:pPr>
        <w:ind w:left="2160" w:hanging="480"/>
      </w:pPr>
    </w:lvl>
    <w:lvl w:ilvl="3">
      <w:numFmt w:val="bullet"/>
      <w:lvlText w:val=" "/>
      <w:lvlJc w:val="left"/>
      <w:pPr>
        <w:ind w:left="2880" w:hanging="480"/>
      </w:pPr>
    </w:lvl>
    <w:lvl w:ilvl="4">
      <w:numFmt w:val="bullet"/>
      <w:lvlText w:val=" "/>
      <w:lvlJc w:val="left"/>
      <w:pPr>
        <w:ind w:left="3600" w:hanging="480"/>
      </w:pPr>
    </w:lvl>
    <w:lvl w:ilvl="5">
      <w:numFmt w:val="bullet"/>
      <w:lvlText w:val=" "/>
      <w:lvlJc w:val="left"/>
      <w:pPr>
        <w:ind w:left="4320" w:hanging="480"/>
      </w:pPr>
    </w:lvl>
    <w:lvl w:ilvl="6">
      <w:numFmt w:val="bullet"/>
      <w:lvlText w:val=" "/>
      <w:lvlJc w:val="left"/>
      <w:pPr>
        <w:ind w:left="5040" w:hanging="480"/>
      </w:pPr>
    </w:lvl>
    <w:lvl w:ilvl="7">
      <w:numFmt w:val="bullet"/>
      <w:lvlText w:val=" "/>
      <w:lvlJc w:val="left"/>
      <w:pPr>
        <w:ind w:left="5760" w:hanging="480"/>
      </w:pPr>
    </w:lvl>
    <w:lvl w:ilvl="8">
      <w:numFmt w:val="bullet"/>
      <w:lvlText w:val=" "/>
      <w:lvlJc w:val="left"/>
      <w:pPr>
        <w:ind w:left="6480" w:hanging="480"/>
      </w:pPr>
    </w:lvl>
  </w:abstractNum>
  <w:abstractNum w:abstractNumId="99411">
    <w:nsid w:val="A99411"/>
    <w:multiLevelType w:val="multilevel"/>
    <w:lvl w:ilvl="0">
      <w:start w:val="1"/>
      <w:numFmt w:val="decimal"/>
      <w:lvlText w:val="%1."/>
      <w:lvlJc w:val="left"/>
      <w:pPr>
        <w:ind w:left="720" w:hanging="480"/>
      </w:pPr>
    </w:lvl>
    <w:lvl w:ilvl="1">
      <w:start w:val="1"/>
      <w:numFmt w:val="decimal"/>
      <w:lvlText w:val="%2."/>
      <w:lvlJc w:val="left"/>
      <w:pPr>
        <w:ind w:left="1440" w:hanging="480"/>
      </w:pPr>
    </w:lvl>
    <w:lvl w:ilvl="2">
      <w:start w:val="1"/>
      <w:numFmt w:val="decimal"/>
      <w:lvlText w:val="%3."/>
      <w:lvlJc w:val="left"/>
      <w:pPr>
        <w:ind w:left="2160" w:hanging="480"/>
      </w:pPr>
    </w:lvl>
    <w:lvl w:ilvl="3">
      <w:start w:val="1"/>
      <w:numFmt w:val="decimal"/>
      <w:lvlText w:val="%4."/>
      <w:lvlJc w:val="left"/>
      <w:pPr>
        <w:ind w:left="2880" w:hanging="480"/>
      </w:pPr>
    </w:lvl>
    <w:lvl w:ilvl="4">
      <w:start w:val="1"/>
      <w:numFmt w:val="decimal"/>
      <w:lvlText w:val="%5."/>
      <w:lvlJc w:val="left"/>
      <w:pPr>
        <w:ind w:left="3600" w:hanging="480"/>
      </w:pPr>
    </w:lvl>
    <w:lvl w:ilvl="5">
      <w:start w:val="1"/>
      <w:numFmt w:val="decimal"/>
      <w:lvlText w:val="%6."/>
      <w:lvlJc w:val="left"/>
      <w:pPr>
        <w:ind w:left="4320" w:hanging="480"/>
      </w:pPr>
    </w:lvl>
    <w:lvl w:ilvl="6">
      <w:start w:val="1"/>
      <w:numFmt w:val="decimal"/>
      <w:lvlText w:val="%7."/>
      <w:lvlJc w:val="left"/>
      <w:pPr>
        <w:ind w:left="5040" w:hanging="480"/>
      </w:pPr>
    </w:lvl>
    <w:lvl w:ilvl="7">
      <w:start w:val="1"/>
      <w:numFmt w:val="decimal"/>
      <w:lvlText w:val="%8."/>
      <w:lvlJc w:val="left"/>
      <w:pPr>
        <w:ind w:left="5760" w:hanging="480"/>
      </w:pPr>
    </w:lvl>
    <w:lvl w:ilvl="8">
      <w:start w:val="1"/>
      <w:numFmt w:val="decimal"/>
      <w:lvlText w:val="%9."/>
      <w:lvlJc w:val="left"/>
      <w:pPr>
        <w:ind w:left="6480" w:hanging="480"/>
      </w:pPr>
    </w:lvl>
  </w:abstractNum>
  <w:abstractNum w:abstractNumId="991">
    <w:nsid w:val="A991"/>
    <w:multiLevelType w:val="multilevel"/>
    <w:lvl w:ilvl="0">
      <w:numFmt w:val="bullet"/>
      <w:lvlText w:val="•"/>
      <w:lvlJc w:val="left"/>
      <w:pPr>
        <w:ind w:left="720" w:hanging="480"/>
      </w:pPr>
    </w:lvl>
    <w:lvl w:ilvl="1">
      <w:numFmt w:val="bullet"/>
      <w:lvlText w:val="–"/>
      <w:lvlJc w:val="left"/>
      <w:pPr>
        <w:ind w:left="1440" w:hanging="480"/>
      </w:pPr>
    </w:lvl>
    <w:lvl w:ilvl="2">
      <w:numFmt w:val="bullet"/>
      <w:lvlText w:val="•"/>
      <w:lvlJc w:val="left"/>
      <w:pPr>
        <w:ind w:left="2160" w:hanging="480"/>
      </w:pPr>
    </w:lvl>
    <w:lvl w:ilvl="3">
      <w:numFmt w:val="bullet"/>
      <w:lvlText w:val="–"/>
      <w:lvlJc w:val="left"/>
      <w:pPr>
        <w:ind w:left="2880" w:hanging="480"/>
      </w:pPr>
    </w:lvl>
    <w:lvl w:ilvl="4">
      <w:numFmt w:val="bullet"/>
      <w:lvlText w:val="•"/>
      <w:lvlJc w:val="left"/>
      <w:pPr>
        <w:ind w:left="3600" w:hanging="480"/>
      </w:pPr>
    </w:lvl>
    <w:lvl w:ilvl="5">
      <w:numFmt w:val="bullet"/>
      <w:lvlText w:val="–"/>
      <w:lvlJc w:val="left"/>
      <w:pPr>
        <w:ind w:left="4320" w:hanging="480"/>
      </w:pPr>
    </w:lvl>
    <w:lvl w:ilvl="6">
      <w:numFmt w:val="bullet"/>
      <w:lvlText w:val="•"/>
      <w:lvlJc w:val="left"/>
      <w:pPr>
        <w:ind w:left="5040" w:hanging="480"/>
      </w:pPr>
    </w:lvl>
    <w:lvl w:ilvl="7">
      <w:numFmt w:val="bullet"/>
      <w:lvlText w:val="–"/>
      <w:lvlJc w:val="left"/>
      <w:pPr>
        <w:ind w:left="5760" w:hanging="480"/>
      </w:pPr>
    </w:lvl>
    <w:lvl w:ilvl="8">
      <w:numFmt w:val="bullet"/>
      <w:lvlText w:val="•"/>
      <w:lvlJc w:val="left"/>
      <w:pPr>
        <w:ind w:left="6480" w:hanging="480"/>
      </w:p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  <w:num w:numId="10">
    <w:abstractNumId w:val="9"/>
  </w:num>
  <w:num w:numId="1000">
    <w:abstractNumId w:val="990"/>
  </w:num>
  <w:num w:numId="100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2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3">
    <w:abstractNumId w:val="991"/>
  </w:num>
  <w:num w:numId="1004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5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embedSystemFonts/>
  <w:proofState w:grammar="clean" w:spelling="clean"/>
  <w:stylePaneFormatFilter w:val="0004"/>
  <w:footnotePr>
    <w:footnote w:id="-1"/>
    <w:footnote w:id="0"/>
  </w:footnotePr>
  <w:doNotTrackMoves/>
  <w:drawingGridHorizontalSpacing w:val="360"/>
  <w:drawingGridVerticalSpacing w:val="360"/>
  <w:displayHorizontalDrawingGridEvery w:val="0"/>
  <w:displayVerticalDrawingGridEvery w:val="0"/>
  <w:rsids>
  </w:rsids>
  <w:clrSchemeMapping w:accent1="accent1" w:accent2="accent2" w:accent3="accent3" w:accent4="accent4" w:accent5="accent5" w:accent6="accent6" w:bg1="light1" w:bg2="light2" w:followedHyperlink="followedHyperlink" w:hyperlink="hyperlink" w:t1="dark1" w:t2="dark2"/>
  <w:zoom w:percent="100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eastAsia="ja-JP" w:val="en-US"/>
  <w:decimalSymbol w:val=","/>
  <w:listSeparator w:val=";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cstheme="minorBidi" w:eastAsiaTheme="minorEastAsia" w:hAnsiTheme="minorHAnsi"/>
        <w:sz w:val="22"/>
        <w:szCs w:val="22"/>
        <w:lang w:bidi="ar-SA" w:eastAsia="en-US" w:val="en-US"/>
      </w:rPr>
    </w:rPrDefault>
    <w:pPrDefault>
      <w:pPr>
        <w:spacing w:after="200" w:line="276" w:lineRule="auto"/>
      </w:pPr>
    </w:pPrDefault>
  </w:docDefaults>
  <w:latentStyles w:count="371" w:defLockedState="0" w:defQFormat="0" w:defSemiHidden="0" w:defUIPriority="99" w:defUnhideWhenUsed="0">
    <w:lsdException w:name="Normal" w:qFormat="1" w:uiPriority="0"/>
    <w:lsdException w:name="heading 1" w:qFormat="1" w:uiPriority="9"/>
    <w:lsdException w:name="heading 2" w:qFormat="1" w:semiHidden="1" w:uiPriority="9" w:unhideWhenUsed="1"/>
    <w:lsdException w:name="heading 3" w:qFormat="1" w:semiHidden="1" w:uiPriority="9" w:unhideWhenUsed="1"/>
    <w:lsdException w:name="heading 4" w:qFormat="1" w:semiHidden="1" w:uiPriority="9" w:unhideWhenUsed="1"/>
    <w:lsdException w:name="heading 5" w:qFormat="1" w:semiHidden="1" w:uiPriority="9" w:unhideWhenUsed="1"/>
    <w:lsdException w:name="heading 6" w:qFormat="1" w:semiHidden="1" w:uiPriority="9" w:unhideWhenUsed="1"/>
    <w:lsdException w:name="heading 7" w:qFormat="1" w:semiHidden="1" w:uiPriority="9" w:unhideWhenUsed="1"/>
    <w:lsdException w:name="heading 8" w:qFormat="1" w:semiHidden="1" w:uiPriority="9" w:unhideWhenUsed="1"/>
    <w:lsdException w:name="heading 9" w:qFormat="1" w:semiHidden="1" w:uiPriority="9" w:unhideWhenUsed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qFormat="1" w:semiHidden="1" w:uiPriority="35" w:unhideWhenUsed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qFormat="1" w:uiPriority="10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qFormat="1" w:uiPriority="1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qFormat="1" w:uiPriority="22"/>
    <w:lsdException w:name="Emphasis" w:qFormat="1" w:uiPriority="20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qFormat="1" w:uiPriority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qFormat="1" w:uiPriority="34"/>
    <w:lsdException w:name="Quote" w:qFormat="1" w:uiPriority="29"/>
    <w:lsdException w:name="Intense Quote" w:qFormat="1" w:uiPriority="30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qFormat="1" w:uiPriority="19"/>
    <w:lsdException w:name="Intense Emphasis" w:qFormat="1" w:uiPriority="21"/>
    <w:lsdException w:name="Subtle Reference" w:qFormat="1" w:uiPriority="31"/>
    <w:lsdException w:name="Intense Reference" w:qFormat="1" w:uiPriority="32"/>
    <w:lsdException w:name="Book Title" w:qFormat="1" w:uiPriority="33"/>
    <w:lsdException w:name="Bibliography" w:semiHidden="1" w:uiPriority="37" w:unhideWhenUsed="1"/>
    <w:lsdException w:name="TOC Heading" w:qFormat="1" w:semiHidden="1" w:uiPriority="39" w:unhideWhenUsed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default="1" w:styleId="a1" w:type="paragraph">
    <w:name w:val="Normal"/>
    <w:qFormat/>
    <w:rsid w:val="00FC693F"/>
    <w:pPr>
      <w:spacing w:after="60"/>
      <w:ind w:firstLine="709"/>
      <w:jc w:val="both"/>
    </w:pPr>
    <w:rPr>
      <w:rFonts w:ascii="Times New Roman" w:eastAsia="Times New Roman" w:hAnsi="Times New Roman"/>
      <w:sz w:val="24"/>
    </w:rPr>
  </w:style>
  <w:style w:styleId="1" w:type="paragraph">
    <w:name w:val="heading 1"/>
    <w:basedOn w:val="a1"/>
    <w:next w:val="a1"/>
    <w:link w:val="10"/>
    <w:uiPriority w:val="9"/>
    <w:qFormat/>
    <w:rsid w:val="00FC693F"/>
    <w:pPr>
      <w:keepNext/>
      <w:keepLines/>
      <w:spacing w:after="160" w:before="280"/>
      <w:outlineLvl w:val="0"/>
    </w:pPr>
    <w:rPr>
      <w:rFonts w:asciiTheme="majorHAnsi" w:cstheme="majorBidi" w:eastAsiaTheme="majorEastAsia" w:hAnsiTheme="majorHAnsi"/>
      <w:b/>
      <w:bCs/>
      <w:color w:val="000000"/>
      <w:sz w:val="28"/>
      <w:szCs w:val="28"/>
    </w:rPr>
  </w:style>
  <w:style w:styleId="21" w:type="paragraph">
    <w:name w:val="heading 2"/>
    <w:basedOn w:val="a1"/>
    <w:next w:val="a1"/>
    <w:link w:val="22"/>
    <w:uiPriority w:val="9"/>
    <w:unhideWhenUsed/>
    <w:qFormat/>
    <w:rsid w:val="00FC693F"/>
    <w:pPr>
      <w:keepNext/>
      <w:keepLines/>
      <w:spacing w:after="120" w:before="200"/>
      <w:outlineLvl w:val="1"/>
    </w:pPr>
    <w:rPr>
      <w:rFonts w:asciiTheme="majorHAnsi" w:cstheme="majorBidi" w:eastAsiaTheme="majorEastAsia" w:hAnsiTheme="majorHAnsi"/>
      <w:b/>
      <w:bCs/>
      <w:color w:val="000000"/>
      <w:sz w:val="26"/>
      <w:szCs w:val="26"/>
    </w:rPr>
  </w:style>
  <w:style w:styleId="31" w:type="paragraph">
    <w:name w:val="heading 3"/>
    <w:basedOn w:val="a1"/>
    <w:next w:val="a1"/>
    <w:link w:val="32"/>
    <w:uiPriority w:val="9"/>
    <w:unhideWhenUsed/>
    <w:qFormat/>
    <w:rsid w:val="00FC693F"/>
    <w:pPr>
      <w:keepNext/>
      <w:keepLines/>
      <w:spacing w:after="80" w:before="160"/>
      <w:outlineLvl w:val="2"/>
    </w:pPr>
    <w:rPr>
      <w:rFonts w:asciiTheme="majorHAnsi" w:cstheme="majorBidi" w:eastAsiaTheme="majorEastAsia" w:hAnsiTheme="majorHAnsi"/>
      <w:b/>
      <w:bCs/>
      <w:color w:val="000000"/>
    </w:rPr>
  </w:style>
  <w:style w:styleId="4" w:type="paragraph">
    <w:name w:val="heading 4"/>
    <w:basedOn w:val="a1"/>
    <w:next w:val="a1"/>
    <w:link w:val="40"/>
    <w:uiPriority w:val="9"/>
    <w:semiHidden/>
    <w:unhideWhenUsed/>
    <w:qFormat/>
    <w:rsid w:val="00FC693F"/>
    <w:pPr>
      <w:keepNext/>
      <w:keepLines/>
      <w:spacing w:after="0" w:before="200"/>
      <w:outlineLvl w:val="3"/>
    </w:pPr>
    <w:rPr>
      <w:rFonts w:asciiTheme="majorHAnsi" w:cstheme="majorBidi" w:eastAsiaTheme="majorEastAsia" w:hAnsiTheme="majorHAnsi"/>
      <w:b/>
      <w:bCs/>
      <w:i/>
      <w:iCs/>
      <w:color w:themeColor="accent1" w:val="4F81BD"/>
    </w:rPr>
  </w:style>
  <w:style w:styleId="5" w:type="paragraph">
    <w:name w:val="heading 5"/>
    <w:basedOn w:val="a1"/>
    <w:next w:val="a1"/>
    <w:link w:val="50"/>
    <w:uiPriority w:val="9"/>
    <w:semiHidden/>
    <w:unhideWhenUsed/>
    <w:qFormat/>
    <w:rsid w:val="00FC693F"/>
    <w:pPr>
      <w:keepNext/>
      <w:keepLines/>
      <w:spacing w:after="0" w:before="200"/>
      <w:outlineLvl w:val="4"/>
    </w:pPr>
    <w:rPr>
      <w:rFonts w:asciiTheme="majorHAnsi" w:cstheme="majorBidi" w:eastAsiaTheme="majorEastAsia" w:hAnsiTheme="majorHAnsi"/>
      <w:color w:themeColor="accent1" w:themeShade="7F" w:val="243F60"/>
    </w:rPr>
  </w:style>
  <w:style w:styleId="6" w:type="paragraph">
    <w:name w:val="heading 6"/>
    <w:basedOn w:val="a1"/>
    <w:next w:val="a1"/>
    <w:link w:val="60"/>
    <w:uiPriority w:val="9"/>
    <w:semiHidden/>
    <w:unhideWhenUsed/>
    <w:qFormat/>
    <w:rsid w:val="00FC693F"/>
    <w:pPr>
      <w:keepNext/>
      <w:keepLines/>
      <w:spacing w:after="0" w:before="200"/>
      <w:outlineLvl w:val="5"/>
    </w:pPr>
    <w:rPr>
      <w:rFonts w:asciiTheme="majorHAnsi" w:cstheme="majorBidi" w:eastAsiaTheme="majorEastAsia" w:hAnsiTheme="majorHAnsi"/>
      <w:i/>
      <w:iCs/>
      <w:color w:themeColor="accent1" w:themeShade="7F" w:val="243F60"/>
    </w:rPr>
  </w:style>
  <w:style w:styleId="7" w:type="paragraph">
    <w:name w:val="heading 7"/>
    <w:basedOn w:val="a1"/>
    <w:next w:val="a1"/>
    <w:link w:val="70"/>
    <w:uiPriority w:val="9"/>
    <w:semiHidden/>
    <w:unhideWhenUsed/>
    <w:qFormat/>
    <w:rsid w:val="00FC693F"/>
    <w:pPr>
      <w:keepNext/>
      <w:keepLines/>
      <w:spacing w:after="0" w:before="200"/>
      <w:outlineLvl w:val="6"/>
    </w:pPr>
    <w:rPr>
      <w:rFonts w:asciiTheme="majorHAnsi" w:cstheme="majorBidi" w:eastAsiaTheme="majorEastAsia" w:hAnsiTheme="majorHAnsi"/>
      <w:i/>
      <w:iCs/>
      <w:color w:themeColor="text1" w:themeTint="BF" w:val="404040"/>
    </w:rPr>
  </w:style>
  <w:style w:styleId="8" w:type="paragraph">
    <w:name w:val="heading 8"/>
    <w:basedOn w:val="a1"/>
    <w:next w:val="a1"/>
    <w:link w:val="80"/>
    <w:uiPriority w:val="9"/>
    <w:semiHidden/>
    <w:unhideWhenUsed/>
    <w:qFormat/>
    <w:rsid w:val="00FC693F"/>
    <w:pPr>
      <w:keepNext/>
      <w:keepLines/>
      <w:spacing w:after="0" w:before="200"/>
      <w:outlineLvl w:val="7"/>
    </w:pPr>
    <w:rPr>
      <w:rFonts w:asciiTheme="majorHAnsi" w:cstheme="majorBidi" w:eastAsiaTheme="majorEastAsia" w:hAnsiTheme="majorHAnsi"/>
      <w:color w:themeColor="accent1" w:val="4F81BD"/>
      <w:sz w:val="20"/>
      <w:szCs w:val="20"/>
    </w:rPr>
  </w:style>
  <w:style w:styleId="9" w:type="paragraph">
    <w:name w:val="heading 9"/>
    <w:basedOn w:val="a1"/>
    <w:next w:val="a1"/>
    <w:link w:val="90"/>
    <w:uiPriority w:val="9"/>
    <w:semiHidden/>
    <w:unhideWhenUsed/>
    <w:qFormat/>
    <w:rsid w:val="00FC693F"/>
    <w:pPr>
      <w:keepNext/>
      <w:keepLines/>
      <w:spacing w:after="0" w:before="200"/>
      <w:outlineLvl w:val="8"/>
    </w:pPr>
    <w:rPr>
      <w:rFonts w:asciiTheme="majorHAnsi" w:cstheme="majorBidi" w:eastAsiaTheme="majorEastAsia" w:hAnsiTheme="majorHAnsi"/>
      <w:i/>
      <w:iCs/>
      <w:color w:themeColor="text1" w:themeTint="BF" w:val="404040"/>
      <w:sz w:val="20"/>
      <w:szCs w:val="20"/>
    </w:rPr>
  </w:style>
  <w:style w:default="1" w:styleId="a2" w:type="character">
    <w:name w:val="Default Paragraph Font"/>
    <w:uiPriority w:val="1"/>
    <w:semiHidden/>
    <w:unhideWhenUsed/>
  </w:style>
  <w:style w:default="1" w:styleId="a3" w:type="table">
    <w:name w:val="Normal Table"/>
    <w:uiPriority w:val="99"/>
    <w:semiHidden/>
    <w:unhideWhenUsed/>
    <w:tblPr>
      <w:tblInd w:type="dxa" w:w="0"/>
      <w:tblCellMar>
        <w:top w:type="dxa" w:w="0"/>
        <w:left w:type="dxa" w:w="108"/>
        <w:bottom w:type="dxa" w:w="0"/>
        <w:right w:type="dxa" w:w="108"/>
      </w:tblCellMar>
    </w:tblPr>
  </w:style>
  <w:style w:default="1" w:styleId="a4" w:type="numbering">
    <w:name w:val="No List"/>
    <w:uiPriority w:val="99"/>
    <w:semiHidden/>
    <w:unhideWhenUsed/>
  </w:style>
  <w:style w:styleId="a5" w:type="paragraph">
    <w:name w:val="header"/>
    <w:basedOn w:val="a1"/>
    <w:link w:val="a6"/>
    <w:uiPriority w:val="99"/>
    <w:unhideWhenUsed/>
    <w:rsid w:val="00E618BF"/>
    <w:pPr>
      <w:tabs>
        <w:tab w:pos="4680" w:val="center"/>
        <w:tab w:pos="9360" w:val="right"/>
      </w:tabs>
      <w:spacing w:after="0" w:line="240" w:lineRule="auto"/>
    </w:pPr>
  </w:style>
  <w:style w:customStyle="1" w:styleId="a6" w:type="character">
    <w:name w:val="Верхний колонтитул Знак"/>
    <w:basedOn w:val="a2"/>
    <w:link w:val="a5"/>
    <w:uiPriority w:val="99"/>
    <w:rsid w:val="00E618BF"/>
  </w:style>
  <w:style w:styleId="a7" w:type="paragraph">
    <w:name w:val="footer"/>
    <w:basedOn w:val="a1"/>
    <w:link w:val="a8"/>
    <w:uiPriority w:val="99"/>
    <w:unhideWhenUsed/>
    <w:rsid w:val="00E618BF"/>
    <w:pPr>
      <w:tabs>
        <w:tab w:pos="4680" w:val="center"/>
        <w:tab w:pos="9360" w:val="right"/>
      </w:tabs>
      <w:spacing w:after="0" w:line="240" w:lineRule="auto"/>
    </w:pPr>
  </w:style>
  <w:style w:customStyle="1" w:styleId="a8" w:type="character">
    <w:name w:val="Нижний колонтитул Знак"/>
    <w:basedOn w:val="a2"/>
    <w:link w:val="a7"/>
    <w:uiPriority w:val="99"/>
    <w:rsid w:val="00E618BF"/>
  </w:style>
  <w:style w:styleId="a9" w:type="paragraph">
    <w:name w:val="No Spacing"/>
    <w:uiPriority w:val="1"/>
    <w:qFormat/>
    <w:rsid w:val="00FC693F"/>
    <w:pPr>
      <w:spacing w:after="0" w:line="240" w:lineRule="auto"/>
    </w:pPr>
  </w:style>
  <w:style w:customStyle="1" w:styleId="10" w:type="character">
    <w:name w:val="Заголовок 1 Знак"/>
    <w:basedOn w:val="a2"/>
    <w:link w:val="1"/>
    <w:uiPriority w:val="9"/>
    <w:rsid w:val="00FC693F"/>
    <w:rPr>
      <w:rFonts w:asciiTheme="majorHAnsi" w:cstheme="majorBidi" w:eastAsiaTheme="majorEastAsia" w:hAnsiTheme="majorHAnsi"/>
      <w:b/>
      <w:bCs/>
      <w:color w:themeColor="accent1" w:themeShade="BF" w:val="365F91"/>
      <w:sz w:val="28"/>
      <w:szCs w:val="28"/>
    </w:rPr>
  </w:style>
  <w:style w:customStyle="1" w:styleId="22" w:type="character">
    <w:name w:val="Заголовок 2 Знак"/>
    <w:basedOn w:val="a2"/>
    <w:link w:val="21"/>
    <w:uiPriority w:val="9"/>
    <w:rsid w:val="00FC693F"/>
    <w:rPr>
      <w:rFonts w:asciiTheme="majorHAnsi" w:cstheme="majorBidi" w:eastAsiaTheme="majorEastAsia" w:hAnsiTheme="majorHAnsi"/>
      <w:b/>
      <w:bCs/>
      <w:color w:themeColor="accent1" w:val="4F81BD"/>
      <w:sz w:val="26"/>
      <w:szCs w:val="26"/>
    </w:rPr>
  </w:style>
  <w:style w:customStyle="1" w:styleId="32" w:type="character">
    <w:name w:val="Заголовок 3 Знак"/>
    <w:basedOn w:val="a2"/>
    <w:link w:val="31"/>
    <w:uiPriority w:val="9"/>
    <w:rsid w:val="00FC693F"/>
    <w:rPr>
      <w:rFonts w:asciiTheme="majorHAnsi" w:cstheme="majorBidi" w:eastAsiaTheme="majorEastAsia" w:hAnsiTheme="majorHAnsi"/>
      <w:b/>
      <w:bCs/>
      <w:color w:themeColor="accent1" w:val="4F81BD"/>
    </w:rPr>
  </w:style>
  <w:style w:styleId="aa" w:type="paragraph">
    <w:name w:val="Title"/>
    <w:basedOn w:val="a1"/>
    <w:next w:val="a1"/>
    <w:link w:val="ab"/>
    <w:uiPriority w:val="10"/>
    <w:qFormat/>
    <w:rsid w:val="00FC693F"/>
    <w:pPr>
      <w:keepNext/>
      <w:spacing w:after="240" w:line="240" w:lineRule="auto"/>
      <w:contextualSpacing/>
    </w:pPr>
    <w:rPr>
      <w:rFonts w:asciiTheme="majorHAnsi" w:cstheme="majorBidi" w:eastAsiaTheme="majorEastAsia" w:hAnsiTheme="majorHAnsi"/>
      <w:b/>
      <w:color w:val="000000"/>
      <w:spacing w:val="5"/>
      <w:kern w:val="28"/>
      <w:sz w:val="32"/>
      <w:szCs w:val="52"/>
    </w:rPr>
  </w:style>
  <w:style w:customStyle="1" w:styleId="ab" w:type="character">
    <w:name w:val="Заголовок Знак"/>
    <w:basedOn w:val="a2"/>
    <w:link w:val="aa"/>
    <w:uiPriority w:val="10"/>
    <w:rsid w:val="00FC693F"/>
    <w:rPr>
      <w:rFonts w:asciiTheme="majorHAnsi" w:cstheme="majorBidi" w:eastAsiaTheme="majorEastAsia" w:hAnsiTheme="majorHAnsi"/>
      <w:color w:themeColor="text2" w:themeShade="BF" w:val="17365D"/>
      <w:spacing w:val="5"/>
      <w:kern w:val="28"/>
      <w:sz w:val="52"/>
      <w:szCs w:val="52"/>
    </w:rPr>
  </w:style>
  <w:style w:styleId="ac" w:type="paragraph">
    <w:name w:val="Subtitle"/>
    <w:basedOn w:val="a1"/>
    <w:next w:val="a1"/>
    <w:link w:val="ad"/>
    <w:uiPriority w:val="11"/>
    <w:qFormat/>
    <w:rsid w:val="00FC693F"/>
    <w:pPr>
      <w:numPr>
        <w:ilvl w:val="1"/>
      </w:numPr>
      <w:ind w:firstLine="709"/>
    </w:pPr>
    <w:rPr>
      <w:rFonts w:asciiTheme="majorHAnsi" w:cstheme="majorBidi" w:eastAsiaTheme="majorEastAsia" w:hAnsiTheme="majorHAnsi"/>
      <w:i/>
      <w:iCs/>
      <w:color w:themeColor="accent1" w:val="4F81BD"/>
      <w:spacing w:val="15"/>
      <w:szCs w:val="24"/>
    </w:rPr>
  </w:style>
  <w:style w:customStyle="1" w:styleId="ad" w:type="character">
    <w:name w:val="Подзаголовок Знак"/>
    <w:basedOn w:val="a2"/>
    <w:link w:val="ac"/>
    <w:uiPriority w:val="11"/>
    <w:rsid w:val="00FC693F"/>
    <w:rPr>
      <w:rFonts w:asciiTheme="majorHAnsi" w:cstheme="majorBidi" w:eastAsiaTheme="majorEastAsia" w:hAnsiTheme="majorHAnsi"/>
      <w:i/>
      <w:iCs/>
      <w:color w:themeColor="accent1" w:val="4F81BD"/>
      <w:spacing w:val="15"/>
      <w:sz w:val="24"/>
      <w:szCs w:val="24"/>
    </w:rPr>
  </w:style>
  <w:style w:styleId="ae" w:type="paragraph">
    <w:name w:val="List Paragraph"/>
    <w:basedOn w:val="a1"/>
    <w:uiPriority w:val="34"/>
    <w:qFormat/>
    <w:rsid w:val="00FC693F"/>
    <w:pPr>
      <w:ind w:left="720"/>
      <w:contextualSpacing/>
    </w:pPr>
  </w:style>
  <w:style w:styleId="af" w:type="paragraph">
    <w:name w:val="Body Text"/>
    <w:basedOn w:val="a1"/>
    <w:link w:val="af0"/>
    <w:uiPriority w:val="99"/>
    <w:unhideWhenUsed/>
    <w:rsid w:val="00AA1D8D"/>
    <w:pPr>
      <w:spacing w:after="120"/>
    </w:pPr>
  </w:style>
  <w:style w:customStyle="1" w:styleId="af0" w:type="character">
    <w:name w:val="Основной текст Знак"/>
    <w:basedOn w:val="a2"/>
    <w:link w:val="af"/>
    <w:uiPriority w:val="99"/>
    <w:rsid w:val="00AA1D8D"/>
  </w:style>
  <w:style w:styleId="23" w:type="paragraph">
    <w:name w:val="Body Text 2"/>
    <w:basedOn w:val="a1"/>
    <w:link w:val="24"/>
    <w:uiPriority w:val="99"/>
    <w:unhideWhenUsed/>
    <w:rsid w:val="00AA1D8D"/>
    <w:pPr>
      <w:spacing w:after="120" w:line="480" w:lineRule="auto"/>
    </w:pPr>
  </w:style>
  <w:style w:customStyle="1" w:styleId="24" w:type="character">
    <w:name w:val="Основной текст 2 Знак"/>
    <w:basedOn w:val="a2"/>
    <w:link w:val="23"/>
    <w:uiPriority w:val="99"/>
    <w:rsid w:val="00AA1D8D"/>
  </w:style>
  <w:style w:styleId="33" w:type="paragraph">
    <w:name w:val="Body Text 3"/>
    <w:basedOn w:val="a1"/>
    <w:link w:val="34"/>
    <w:uiPriority w:val="99"/>
    <w:unhideWhenUsed/>
    <w:rsid w:val="00AA1D8D"/>
    <w:pPr>
      <w:spacing w:after="120"/>
    </w:pPr>
    <w:rPr>
      <w:sz w:val="16"/>
      <w:szCs w:val="16"/>
    </w:rPr>
  </w:style>
  <w:style w:customStyle="1" w:styleId="34" w:type="character">
    <w:name w:val="Основной текст 3 Знак"/>
    <w:basedOn w:val="a2"/>
    <w:link w:val="33"/>
    <w:uiPriority w:val="99"/>
    <w:rsid w:val="00AA1D8D"/>
    <w:rPr>
      <w:sz w:val="16"/>
      <w:szCs w:val="16"/>
    </w:rPr>
  </w:style>
  <w:style w:styleId="af1" w:type="paragraph">
    <w:name w:val="List"/>
    <w:basedOn w:val="a1"/>
    <w:uiPriority w:val="99"/>
    <w:unhideWhenUsed/>
    <w:rsid w:val="00AA1D8D"/>
    <w:pPr>
      <w:ind w:hanging="360" w:left="360"/>
      <w:contextualSpacing/>
    </w:pPr>
  </w:style>
  <w:style w:styleId="25" w:type="paragraph">
    <w:name w:val="List 2"/>
    <w:basedOn w:val="a1"/>
    <w:uiPriority w:val="99"/>
    <w:unhideWhenUsed/>
    <w:rsid w:val="00326F90"/>
    <w:pPr>
      <w:ind w:hanging="360" w:left="720"/>
      <w:contextualSpacing/>
    </w:pPr>
  </w:style>
  <w:style w:styleId="35" w:type="paragraph">
    <w:name w:val="List 3"/>
    <w:basedOn w:val="a1"/>
    <w:uiPriority w:val="99"/>
    <w:unhideWhenUsed/>
    <w:rsid w:val="00326F90"/>
    <w:pPr>
      <w:ind w:hanging="360" w:left="1080"/>
      <w:contextualSpacing/>
    </w:pPr>
  </w:style>
  <w:style w:styleId="a0" w:type="paragraph">
    <w:name w:val="List Bullet"/>
    <w:basedOn w:val="a1"/>
    <w:uiPriority w:val="99"/>
    <w:unhideWhenUsed/>
    <w:rsid w:val="00326F90"/>
    <w:pPr>
      <w:numPr>
        <w:numId w:val="1"/>
      </w:numPr>
      <w:contextualSpacing/>
    </w:pPr>
  </w:style>
  <w:style w:styleId="20" w:type="paragraph">
    <w:name w:val="List Bullet 2"/>
    <w:basedOn w:val="a1"/>
    <w:uiPriority w:val="99"/>
    <w:unhideWhenUsed/>
    <w:rsid w:val="00326F90"/>
    <w:pPr>
      <w:numPr>
        <w:numId w:val="2"/>
      </w:numPr>
      <w:contextualSpacing/>
    </w:pPr>
  </w:style>
  <w:style w:styleId="30" w:type="paragraph">
    <w:name w:val="List Bullet 3"/>
    <w:basedOn w:val="a1"/>
    <w:uiPriority w:val="99"/>
    <w:unhideWhenUsed/>
    <w:rsid w:val="00326F90"/>
    <w:pPr>
      <w:numPr>
        <w:numId w:val="3"/>
      </w:numPr>
      <w:contextualSpacing/>
    </w:pPr>
  </w:style>
  <w:style w:styleId="a" w:type="paragraph">
    <w:name w:val="List Number"/>
    <w:basedOn w:val="a1"/>
    <w:uiPriority w:val="99"/>
    <w:unhideWhenUsed/>
    <w:rsid w:val="00326F90"/>
    <w:pPr>
      <w:numPr>
        <w:numId w:val="5"/>
      </w:numPr>
      <w:contextualSpacing/>
    </w:pPr>
  </w:style>
  <w:style w:styleId="2" w:type="paragraph">
    <w:name w:val="List Number 2"/>
    <w:basedOn w:val="a1"/>
    <w:uiPriority w:val="99"/>
    <w:unhideWhenUsed/>
    <w:rsid w:val="0029639D"/>
    <w:pPr>
      <w:numPr>
        <w:numId w:val="6"/>
      </w:numPr>
      <w:contextualSpacing/>
    </w:pPr>
  </w:style>
  <w:style w:styleId="3" w:type="paragraph">
    <w:name w:val="List Number 3"/>
    <w:basedOn w:val="a1"/>
    <w:uiPriority w:val="99"/>
    <w:unhideWhenUsed/>
    <w:rsid w:val="0029639D"/>
    <w:pPr>
      <w:numPr>
        <w:numId w:val="7"/>
      </w:numPr>
      <w:contextualSpacing/>
    </w:pPr>
  </w:style>
  <w:style w:styleId="af2" w:type="paragraph">
    <w:name w:val="List Continue"/>
    <w:basedOn w:val="a1"/>
    <w:uiPriority w:val="99"/>
    <w:unhideWhenUsed/>
    <w:rsid w:val="0029639D"/>
    <w:pPr>
      <w:spacing w:after="120"/>
      <w:ind w:left="360"/>
      <w:contextualSpacing/>
    </w:pPr>
  </w:style>
  <w:style w:styleId="26" w:type="paragraph">
    <w:name w:val="List Continue 2"/>
    <w:basedOn w:val="a1"/>
    <w:uiPriority w:val="99"/>
    <w:unhideWhenUsed/>
    <w:rsid w:val="0029639D"/>
    <w:pPr>
      <w:spacing w:after="120"/>
      <w:ind w:left="720"/>
      <w:contextualSpacing/>
    </w:pPr>
  </w:style>
  <w:style w:styleId="36" w:type="paragraph">
    <w:name w:val="List Continue 3"/>
    <w:basedOn w:val="a1"/>
    <w:uiPriority w:val="99"/>
    <w:unhideWhenUsed/>
    <w:rsid w:val="0029639D"/>
    <w:pPr>
      <w:spacing w:after="120"/>
      <w:ind w:left="1080"/>
      <w:contextualSpacing/>
    </w:pPr>
  </w:style>
  <w:style w:styleId="af3" w:type="paragraph">
    <w:name w:val="macro"/>
    <w:link w:val="af4"/>
    <w:uiPriority w:val="99"/>
    <w:unhideWhenUsed/>
    <w:rsid w:val="0029639D"/>
    <w:pPr>
      <w:tabs>
        <w:tab w:pos="576" w:val="left"/>
        <w:tab w:pos="1152" w:val="left"/>
        <w:tab w:pos="1728" w:val="left"/>
        <w:tab w:pos="2304" w:val="left"/>
        <w:tab w:pos="2880" w:val="left"/>
        <w:tab w:pos="3456" w:val="left"/>
        <w:tab w:pos="4032" w:val="left"/>
      </w:tabs>
    </w:pPr>
    <w:rPr>
      <w:rFonts w:ascii="Courier" w:hAnsi="Courier"/>
      <w:sz w:val="20"/>
      <w:szCs w:val="20"/>
    </w:rPr>
  </w:style>
  <w:style w:customStyle="1" w:styleId="af4" w:type="character">
    <w:name w:val="Текст макроса Знак"/>
    <w:basedOn w:val="a2"/>
    <w:link w:val="af3"/>
    <w:uiPriority w:val="99"/>
    <w:rsid w:val="0029639D"/>
    <w:rPr>
      <w:rFonts w:ascii="Courier" w:hAnsi="Courier"/>
      <w:sz w:val="20"/>
      <w:szCs w:val="20"/>
    </w:rPr>
  </w:style>
  <w:style w:styleId="27" w:type="paragraph">
    <w:name w:val="Quote"/>
    <w:basedOn w:val="a1"/>
    <w:next w:val="a1"/>
    <w:link w:val="28"/>
    <w:uiPriority w:val="29"/>
    <w:qFormat/>
    <w:rsid w:val="00FC693F"/>
    <w:rPr>
      <w:i/>
      <w:iCs/>
      <w:color w:themeColor="text1" w:val="000000"/>
    </w:rPr>
  </w:style>
  <w:style w:customStyle="1" w:styleId="28" w:type="character">
    <w:name w:val="Цитата 2 Знак"/>
    <w:basedOn w:val="a2"/>
    <w:link w:val="27"/>
    <w:uiPriority w:val="29"/>
    <w:rsid w:val="00FC693F"/>
    <w:rPr>
      <w:i/>
      <w:iCs/>
      <w:color w:themeColor="text1" w:val="000000"/>
    </w:rPr>
  </w:style>
  <w:style w:customStyle="1" w:styleId="40" w:type="character">
    <w:name w:val="Заголовок 4 Знак"/>
    <w:basedOn w:val="a2"/>
    <w:link w:val="4"/>
    <w:uiPriority w:val="9"/>
    <w:semiHidden/>
    <w:rsid w:val="00FC693F"/>
    <w:rPr>
      <w:rFonts w:asciiTheme="majorHAnsi" w:cstheme="majorBidi" w:eastAsiaTheme="majorEastAsia" w:hAnsiTheme="majorHAnsi"/>
      <w:b/>
      <w:bCs/>
      <w:i/>
      <w:iCs/>
      <w:color w:themeColor="accent1" w:val="4F81BD"/>
    </w:rPr>
  </w:style>
  <w:style w:customStyle="1" w:styleId="50" w:type="character">
    <w:name w:val="Заголовок 5 Знак"/>
    <w:basedOn w:val="a2"/>
    <w:link w:val="5"/>
    <w:uiPriority w:val="9"/>
    <w:semiHidden/>
    <w:rsid w:val="00FC693F"/>
    <w:rPr>
      <w:rFonts w:asciiTheme="majorHAnsi" w:cstheme="majorBidi" w:eastAsiaTheme="majorEastAsia" w:hAnsiTheme="majorHAnsi"/>
      <w:color w:themeColor="accent1" w:themeShade="7F" w:val="243F60"/>
    </w:rPr>
  </w:style>
  <w:style w:customStyle="1" w:styleId="60" w:type="character">
    <w:name w:val="Заголовок 6 Знак"/>
    <w:basedOn w:val="a2"/>
    <w:link w:val="6"/>
    <w:uiPriority w:val="9"/>
    <w:semiHidden/>
    <w:rsid w:val="00FC693F"/>
    <w:rPr>
      <w:rFonts w:asciiTheme="majorHAnsi" w:cstheme="majorBidi" w:eastAsiaTheme="majorEastAsia" w:hAnsiTheme="majorHAnsi"/>
      <w:i/>
      <w:iCs/>
      <w:color w:themeColor="accent1" w:themeShade="7F" w:val="243F60"/>
    </w:rPr>
  </w:style>
  <w:style w:customStyle="1" w:styleId="70" w:type="character">
    <w:name w:val="Заголовок 7 Знак"/>
    <w:basedOn w:val="a2"/>
    <w:link w:val="7"/>
    <w:uiPriority w:val="9"/>
    <w:semiHidden/>
    <w:rsid w:val="00FC693F"/>
    <w:rPr>
      <w:rFonts w:asciiTheme="majorHAnsi" w:cstheme="majorBidi" w:eastAsiaTheme="majorEastAsia" w:hAnsiTheme="majorHAnsi"/>
      <w:i/>
      <w:iCs/>
      <w:color w:themeColor="text1" w:themeTint="BF" w:val="404040"/>
    </w:rPr>
  </w:style>
  <w:style w:customStyle="1" w:styleId="80" w:type="character">
    <w:name w:val="Заголовок 8 Знак"/>
    <w:basedOn w:val="a2"/>
    <w:link w:val="8"/>
    <w:uiPriority w:val="9"/>
    <w:semiHidden/>
    <w:rsid w:val="00FC693F"/>
    <w:rPr>
      <w:rFonts w:asciiTheme="majorHAnsi" w:cstheme="majorBidi" w:eastAsiaTheme="majorEastAsia" w:hAnsiTheme="majorHAnsi"/>
      <w:color w:themeColor="accent1" w:val="4F81BD"/>
      <w:sz w:val="20"/>
      <w:szCs w:val="20"/>
    </w:rPr>
  </w:style>
  <w:style w:customStyle="1" w:styleId="90" w:type="character">
    <w:name w:val="Заголовок 9 Знак"/>
    <w:basedOn w:val="a2"/>
    <w:link w:val="9"/>
    <w:uiPriority w:val="9"/>
    <w:semiHidden/>
    <w:rsid w:val="00FC693F"/>
    <w:rPr>
      <w:rFonts w:asciiTheme="majorHAnsi" w:cstheme="majorBidi" w:eastAsiaTheme="majorEastAsia" w:hAnsiTheme="majorHAnsi"/>
      <w:i/>
      <w:iCs/>
      <w:color w:themeColor="text1" w:themeTint="BF" w:val="404040"/>
      <w:sz w:val="20"/>
      <w:szCs w:val="20"/>
    </w:rPr>
  </w:style>
  <w:style w:styleId="af5" w:type="paragraph">
    <w:name w:val="caption"/>
    <w:basedOn w:val="a1"/>
    <w:next w:val="a1"/>
    <w:uiPriority w:val="35"/>
    <w:semiHidden/>
    <w:unhideWhenUsed/>
    <w:qFormat/>
    <w:rsid w:val="00FC693F"/>
    <w:pPr>
      <w:spacing w:line="240" w:lineRule="auto"/>
    </w:pPr>
    <w:rPr>
      <w:b/>
      <w:bCs/>
      <w:color w:themeColor="accent1" w:val="4F81BD"/>
      <w:sz w:val="18"/>
      <w:szCs w:val="18"/>
    </w:rPr>
  </w:style>
  <w:style w:styleId="af6" w:type="character">
    <w:name w:val="Strong"/>
    <w:basedOn w:val="a2"/>
    <w:uiPriority w:val="22"/>
    <w:qFormat/>
    <w:rsid w:val="00FC693F"/>
    <w:rPr>
      <w:b/>
      <w:bCs/>
    </w:rPr>
  </w:style>
  <w:style w:styleId="af7" w:type="character">
    <w:name w:val="Emphasis"/>
    <w:basedOn w:val="a2"/>
    <w:uiPriority w:val="20"/>
    <w:qFormat/>
    <w:rsid w:val="00FC693F"/>
    <w:rPr>
      <w:i/>
      <w:iCs/>
    </w:rPr>
  </w:style>
  <w:style w:styleId="af8" w:type="paragraph">
    <w:name w:val="Intense Quote"/>
    <w:basedOn w:val="a1"/>
    <w:next w:val="a1"/>
    <w:link w:val="af9"/>
    <w:uiPriority w:val="30"/>
    <w:qFormat/>
    <w:rsid w:val="00FC693F"/>
    <w:pPr>
      <w:pBdr>
        <w:bottom w:color="4F81BD" w:space="4" w:sz="4" w:themeColor="accent1" w:val="single"/>
      </w:pBdr>
      <w:spacing w:after="280" w:before="200"/>
      <w:ind w:left="936" w:right="936"/>
    </w:pPr>
    <w:rPr>
      <w:b/>
      <w:bCs/>
      <w:i/>
      <w:iCs/>
      <w:color w:themeColor="accent1" w:val="4F81BD"/>
    </w:rPr>
  </w:style>
  <w:style w:customStyle="1" w:styleId="af9" w:type="character">
    <w:name w:val="Выделенная цитата Знак"/>
    <w:basedOn w:val="a2"/>
    <w:link w:val="af8"/>
    <w:uiPriority w:val="30"/>
    <w:rsid w:val="00FC693F"/>
    <w:rPr>
      <w:b/>
      <w:bCs/>
      <w:i/>
      <w:iCs/>
      <w:color w:themeColor="accent1" w:val="4F81BD"/>
    </w:rPr>
  </w:style>
  <w:style w:styleId="afa" w:type="character">
    <w:name w:val="Subtle Emphasis"/>
    <w:basedOn w:val="a2"/>
    <w:uiPriority w:val="19"/>
    <w:qFormat/>
    <w:rsid w:val="00FC693F"/>
    <w:rPr>
      <w:i/>
      <w:iCs/>
      <w:color w:themeColor="text1" w:themeTint="7F" w:val="808080"/>
    </w:rPr>
  </w:style>
  <w:style w:styleId="afb" w:type="character">
    <w:name w:val="Intense Emphasis"/>
    <w:basedOn w:val="a2"/>
    <w:uiPriority w:val="21"/>
    <w:qFormat/>
    <w:rsid w:val="00FC693F"/>
    <w:rPr>
      <w:b/>
      <w:bCs/>
      <w:i/>
      <w:iCs/>
      <w:color w:themeColor="accent1" w:val="4F81BD"/>
    </w:rPr>
  </w:style>
  <w:style w:styleId="afc" w:type="character">
    <w:name w:val="Subtle Reference"/>
    <w:basedOn w:val="a2"/>
    <w:uiPriority w:val="31"/>
    <w:qFormat/>
    <w:rsid w:val="00FC693F"/>
    <w:rPr>
      <w:smallCaps/>
      <w:color w:themeColor="accent2" w:val="C0504D"/>
      <w:u w:val="single"/>
    </w:rPr>
  </w:style>
  <w:style w:styleId="afd" w:type="character">
    <w:name w:val="Intense Reference"/>
    <w:basedOn w:val="a2"/>
    <w:uiPriority w:val="32"/>
    <w:qFormat/>
    <w:rsid w:val="00FC693F"/>
    <w:rPr>
      <w:b/>
      <w:bCs/>
      <w:smallCaps/>
      <w:color w:themeColor="accent2" w:val="C0504D"/>
      <w:spacing w:val="5"/>
      <w:u w:val="single"/>
    </w:rPr>
  </w:style>
  <w:style w:styleId="afe" w:type="character">
    <w:name w:val="Book Title"/>
    <w:basedOn w:val="a2"/>
    <w:uiPriority w:val="33"/>
    <w:qFormat/>
    <w:rsid w:val="00FC693F"/>
    <w:rPr>
      <w:b/>
      <w:bCs/>
      <w:smallCaps/>
      <w:spacing w:val="5"/>
    </w:rPr>
  </w:style>
  <w:style w:styleId="aff" w:type="paragraph">
    <w:name w:val="TOC Heading"/>
    <w:basedOn w:val="1"/>
    <w:next w:val="a1"/>
    <w:uiPriority w:val="39"/>
    <w:semiHidden/>
    <w:unhideWhenUsed/>
    <w:qFormat/>
    <w:rsid w:val="00FC693F"/>
    <w:pPr>
      <w:outlineLvl w:val="9"/>
    </w:pPr>
  </w:style>
  <w:style w:styleId="aff0" w:type="table">
    <w:name w:val="Table Grid"/>
    <w:basedOn w:val="a3"/>
    <w:uiPriority w:val="59"/>
    <w:rsid w:val="00FC693F"/>
    <w:pPr>
      <w:spacing w:after="0" w:line="240" w:lineRule="auto"/>
    </w:pPr>
    <w:tblPr>
      <w:tblBorders>
        <w:top w:color="auto" w:space="0" w:sz="4" w:val="single"/>
        <w:left w:color="auto" w:space="0" w:sz="4" w:val="single"/>
        <w:bottom w:color="auto" w:space="0" w:sz="4" w:val="single"/>
        <w:right w:color="auto" w:space="0" w:sz="4" w:val="single"/>
        <w:insideH w:color="auto" w:space="0" w:sz="4" w:val="single"/>
        <w:insideV w:color="auto" w:space="0" w:sz="4" w:val="single"/>
      </w:tblBorders>
    </w:tblPr>
  </w:style>
  <w:style w:styleId="aff1" w:type="table">
    <w:name w:val="Light Shading"/>
    <w:basedOn w:val="a3"/>
    <w:uiPriority w:val="60"/>
    <w:rsid w:val="00FC693F"/>
    <w:pPr>
      <w:spacing w:after="0" w:line="240" w:lineRule="auto"/>
    </w:pPr>
    <w:rPr>
      <w:color w:themeColor="text1" w:themeShade="BF" w:val="000000"/>
    </w:rPr>
    <w:tblPr>
      <w:tblStyleRowBandSize w:val="1"/>
      <w:tblStyleColBandSize w:val="1"/>
      <w:tblBorders>
        <w:top w:color="000000" w:space="0" w:sz="8" w:themeColor="text1" w:val="single"/>
        <w:bottom w:color="000000" w:space="0" w:sz="8" w:themeColor="text1" w:val="single"/>
      </w:tblBorders>
    </w:tblPr>
    <w:tblStylePr w:type="firstRow">
      <w:pPr>
        <w:spacing w:after="0" w:before="0" w:line="240" w:lineRule="auto"/>
      </w:pPr>
      <w:rPr>
        <w:b/>
        <w:bCs/>
      </w:rPr>
      <w:tblPr/>
      <w:tcPr>
        <w:tcBorders>
          <w:top w:color="000000" w:space="0" w:sz="8" w:themeColor="text1" w:val="single"/>
          <w:left w:val="nil"/>
          <w:bottom w:color="000000" w:space="0" w:sz="8" w:themeColor="text1" w:val="single"/>
          <w:right w:val="nil"/>
          <w:insideH w:val="nil"/>
          <w:insideV w:val="nil"/>
        </w:tcBorders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000000" w:space="0" w:sz="8" w:themeColor="text1" w:val="single"/>
          <w:left w:val="nil"/>
          <w:bottom w:color="000000" w:space="0" w:sz="8" w:themeColor="text1" w:val="single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C0C0C0" w:themeFill="text1" w:themeFillTint="3F" w:val="clear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color="auto" w:fill="C0C0C0" w:themeFill="text1" w:themeFillTint="3F" w:val="clear"/>
      </w:tcPr>
    </w:tblStylePr>
  </w:style>
  <w:style w:styleId="-1" w:type="table">
    <w:name w:val="Light Shading Accent 1"/>
    <w:basedOn w:val="a3"/>
    <w:uiPriority w:val="60"/>
    <w:rsid w:val="00FC693F"/>
    <w:pPr>
      <w:spacing w:after="0" w:line="240" w:lineRule="auto"/>
    </w:pPr>
    <w:rPr>
      <w:color w:themeColor="accent1" w:themeShade="BF" w:val="365F91"/>
    </w:rPr>
    <w:tblPr>
      <w:tblStyleRowBandSize w:val="1"/>
      <w:tblStyleColBandSize w:val="1"/>
      <w:tblBorders>
        <w:top w:color="4F81BD" w:space="0" w:sz="8" w:themeColor="accent1" w:val="single"/>
        <w:bottom w:color="4F81BD" w:space="0" w:sz="8" w:themeColor="accent1" w:val="single"/>
      </w:tblBorders>
    </w:tblPr>
    <w:tblStylePr w:type="firstRow">
      <w:pPr>
        <w:spacing w:after="0" w:before="0" w:line="240" w:lineRule="auto"/>
      </w:pPr>
      <w:rPr>
        <w:b/>
        <w:bCs/>
      </w:rPr>
      <w:tblPr/>
      <w:tcPr>
        <w:tcBorders>
          <w:top w:color="4F81BD" w:space="0" w:sz="8" w:themeColor="accent1" w:val="single"/>
          <w:left w:val="nil"/>
          <w:bottom w:color="4F81BD" w:space="0" w:sz="8" w:themeColor="accent1" w:val="single"/>
          <w:right w:val="nil"/>
          <w:insideH w:val="nil"/>
          <w:insideV w:val="nil"/>
        </w:tcBorders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4F81BD" w:space="0" w:sz="8" w:themeColor="accent1" w:val="single"/>
          <w:left w:val="nil"/>
          <w:bottom w:color="4F81BD" w:space="0" w:sz="8" w:themeColor="accent1" w:val="single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3DFEE" w:themeFill="accent1" w:themeFillTint="3F" w:val="clear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color="auto" w:fill="D3DFEE" w:themeFill="accent1" w:themeFillTint="3F" w:val="clear"/>
      </w:tcPr>
    </w:tblStylePr>
  </w:style>
  <w:style w:styleId="-2" w:type="table">
    <w:name w:val="Light Shading Accent 2"/>
    <w:basedOn w:val="a3"/>
    <w:uiPriority w:val="60"/>
    <w:rsid w:val="00FC693F"/>
    <w:pPr>
      <w:spacing w:after="0" w:line="240" w:lineRule="auto"/>
    </w:pPr>
    <w:rPr>
      <w:color w:themeColor="accent2" w:themeShade="BF" w:val="943634"/>
    </w:rPr>
    <w:tblPr>
      <w:tblStyleRowBandSize w:val="1"/>
      <w:tblStyleColBandSize w:val="1"/>
      <w:tblBorders>
        <w:top w:color="C0504D" w:space="0" w:sz="8" w:themeColor="accent2" w:val="single"/>
        <w:bottom w:color="C0504D" w:space="0" w:sz="8" w:themeColor="accent2" w:val="single"/>
      </w:tblBorders>
    </w:tblPr>
    <w:tblStylePr w:type="firstRow">
      <w:pPr>
        <w:spacing w:after="0" w:before="0" w:line="240" w:lineRule="auto"/>
      </w:pPr>
      <w:rPr>
        <w:b/>
        <w:bCs/>
      </w:rPr>
      <w:tblPr/>
      <w:tcPr>
        <w:tcBorders>
          <w:top w:color="C0504D" w:space="0" w:sz="8" w:themeColor="accent2" w:val="single"/>
          <w:left w:val="nil"/>
          <w:bottom w:color="C0504D" w:space="0" w:sz="8" w:themeColor="accent2" w:val="single"/>
          <w:right w:val="nil"/>
          <w:insideH w:val="nil"/>
          <w:insideV w:val="nil"/>
        </w:tcBorders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C0504D" w:space="0" w:sz="8" w:themeColor="accent2" w:val="single"/>
          <w:left w:val="nil"/>
          <w:bottom w:color="C0504D" w:space="0" w:sz="8" w:themeColor="accent2" w:val="single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EFD3D2" w:themeFill="accent2" w:themeFillTint="3F" w:val="clear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color="auto" w:fill="EFD3D2" w:themeFill="accent2" w:themeFillTint="3F" w:val="clear"/>
      </w:tcPr>
    </w:tblStylePr>
  </w:style>
  <w:style w:styleId="-3" w:type="table">
    <w:name w:val="Light Shading Accent 3"/>
    <w:basedOn w:val="a3"/>
    <w:uiPriority w:val="60"/>
    <w:rsid w:val="00FC693F"/>
    <w:pPr>
      <w:spacing w:after="0" w:line="240" w:lineRule="auto"/>
    </w:pPr>
    <w:rPr>
      <w:color w:themeColor="accent3" w:themeShade="BF" w:val="76923C"/>
    </w:rPr>
    <w:tblPr>
      <w:tblStyleRowBandSize w:val="1"/>
      <w:tblStyleColBandSize w:val="1"/>
      <w:tblBorders>
        <w:top w:color="9BBB59" w:space="0" w:sz="8" w:themeColor="accent3" w:val="single"/>
        <w:bottom w:color="9BBB59" w:space="0" w:sz="8" w:themeColor="accent3" w:val="single"/>
      </w:tblBorders>
    </w:tblPr>
    <w:tblStylePr w:type="firstRow">
      <w:pPr>
        <w:spacing w:after="0" w:before="0" w:line="240" w:lineRule="auto"/>
      </w:pPr>
      <w:rPr>
        <w:b/>
        <w:bCs/>
      </w:rPr>
      <w:tblPr/>
      <w:tcPr>
        <w:tcBorders>
          <w:top w:color="9BBB59" w:space="0" w:sz="8" w:themeColor="accent3" w:val="single"/>
          <w:left w:val="nil"/>
          <w:bottom w:color="9BBB59" w:space="0" w:sz="8" w:themeColor="accent3" w:val="single"/>
          <w:right w:val="nil"/>
          <w:insideH w:val="nil"/>
          <w:insideV w:val="nil"/>
        </w:tcBorders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9BBB59" w:space="0" w:sz="8" w:themeColor="accent3" w:val="single"/>
          <w:left w:val="nil"/>
          <w:bottom w:color="9BBB59" w:space="0" w:sz="8" w:themeColor="accent3" w:val="single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E6EED5" w:themeFill="accent3" w:themeFillTint="3F" w:val="clear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color="auto" w:fill="E6EED5" w:themeFill="accent3" w:themeFillTint="3F" w:val="clear"/>
      </w:tcPr>
    </w:tblStylePr>
  </w:style>
  <w:style w:styleId="-4" w:type="table">
    <w:name w:val="Light Shading Accent 4"/>
    <w:basedOn w:val="a3"/>
    <w:uiPriority w:val="60"/>
    <w:rsid w:val="00FC693F"/>
    <w:pPr>
      <w:spacing w:after="0" w:line="240" w:lineRule="auto"/>
    </w:pPr>
    <w:rPr>
      <w:color w:themeColor="accent4" w:themeShade="BF" w:val="5F497A"/>
    </w:rPr>
    <w:tblPr>
      <w:tblStyleRowBandSize w:val="1"/>
      <w:tblStyleColBandSize w:val="1"/>
      <w:tblBorders>
        <w:top w:color="8064A2" w:space="0" w:sz="8" w:themeColor="accent4" w:val="single"/>
        <w:bottom w:color="8064A2" w:space="0" w:sz="8" w:themeColor="accent4" w:val="single"/>
      </w:tblBorders>
    </w:tblPr>
    <w:tblStylePr w:type="firstRow">
      <w:pPr>
        <w:spacing w:after="0" w:before="0" w:line="240" w:lineRule="auto"/>
      </w:pPr>
      <w:rPr>
        <w:b/>
        <w:bCs/>
      </w:rPr>
      <w:tblPr/>
      <w:tcPr>
        <w:tcBorders>
          <w:top w:color="8064A2" w:space="0" w:sz="8" w:themeColor="accent4" w:val="single"/>
          <w:left w:val="nil"/>
          <w:bottom w:color="8064A2" w:space="0" w:sz="8" w:themeColor="accent4" w:val="single"/>
          <w:right w:val="nil"/>
          <w:insideH w:val="nil"/>
          <w:insideV w:val="nil"/>
        </w:tcBorders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8064A2" w:space="0" w:sz="8" w:themeColor="accent4" w:val="single"/>
          <w:left w:val="nil"/>
          <w:bottom w:color="8064A2" w:space="0" w:sz="8" w:themeColor="accent4" w:val="single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FD8E8" w:themeFill="accent4" w:themeFillTint="3F" w:val="clear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color="auto" w:fill="DFD8E8" w:themeFill="accent4" w:themeFillTint="3F" w:val="clear"/>
      </w:tcPr>
    </w:tblStylePr>
  </w:style>
  <w:style w:styleId="-5" w:type="table">
    <w:name w:val="Light Shading Accent 5"/>
    <w:basedOn w:val="a3"/>
    <w:uiPriority w:val="60"/>
    <w:rsid w:val="00FC693F"/>
    <w:pPr>
      <w:spacing w:after="0" w:line="240" w:lineRule="auto"/>
    </w:pPr>
    <w:rPr>
      <w:color w:themeColor="accent5" w:themeShade="BF" w:val="31849B"/>
    </w:rPr>
    <w:tblPr>
      <w:tblStyleRowBandSize w:val="1"/>
      <w:tblStyleColBandSize w:val="1"/>
      <w:tblBorders>
        <w:top w:color="4BACC6" w:space="0" w:sz="8" w:themeColor="accent5" w:val="single"/>
        <w:bottom w:color="4BACC6" w:space="0" w:sz="8" w:themeColor="accent5" w:val="single"/>
      </w:tblBorders>
    </w:tblPr>
    <w:tblStylePr w:type="firstRow">
      <w:pPr>
        <w:spacing w:after="0" w:before="0" w:line="240" w:lineRule="auto"/>
      </w:pPr>
      <w:rPr>
        <w:b/>
        <w:bCs/>
      </w:rPr>
      <w:tblPr/>
      <w:tcPr>
        <w:tcBorders>
          <w:top w:color="4BACC6" w:space="0" w:sz="8" w:themeColor="accent5" w:val="single"/>
          <w:left w:val="nil"/>
          <w:bottom w:color="4BACC6" w:space="0" w:sz="8" w:themeColor="accent5" w:val="single"/>
          <w:right w:val="nil"/>
          <w:insideH w:val="nil"/>
          <w:insideV w:val="nil"/>
        </w:tcBorders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4BACC6" w:space="0" w:sz="8" w:themeColor="accent5" w:val="single"/>
          <w:left w:val="nil"/>
          <w:bottom w:color="4BACC6" w:space="0" w:sz="8" w:themeColor="accent5" w:val="single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2EAF1" w:themeFill="accent5" w:themeFillTint="3F" w:val="clear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color="auto" w:fill="D2EAF1" w:themeFill="accent5" w:themeFillTint="3F" w:val="clear"/>
      </w:tcPr>
    </w:tblStylePr>
  </w:style>
  <w:style w:styleId="-6" w:type="table">
    <w:name w:val="Light Shading Accent 6"/>
    <w:basedOn w:val="a3"/>
    <w:uiPriority w:val="60"/>
    <w:rsid w:val="00FC693F"/>
    <w:pPr>
      <w:spacing w:after="0" w:line="240" w:lineRule="auto"/>
    </w:pPr>
    <w:rPr>
      <w:color w:themeColor="accent6" w:themeShade="BF" w:val="E36C0A"/>
    </w:rPr>
    <w:tblPr>
      <w:tblStyleRowBandSize w:val="1"/>
      <w:tblStyleColBandSize w:val="1"/>
      <w:tblBorders>
        <w:top w:color="F79646" w:space="0" w:sz="8" w:themeColor="accent6" w:val="single"/>
        <w:bottom w:color="F79646" w:space="0" w:sz="8" w:themeColor="accent6" w:val="single"/>
      </w:tblBorders>
    </w:tblPr>
    <w:tblStylePr w:type="firstRow">
      <w:pPr>
        <w:spacing w:after="0" w:before="0" w:line="240" w:lineRule="auto"/>
      </w:pPr>
      <w:rPr>
        <w:b/>
        <w:bCs/>
      </w:rPr>
      <w:tblPr/>
      <w:tcPr>
        <w:tcBorders>
          <w:top w:color="F79646" w:space="0" w:sz="8" w:themeColor="accent6" w:val="single"/>
          <w:left w:val="nil"/>
          <w:bottom w:color="F79646" w:space="0" w:sz="8" w:themeColor="accent6" w:val="single"/>
          <w:right w:val="nil"/>
          <w:insideH w:val="nil"/>
          <w:insideV w:val="nil"/>
        </w:tcBorders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F79646" w:space="0" w:sz="8" w:themeColor="accent6" w:val="single"/>
          <w:left w:val="nil"/>
          <w:bottom w:color="F79646" w:space="0" w:sz="8" w:themeColor="accent6" w:val="single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FDE4D0" w:themeFill="accent6" w:themeFillTint="3F" w:val="clear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color="auto" w:fill="FDE4D0" w:themeFill="accent6" w:themeFillTint="3F" w:val="clear"/>
      </w:tcPr>
    </w:tblStylePr>
  </w:style>
  <w:style w:styleId="aff2" w:type="table">
    <w:name w:val="Light List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color="000000" w:space="0" w:sz="8" w:themeColor="text1" w:val="single"/>
        <w:left w:color="000000" w:space="0" w:sz="8" w:themeColor="text1" w:val="single"/>
        <w:bottom w:color="000000" w:space="0" w:sz="8" w:themeColor="text1" w:val="single"/>
        <w:right w:color="000000" w:space="0" w:sz="8" w:themeColor="text1" w:val="single"/>
      </w:tblBorders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shd w:color="auto" w:fill="000000" w:themeFill="text1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000000" w:space="0" w:sz="6" w:themeColor="text1" w:val="doub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</w:tcPr>
    </w:tblStylePr>
    <w:tblStylePr w:type="band1Horz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</w:tcPr>
    </w:tblStylePr>
  </w:style>
  <w:style w:styleId="-10" w:type="table">
    <w:name w:val="Light List Accent 1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color="4F81BD" w:space="0" w:sz="8" w:themeColor="accent1" w:val="single"/>
        <w:left w:color="4F81BD" w:space="0" w:sz="8" w:themeColor="accent1" w:val="single"/>
        <w:bottom w:color="4F81BD" w:space="0" w:sz="8" w:themeColor="accent1" w:val="single"/>
        <w:right w:color="4F81BD" w:space="0" w:sz="8" w:themeColor="accent1" w:val="single"/>
      </w:tblBorders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shd w:color="auto" w:fill="4F81BD" w:themeFill="accent1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4F81BD" w:space="0" w:sz="6" w:themeColor="accent1" w:val="doub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</w:tcPr>
    </w:tblStylePr>
    <w:tblStylePr w:type="band1Horz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</w:tcPr>
    </w:tblStylePr>
  </w:style>
  <w:style w:styleId="-20" w:type="table">
    <w:name w:val="Light List Accent 2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color="C0504D" w:space="0" w:sz="8" w:themeColor="accent2" w:val="single"/>
        <w:left w:color="C0504D" w:space="0" w:sz="8" w:themeColor="accent2" w:val="single"/>
        <w:bottom w:color="C0504D" w:space="0" w:sz="8" w:themeColor="accent2" w:val="single"/>
        <w:right w:color="C0504D" w:space="0" w:sz="8" w:themeColor="accent2" w:val="single"/>
      </w:tblBorders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shd w:color="auto" w:fill="C0504D" w:themeFill="accent2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C0504D" w:space="0" w:sz="6" w:themeColor="accent2" w:val="doub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</w:tcPr>
    </w:tblStylePr>
    <w:tblStylePr w:type="band1Horz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</w:tcPr>
    </w:tblStylePr>
  </w:style>
  <w:style w:styleId="-30" w:type="table">
    <w:name w:val="Light List Accent 3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color="9BBB59" w:space="0" w:sz="8" w:themeColor="accent3" w:val="single"/>
        <w:left w:color="9BBB59" w:space="0" w:sz="8" w:themeColor="accent3" w:val="single"/>
        <w:bottom w:color="9BBB59" w:space="0" w:sz="8" w:themeColor="accent3" w:val="single"/>
        <w:right w:color="9BBB59" w:space="0" w:sz="8" w:themeColor="accent3" w:val="single"/>
      </w:tblBorders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shd w:color="auto" w:fill="9BBB59" w:themeFill="accent3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9BBB59" w:space="0" w:sz="6" w:themeColor="accent3" w:val="doub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</w:tcPr>
    </w:tblStylePr>
    <w:tblStylePr w:type="band1Horz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</w:tcPr>
    </w:tblStylePr>
  </w:style>
  <w:style w:styleId="-40" w:type="table">
    <w:name w:val="Light List Accent 4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color="8064A2" w:space="0" w:sz="8" w:themeColor="accent4" w:val="single"/>
        <w:left w:color="8064A2" w:space="0" w:sz="8" w:themeColor="accent4" w:val="single"/>
        <w:bottom w:color="8064A2" w:space="0" w:sz="8" w:themeColor="accent4" w:val="single"/>
        <w:right w:color="8064A2" w:space="0" w:sz="8" w:themeColor="accent4" w:val="single"/>
      </w:tblBorders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shd w:color="auto" w:fill="8064A2" w:themeFill="accent4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8064A2" w:space="0" w:sz="6" w:themeColor="accent4" w:val="doub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</w:tcPr>
    </w:tblStylePr>
    <w:tblStylePr w:type="band1Horz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</w:tcPr>
    </w:tblStylePr>
  </w:style>
  <w:style w:styleId="-50" w:type="table">
    <w:name w:val="Light List Accent 5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color="4BACC6" w:space="0" w:sz="8" w:themeColor="accent5" w:val="single"/>
        <w:left w:color="4BACC6" w:space="0" w:sz="8" w:themeColor="accent5" w:val="single"/>
        <w:bottom w:color="4BACC6" w:space="0" w:sz="8" w:themeColor="accent5" w:val="single"/>
        <w:right w:color="4BACC6" w:space="0" w:sz="8" w:themeColor="accent5" w:val="single"/>
      </w:tblBorders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shd w:color="auto" w:fill="4BACC6" w:themeFill="accent5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4BACC6" w:space="0" w:sz="6" w:themeColor="accent5" w:val="doub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</w:tcPr>
    </w:tblStylePr>
    <w:tblStylePr w:type="band1Horz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</w:tcPr>
    </w:tblStylePr>
  </w:style>
  <w:style w:styleId="-60" w:type="table">
    <w:name w:val="Light List Accent 6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color="F79646" w:space="0" w:sz="8" w:themeColor="accent6" w:val="single"/>
        <w:left w:color="F79646" w:space="0" w:sz="8" w:themeColor="accent6" w:val="single"/>
        <w:bottom w:color="F79646" w:space="0" w:sz="8" w:themeColor="accent6" w:val="single"/>
        <w:right w:color="F79646" w:space="0" w:sz="8" w:themeColor="accent6" w:val="single"/>
      </w:tblBorders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shd w:color="auto" w:fill="F79646" w:themeFill="accent6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F79646" w:space="0" w:sz="6" w:themeColor="accent6" w:val="doub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</w:tcPr>
    </w:tblStylePr>
    <w:tblStylePr w:type="band1Horz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</w:tcPr>
    </w:tblStylePr>
  </w:style>
  <w:style w:styleId="aff3" w:type="table">
    <w:name w:val="Light Grid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color="000000" w:space="0" w:sz="8" w:themeColor="text1" w:val="single"/>
        <w:left w:color="000000" w:space="0" w:sz="8" w:themeColor="text1" w:val="single"/>
        <w:bottom w:color="000000" w:space="0" w:sz="8" w:themeColor="text1" w:val="single"/>
        <w:right w:color="000000" w:space="0" w:sz="8" w:themeColor="text1" w:val="single"/>
        <w:insideH w:color="000000" w:space="0" w:sz="8" w:themeColor="text1" w:val="single"/>
        <w:insideV w:color="000000" w:space="0" w:sz="8" w:themeColor="text1" w:val="single"/>
      </w:tblBorders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18" w:themeColor="text1" w:val="single"/>
          <w:right w:color="000000" w:space="0" w:sz="8" w:themeColor="text1" w:val="single"/>
          <w:insideH w:val="nil"/>
          <w:insideV w:color="000000" w:space="0" w:sz="8" w:themeColor="text1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000000" w:space="0" w:sz="6" w:themeColor="text1" w:val="doub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  <w:insideH w:val="nil"/>
          <w:insideV w:color="000000" w:space="0" w:sz="8" w:themeColor="text1" w:val="single"/>
        </w:tcBorders>
      </w:tcPr>
    </w:tblStylePr>
    <w:tblStylePr w:type="firstCol">
      <w:rPr>
        <w:rFonts w:asciiTheme="majorHAnsi" w:cstheme="majorBidi" w:eastAsiaTheme="majorEastAsia" w:hAnsiTheme="majorHAnsi"/>
        <w:b/>
        <w:bCs/>
      </w:rPr>
    </w:tblStylePr>
    <w:tblStylePr w:type="lastCol">
      <w:rPr>
        <w:rFonts w:asciiTheme="majorHAnsi" w:cstheme="majorBidi" w:eastAsiaTheme="majorEastAsia" w:hAnsiTheme="majorHAnsi"/>
        <w:b/>
        <w:bCs/>
      </w:rPr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</w:tcPr>
    </w:tblStylePr>
    <w:tblStylePr w:type="band1Vert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  <w:shd w:color="auto" w:fill="C0C0C0" w:themeFill="text1" w:themeFillTint="3F" w:val="clear"/>
      </w:tcPr>
    </w:tblStylePr>
    <w:tblStylePr w:type="band1Horz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  <w:insideV w:color="000000" w:space="0" w:sz="8" w:themeColor="text1" w:val="single"/>
        </w:tcBorders>
        <w:shd w:color="auto" w:fill="C0C0C0" w:themeFill="text1" w:themeFillTint="3F" w:val="clear"/>
      </w:tcPr>
    </w:tblStylePr>
    <w:tblStylePr w:type="band2Horz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  <w:insideV w:color="000000" w:space="0" w:sz="8" w:themeColor="text1" w:val="single"/>
        </w:tcBorders>
      </w:tcPr>
    </w:tblStylePr>
  </w:style>
  <w:style w:styleId="-11" w:type="table">
    <w:name w:val="Light Grid Accent 1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color="4F81BD" w:space="0" w:sz="8" w:themeColor="accent1" w:val="single"/>
        <w:left w:color="4F81BD" w:space="0" w:sz="8" w:themeColor="accent1" w:val="single"/>
        <w:bottom w:color="4F81BD" w:space="0" w:sz="8" w:themeColor="accent1" w:val="single"/>
        <w:right w:color="4F81BD" w:space="0" w:sz="8" w:themeColor="accent1" w:val="single"/>
        <w:insideH w:color="4F81BD" w:space="0" w:sz="8" w:themeColor="accent1" w:val="single"/>
        <w:insideV w:color="4F81BD" w:space="0" w:sz="8" w:themeColor="accent1" w:val="single"/>
      </w:tblBorders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18" w:themeColor="accent1" w:val="single"/>
          <w:right w:color="4F81BD" w:space="0" w:sz="8" w:themeColor="accent1" w:val="single"/>
          <w:insideH w:val="nil"/>
          <w:insideV w:color="4F81BD" w:space="0" w:sz="8" w:themeColor="accent1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4F81BD" w:space="0" w:sz="6" w:themeColor="accent1" w:val="doub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  <w:insideH w:val="nil"/>
          <w:insideV w:color="4F81BD" w:space="0" w:sz="8" w:themeColor="accent1" w:val="single"/>
        </w:tcBorders>
      </w:tcPr>
    </w:tblStylePr>
    <w:tblStylePr w:type="firstCol">
      <w:rPr>
        <w:rFonts w:asciiTheme="majorHAnsi" w:cstheme="majorBidi" w:eastAsiaTheme="majorEastAsia" w:hAnsiTheme="majorHAnsi"/>
        <w:b/>
        <w:bCs/>
      </w:rPr>
    </w:tblStylePr>
    <w:tblStylePr w:type="lastCol">
      <w:rPr>
        <w:rFonts w:asciiTheme="majorHAnsi" w:cstheme="majorBidi" w:eastAsiaTheme="majorEastAsia" w:hAnsiTheme="majorHAnsi"/>
        <w:b/>
        <w:bCs/>
      </w:rPr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</w:tcPr>
    </w:tblStylePr>
    <w:tblStylePr w:type="band1Vert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  <w:shd w:color="auto" w:fill="D3DFEE" w:themeFill="accent1" w:themeFillTint="3F" w:val="clear"/>
      </w:tcPr>
    </w:tblStylePr>
    <w:tblStylePr w:type="band1Horz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  <w:insideV w:color="4F81BD" w:space="0" w:sz="8" w:themeColor="accent1" w:val="single"/>
        </w:tcBorders>
        <w:shd w:color="auto" w:fill="D3DFEE" w:themeFill="accent1" w:themeFillTint="3F" w:val="clear"/>
      </w:tcPr>
    </w:tblStylePr>
    <w:tblStylePr w:type="band2Horz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  <w:insideV w:color="4F81BD" w:space="0" w:sz="8" w:themeColor="accent1" w:val="single"/>
        </w:tcBorders>
      </w:tcPr>
    </w:tblStylePr>
  </w:style>
  <w:style w:styleId="-21" w:type="table">
    <w:name w:val="Light Grid Accent 2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color="C0504D" w:space="0" w:sz="8" w:themeColor="accent2" w:val="single"/>
        <w:left w:color="C0504D" w:space="0" w:sz="8" w:themeColor="accent2" w:val="single"/>
        <w:bottom w:color="C0504D" w:space="0" w:sz="8" w:themeColor="accent2" w:val="single"/>
        <w:right w:color="C0504D" w:space="0" w:sz="8" w:themeColor="accent2" w:val="single"/>
        <w:insideH w:color="C0504D" w:space="0" w:sz="8" w:themeColor="accent2" w:val="single"/>
        <w:insideV w:color="C0504D" w:space="0" w:sz="8" w:themeColor="accent2" w:val="single"/>
      </w:tblBorders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18" w:themeColor="accent2" w:val="single"/>
          <w:right w:color="C0504D" w:space="0" w:sz="8" w:themeColor="accent2" w:val="single"/>
          <w:insideH w:val="nil"/>
          <w:insideV w:color="C0504D" w:space="0" w:sz="8" w:themeColor="accent2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C0504D" w:space="0" w:sz="6" w:themeColor="accent2" w:val="doub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  <w:insideH w:val="nil"/>
          <w:insideV w:color="C0504D" w:space="0" w:sz="8" w:themeColor="accent2" w:val="single"/>
        </w:tcBorders>
      </w:tcPr>
    </w:tblStylePr>
    <w:tblStylePr w:type="firstCol">
      <w:rPr>
        <w:rFonts w:asciiTheme="majorHAnsi" w:cstheme="majorBidi" w:eastAsiaTheme="majorEastAsia" w:hAnsiTheme="majorHAnsi"/>
        <w:b/>
        <w:bCs/>
      </w:rPr>
    </w:tblStylePr>
    <w:tblStylePr w:type="lastCol">
      <w:rPr>
        <w:rFonts w:asciiTheme="majorHAnsi" w:cstheme="majorBidi" w:eastAsiaTheme="majorEastAsia" w:hAnsiTheme="majorHAnsi"/>
        <w:b/>
        <w:bCs/>
      </w:rPr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</w:tcPr>
    </w:tblStylePr>
    <w:tblStylePr w:type="band1Vert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  <w:shd w:color="auto" w:fill="EFD3D2" w:themeFill="accent2" w:themeFillTint="3F" w:val="clear"/>
      </w:tcPr>
    </w:tblStylePr>
    <w:tblStylePr w:type="band1Horz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  <w:insideV w:color="C0504D" w:space="0" w:sz="8" w:themeColor="accent2" w:val="single"/>
        </w:tcBorders>
        <w:shd w:color="auto" w:fill="EFD3D2" w:themeFill="accent2" w:themeFillTint="3F" w:val="clear"/>
      </w:tcPr>
    </w:tblStylePr>
    <w:tblStylePr w:type="band2Horz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  <w:insideV w:color="C0504D" w:space="0" w:sz="8" w:themeColor="accent2" w:val="single"/>
        </w:tcBorders>
      </w:tcPr>
    </w:tblStylePr>
  </w:style>
  <w:style w:styleId="-31" w:type="table">
    <w:name w:val="Light Grid Accent 3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color="9BBB59" w:space="0" w:sz="8" w:themeColor="accent3" w:val="single"/>
        <w:left w:color="9BBB59" w:space="0" w:sz="8" w:themeColor="accent3" w:val="single"/>
        <w:bottom w:color="9BBB59" w:space="0" w:sz="8" w:themeColor="accent3" w:val="single"/>
        <w:right w:color="9BBB59" w:space="0" w:sz="8" w:themeColor="accent3" w:val="single"/>
        <w:insideH w:color="9BBB59" w:space="0" w:sz="8" w:themeColor="accent3" w:val="single"/>
        <w:insideV w:color="9BBB59" w:space="0" w:sz="8" w:themeColor="accent3" w:val="single"/>
      </w:tblBorders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18" w:themeColor="accent3" w:val="single"/>
          <w:right w:color="9BBB59" w:space="0" w:sz="8" w:themeColor="accent3" w:val="single"/>
          <w:insideH w:val="nil"/>
          <w:insideV w:color="9BBB59" w:space="0" w:sz="8" w:themeColor="accent3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9BBB59" w:space="0" w:sz="6" w:themeColor="accent3" w:val="doub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  <w:insideH w:val="nil"/>
          <w:insideV w:color="9BBB59" w:space="0" w:sz="8" w:themeColor="accent3" w:val="single"/>
        </w:tcBorders>
      </w:tcPr>
    </w:tblStylePr>
    <w:tblStylePr w:type="firstCol">
      <w:rPr>
        <w:rFonts w:asciiTheme="majorHAnsi" w:cstheme="majorBidi" w:eastAsiaTheme="majorEastAsia" w:hAnsiTheme="majorHAnsi"/>
        <w:b/>
        <w:bCs/>
      </w:rPr>
    </w:tblStylePr>
    <w:tblStylePr w:type="lastCol">
      <w:rPr>
        <w:rFonts w:asciiTheme="majorHAnsi" w:cstheme="majorBidi" w:eastAsiaTheme="majorEastAsia" w:hAnsiTheme="majorHAnsi"/>
        <w:b/>
        <w:bCs/>
      </w:rPr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</w:tcPr>
    </w:tblStylePr>
    <w:tblStylePr w:type="band1Vert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  <w:shd w:color="auto" w:fill="E6EED5" w:themeFill="accent3" w:themeFillTint="3F" w:val="clear"/>
      </w:tcPr>
    </w:tblStylePr>
    <w:tblStylePr w:type="band1Horz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  <w:insideV w:color="9BBB59" w:space="0" w:sz="8" w:themeColor="accent3" w:val="single"/>
        </w:tcBorders>
        <w:shd w:color="auto" w:fill="E6EED5" w:themeFill="accent3" w:themeFillTint="3F" w:val="clear"/>
      </w:tcPr>
    </w:tblStylePr>
    <w:tblStylePr w:type="band2Horz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  <w:insideV w:color="9BBB59" w:space="0" w:sz="8" w:themeColor="accent3" w:val="single"/>
        </w:tcBorders>
      </w:tcPr>
    </w:tblStylePr>
  </w:style>
  <w:style w:styleId="-41" w:type="table">
    <w:name w:val="Light Grid Accent 4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color="8064A2" w:space="0" w:sz="8" w:themeColor="accent4" w:val="single"/>
        <w:left w:color="8064A2" w:space="0" w:sz="8" w:themeColor="accent4" w:val="single"/>
        <w:bottom w:color="8064A2" w:space="0" w:sz="8" w:themeColor="accent4" w:val="single"/>
        <w:right w:color="8064A2" w:space="0" w:sz="8" w:themeColor="accent4" w:val="single"/>
        <w:insideH w:color="8064A2" w:space="0" w:sz="8" w:themeColor="accent4" w:val="single"/>
        <w:insideV w:color="8064A2" w:space="0" w:sz="8" w:themeColor="accent4" w:val="single"/>
      </w:tblBorders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18" w:themeColor="accent4" w:val="single"/>
          <w:right w:color="8064A2" w:space="0" w:sz="8" w:themeColor="accent4" w:val="single"/>
          <w:insideH w:val="nil"/>
          <w:insideV w:color="8064A2" w:space="0" w:sz="8" w:themeColor="accent4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8064A2" w:space="0" w:sz="6" w:themeColor="accent4" w:val="doub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  <w:insideH w:val="nil"/>
          <w:insideV w:color="8064A2" w:space="0" w:sz="8" w:themeColor="accent4" w:val="single"/>
        </w:tcBorders>
      </w:tcPr>
    </w:tblStylePr>
    <w:tblStylePr w:type="firstCol">
      <w:rPr>
        <w:rFonts w:asciiTheme="majorHAnsi" w:cstheme="majorBidi" w:eastAsiaTheme="majorEastAsia" w:hAnsiTheme="majorHAnsi"/>
        <w:b/>
        <w:bCs/>
      </w:rPr>
    </w:tblStylePr>
    <w:tblStylePr w:type="lastCol">
      <w:rPr>
        <w:rFonts w:asciiTheme="majorHAnsi" w:cstheme="majorBidi" w:eastAsiaTheme="majorEastAsia" w:hAnsiTheme="majorHAnsi"/>
        <w:b/>
        <w:bCs/>
      </w:rPr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</w:tcPr>
    </w:tblStylePr>
    <w:tblStylePr w:type="band1Vert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  <w:shd w:color="auto" w:fill="DFD8E8" w:themeFill="accent4" w:themeFillTint="3F" w:val="clear"/>
      </w:tcPr>
    </w:tblStylePr>
    <w:tblStylePr w:type="band1Horz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  <w:insideV w:color="8064A2" w:space="0" w:sz="8" w:themeColor="accent4" w:val="single"/>
        </w:tcBorders>
        <w:shd w:color="auto" w:fill="DFD8E8" w:themeFill="accent4" w:themeFillTint="3F" w:val="clear"/>
      </w:tcPr>
    </w:tblStylePr>
    <w:tblStylePr w:type="band2Horz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  <w:insideV w:color="8064A2" w:space="0" w:sz="8" w:themeColor="accent4" w:val="single"/>
        </w:tcBorders>
      </w:tcPr>
    </w:tblStylePr>
  </w:style>
  <w:style w:styleId="-51" w:type="table">
    <w:name w:val="Light Grid Accent 5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color="4BACC6" w:space="0" w:sz="8" w:themeColor="accent5" w:val="single"/>
        <w:left w:color="4BACC6" w:space="0" w:sz="8" w:themeColor="accent5" w:val="single"/>
        <w:bottom w:color="4BACC6" w:space="0" w:sz="8" w:themeColor="accent5" w:val="single"/>
        <w:right w:color="4BACC6" w:space="0" w:sz="8" w:themeColor="accent5" w:val="single"/>
        <w:insideH w:color="4BACC6" w:space="0" w:sz="8" w:themeColor="accent5" w:val="single"/>
        <w:insideV w:color="4BACC6" w:space="0" w:sz="8" w:themeColor="accent5" w:val="single"/>
      </w:tblBorders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18" w:themeColor="accent5" w:val="single"/>
          <w:right w:color="4BACC6" w:space="0" w:sz="8" w:themeColor="accent5" w:val="single"/>
          <w:insideH w:val="nil"/>
          <w:insideV w:color="4BACC6" w:space="0" w:sz="8" w:themeColor="accent5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4BACC6" w:space="0" w:sz="6" w:themeColor="accent5" w:val="doub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  <w:insideH w:val="nil"/>
          <w:insideV w:color="4BACC6" w:space="0" w:sz="8" w:themeColor="accent5" w:val="single"/>
        </w:tcBorders>
      </w:tcPr>
    </w:tblStylePr>
    <w:tblStylePr w:type="firstCol">
      <w:rPr>
        <w:rFonts w:asciiTheme="majorHAnsi" w:cstheme="majorBidi" w:eastAsiaTheme="majorEastAsia" w:hAnsiTheme="majorHAnsi"/>
        <w:b/>
        <w:bCs/>
      </w:rPr>
    </w:tblStylePr>
    <w:tblStylePr w:type="lastCol">
      <w:rPr>
        <w:rFonts w:asciiTheme="majorHAnsi" w:cstheme="majorBidi" w:eastAsiaTheme="majorEastAsia" w:hAnsiTheme="majorHAnsi"/>
        <w:b/>
        <w:bCs/>
      </w:rPr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</w:tcPr>
    </w:tblStylePr>
    <w:tblStylePr w:type="band1Vert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  <w:shd w:color="auto" w:fill="D2EAF1" w:themeFill="accent5" w:themeFillTint="3F" w:val="clear"/>
      </w:tcPr>
    </w:tblStylePr>
    <w:tblStylePr w:type="band1Horz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  <w:insideV w:color="4BACC6" w:space="0" w:sz="8" w:themeColor="accent5" w:val="single"/>
        </w:tcBorders>
        <w:shd w:color="auto" w:fill="D2EAF1" w:themeFill="accent5" w:themeFillTint="3F" w:val="clear"/>
      </w:tcPr>
    </w:tblStylePr>
    <w:tblStylePr w:type="band2Horz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  <w:insideV w:color="4BACC6" w:space="0" w:sz="8" w:themeColor="accent5" w:val="single"/>
        </w:tcBorders>
      </w:tcPr>
    </w:tblStylePr>
  </w:style>
  <w:style w:styleId="-61" w:type="table">
    <w:name w:val="Light Grid Accent 6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color="F79646" w:space="0" w:sz="8" w:themeColor="accent6" w:val="single"/>
        <w:left w:color="F79646" w:space="0" w:sz="8" w:themeColor="accent6" w:val="single"/>
        <w:bottom w:color="F79646" w:space="0" w:sz="8" w:themeColor="accent6" w:val="single"/>
        <w:right w:color="F79646" w:space="0" w:sz="8" w:themeColor="accent6" w:val="single"/>
        <w:insideH w:color="F79646" w:space="0" w:sz="8" w:themeColor="accent6" w:val="single"/>
        <w:insideV w:color="F79646" w:space="0" w:sz="8" w:themeColor="accent6" w:val="single"/>
      </w:tblBorders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18" w:themeColor="accent6" w:val="single"/>
          <w:right w:color="F79646" w:space="0" w:sz="8" w:themeColor="accent6" w:val="single"/>
          <w:insideH w:val="nil"/>
          <w:insideV w:color="F79646" w:space="0" w:sz="8" w:themeColor="accent6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F79646" w:space="0" w:sz="6" w:themeColor="accent6" w:val="doub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  <w:insideH w:val="nil"/>
          <w:insideV w:color="F79646" w:space="0" w:sz="8" w:themeColor="accent6" w:val="single"/>
        </w:tcBorders>
      </w:tcPr>
    </w:tblStylePr>
    <w:tblStylePr w:type="firstCol">
      <w:rPr>
        <w:rFonts w:asciiTheme="majorHAnsi" w:cstheme="majorBidi" w:eastAsiaTheme="majorEastAsia" w:hAnsiTheme="majorHAnsi"/>
        <w:b/>
        <w:bCs/>
      </w:rPr>
    </w:tblStylePr>
    <w:tblStylePr w:type="lastCol">
      <w:rPr>
        <w:rFonts w:asciiTheme="majorHAnsi" w:cstheme="majorBidi" w:eastAsiaTheme="majorEastAsia" w:hAnsiTheme="majorHAnsi"/>
        <w:b/>
        <w:bCs/>
      </w:rPr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</w:tcPr>
    </w:tblStylePr>
    <w:tblStylePr w:type="band1Vert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  <w:shd w:color="auto" w:fill="FDE4D0" w:themeFill="accent6" w:themeFillTint="3F" w:val="clear"/>
      </w:tcPr>
    </w:tblStylePr>
    <w:tblStylePr w:type="band1Horz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  <w:insideV w:color="F79646" w:space="0" w:sz="8" w:themeColor="accent6" w:val="single"/>
        </w:tcBorders>
        <w:shd w:color="auto" w:fill="FDE4D0" w:themeFill="accent6" w:themeFillTint="3F" w:val="clear"/>
      </w:tcPr>
    </w:tblStylePr>
    <w:tblStylePr w:type="band2Horz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  <w:insideV w:color="F79646" w:space="0" w:sz="8" w:themeColor="accent6" w:val="single"/>
        </w:tcBorders>
      </w:tcPr>
    </w:tblStylePr>
  </w:style>
  <w:style w:styleId="11" w:type="table">
    <w:name w:val="Medium Shading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color="404040" w:space="0" w:sz="8" w:themeColor="text1" w:themeTint="BF" w:val="single"/>
        <w:left w:color="404040" w:space="0" w:sz="8" w:themeColor="text1" w:themeTint="BF" w:val="single"/>
        <w:bottom w:color="404040" w:space="0" w:sz="8" w:themeColor="text1" w:themeTint="BF" w:val="single"/>
        <w:right w:color="404040" w:space="0" w:sz="8" w:themeColor="text1" w:themeTint="BF" w:val="single"/>
        <w:insideH w:color="404040" w:space="0" w:sz="8" w:themeColor="text1" w:themeTint="BF" w:val="single"/>
      </w:tblBorders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404040" w:space="0" w:sz="8" w:themeColor="text1" w:themeTint="BF" w:val="single"/>
          <w:left w:color="404040" w:space="0" w:sz="8" w:themeColor="text1" w:themeTint="BF" w:val="single"/>
          <w:bottom w:color="404040" w:space="0" w:sz="8" w:themeColor="text1" w:themeTint="BF" w:val="single"/>
          <w:right w:color="404040" w:space="0" w:sz="8" w:themeColor="text1" w:themeTint="BF" w:val="single"/>
          <w:insideH w:val="nil"/>
          <w:insideV w:val="nil"/>
        </w:tcBorders>
        <w:shd w:color="auto" w:fill="000000" w:themeFill="text1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404040" w:space="0" w:sz="6" w:themeColor="text1" w:themeTint="BF" w:val="double"/>
          <w:left w:color="404040" w:space="0" w:sz="8" w:themeColor="text1" w:themeTint="BF" w:val="single"/>
          <w:bottom w:color="404040" w:space="0" w:sz="8" w:themeColor="text1" w:themeTint="BF" w:val="single"/>
          <w:right w:color="404040" w:space="0" w:sz="8" w:themeColor="text1" w:themeTint="BF" w:val="single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C0C0C0" w:themeFill="text1" w:themeFillTint="3F" w:val="clear"/>
      </w:tcPr>
    </w:tblStylePr>
    <w:tblStylePr w:type="band1Horz">
      <w:tblPr/>
      <w:tcPr>
        <w:tcBorders>
          <w:insideH w:val="nil"/>
          <w:insideV w:val="nil"/>
        </w:tcBorders>
        <w:shd w:color="auto" w:fill="C0C0C0" w:themeFill="text1" w:themeFillTint="3F" w:val="clear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styleId="1-1" w:type="table">
    <w:name w:val="Medium Shading 1 Accent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color="7BA0CD" w:space="0" w:sz="8" w:themeColor="accent1" w:themeTint="BF" w:val="single"/>
        <w:left w:color="7BA0CD" w:space="0" w:sz="8" w:themeColor="accent1" w:themeTint="BF" w:val="single"/>
        <w:bottom w:color="7BA0CD" w:space="0" w:sz="8" w:themeColor="accent1" w:themeTint="BF" w:val="single"/>
        <w:right w:color="7BA0CD" w:space="0" w:sz="8" w:themeColor="accent1" w:themeTint="BF" w:val="single"/>
        <w:insideH w:color="7BA0CD" w:space="0" w:sz="8" w:themeColor="accent1" w:themeTint="BF" w:val="single"/>
      </w:tblBorders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7BA0CD" w:space="0" w:sz="8" w:themeColor="accent1" w:themeTint="BF" w:val="single"/>
          <w:left w:color="7BA0CD" w:space="0" w:sz="8" w:themeColor="accent1" w:themeTint="BF" w:val="single"/>
          <w:bottom w:color="7BA0CD" w:space="0" w:sz="8" w:themeColor="accent1" w:themeTint="BF" w:val="single"/>
          <w:right w:color="7BA0CD" w:space="0" w:sz="8" w:themeColor="accent1" w:themeTint="BF" w:val="single"/>
          <w:insideH w:val="nil"/>
          <w:insideV w:val="nil"/>
        </w:tcBorders>
        <w:shd w:color="auto" w:fill="4F81BD" w:themeFill="accent1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7BA0CD" w:space="0" w:sz="6" w:themeColor="accent1" w:themeTint="BF" w:val="double"/>
          <w:left w:color="7BA0CD" w:space="0" w:sz="8" w:themeColor="accent1" w:themeTint="BF" w:val="single"/>
          <w:bottom w:color="7BA0CD" w:space="0" w:sz="8" w:themeColor="accent1" w:themeTint="BF" w:val="single"/>
          <w:right w:color="7BA0CD" w:space="0" w:sz="8" w:themeColor="accent1" w:themeTint="BF" w:val="single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D3DFEE" w:themeFill="accent1" w:themeFillTint="3F" w:val="clear"/>
      </w:tcPr>
    </w:tblStylePr>
    <w:tblStylePr w:type="band1Horz">
      <w:tblPr/>
      <w:tcPr>
        <w:tcBorders>
          <w:insideH w:val="nil"/>
          <w:insideV w:val="nil"/>
        </w:tcBorders>
        <w:shd w:color="auto" w:fill="D3DFEE" w:themeFill="accent1" w:themeFillTint="3F" w:val="clear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styleId="1-2" w:type="table">
    <w:name w:val="Medium Shading 1 Accent 2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color="CF7B79" w:space="0" w:sz="8" w:themeColor="accent2" w:themeTint="BF" w:val="single"/>
        <w:left w:color="CF7B79" w:space="0" w:sz="8" w:themeColor="accent2" w:themeTint="BF" w:val="single"/>
        <w:bottom w:color="CF7B79" w:space="0" w:sz="8" w:themeColor="accent2" w:themeTint="BF" w:val="single"/>
        <w:right w:color="CF7B79" w:space="0" w:sz="8" w:themeColor="accent2" w:themeTint="BF" w:val="single"/>
        <w:insideH w:color="CF7B79" w:space="0" w:sz="8" w:themeColor="accent2" w:themeTint="BF" w:val="single"/>
      </w:tblBorders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CF7B79" w:space="0" w:sz="8" w:themeColor="accent2" w:themeTint="BF" w:val="single"/>
          <w:left w:color="CF7B79" w:space="0" w:sz="8" w:themeColor="accent2" w:themeTint="BF" w:val="single"/>
          <w:bottom w:color="CF7B79" w:space="0" w:sz="8" w:themeColor="accent2" w:themeTint="BF" w:val="single"/>
          <w:right w:color="CF7B79" w:space="0" w:sz="8" w:themeColor="accent2" w:themeTint="BF" w:val="single"/>
          <w:insideH w:val="nil"/>
          <w:insideV w:val="nil"/>
        </w:tcBorders>
        <w:shd w:color="auto" w:fill="C0504D" w:themeFill="accent2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CF7B79" w:space="0" w:sz="6" w:themeColor="accent2" w:themeTint="BF" w:val="double"/>
          <w:left w:color="CF7B79" w:space="0" w:sz="8" w:themeColor="accent2" w:themeTint="BF" w:val="single"/>
          <w:bottom w:color="CF7B79" w:space="0" w:sz="8" w:themeColor="accent2" w:themeTint="BF" w:val="single"/>
          <w:right w:color="CF7B79" w:space="0" w:sz="8" w:themeColor="accent2" w:themeTint="BF" w:val="single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EFD3D2" w:themeFill="accent2" w:themeFillTint="3F" w:val="clear"/>
      </w:tcPr>
    </w:tblStylePr>
    <w:tblStylePr w:type="band1Horz">
      <w:tblPr/>
      <w:tcPr>
        <w:tcBorders>
          <w:insideH w:val="nil"/>
          <w:insideV w:val="nil"/>
        </w:tcBorders>
        <w:shd w:color="auto" w:fill="EFD3D2" w:themeFill="accent2" w:themeFillTint="3F" w:val="clear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styleId="1-3" w:type="table">
    <w:name w:val="Medium Shading 1 Accent 3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color="B3CC82" w:space="0" w:sz="8" w:themeColor="accent3" w:themeTint="BF" w:val="single"/>
        <w:left w:color="B3CC82" w:space="0" w:sz="8" w:themeColor="accent3" w:themeTint="BF" w:val="single"/>
        <w:bottom w:color="B3CC82" w:space="0" w:sz="8" w:themeColor="accent3" w:themeTint="BF" w:val="single"/>
        <w:right w:color="B3CC82" w:space="0" w:sz="8" w:themeColor="accent3" w:themeTint="BF" w:val="single"/>
        <w:insideH w:color="B3CC82" w:space="0" w:sz="8" w:themeColor="accent3" w:themeTint="BF" w:val="single"/>
      </w:tblBorders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B3CC82" w:space="0" w:sz="8" w:themeColor="accent3" w:themeTint="BF" w:val="single"/>
          <w:left w:color="B3CC82" w:space="0" w:sz="8" w:themeColor="accent3" w:themeTint="BF" w:val="single"/>
          <w:bottom w:color="B3CC82" w:space="0" w:sz="8" w:themeColor="accent3" w:themeTint="BF" w:val="single"/>
          <w:right w:color="B3CC82" w:space="0" w:sz="8" w:themeColor="accent3" w:themeTint="BF" w:val="single"/>
          <w:insideH w:val="nil"/>
          <w:insideV w:val="nil"/>
        </w:tcBorders>
        <w:shd w:color="auto" w:fill="9BBB59" w:themeFill="accent3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B3CC82" w:space="0" w:sz="6" w:themeColor="accent3" w:themeTint="BF" w:val="double"/>
          <w:left w:color="B3CC82" w:space="0" w:sz="8" w:themeColor="accent3" w:themeTint="BF" w:val="single"/>
          <w:bottom w:color="B3CC82" w:space="0" w:sz="8" w:themeColor="accent3" w:themeTint="BF" w:val="single"/>
          <w:right w:color="B3CC82" w:space="0" w:sz="8" w:themeColor="accent3" w:themeTint="BF" w:val="single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E6EED5" w:themeFill="accent3" w:themeFillTint="3F" w:val="clear"/>
      </w:tcPr>
    </w:tblStylePr>
    <w:tblStylePr w:type="band1Horz">
      <w:tblPr/>
      <w:tcPr>
        <w:tcBorders>
          <w:insideH w:val="nil"/>
          <w:insideV w:val="nil"/>
        </w:tcBorders>
        <w:shd w:color="auto" w:fill="E6EED5" w:themeFill="accent3" w:themeFillTint="3F" w:val="clear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styleId="1-4" w:type="table">
    <w:name w:val="Medium Shading 1 Accent 4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color="9F8AB9" w:space="0" w:sz="8" w:themeColor="accent4" w:themeTint="BF" w:val="single"/>
        <w:left w:color="9F8AB9" w:space="0" w:sz="8" w:themeColor="accent4" w:themeTint="BF" w:val="single"/>
        <w:bottom w:color="9F8AB9" w:space="0" w:sz="8" w:themeColor="accent4" w:themeTint="BF" w:val="single"/>
        <w:right w:color="9F8AB9" w:space="0" w:sz="8" w:themeColor="accent4" w:themeTint="BF" w:val="single"/>
        <w:insideH w:color="9F8AB9" w:space="0" w:sz="8" w:themeColor="accent4" w:themeTint="BF" w:val="single"/>
      </w:tblBorders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9F8AB9" w:space="0" w:sz="8" w:themeColor="accent4" w:themeTint="BF" w:val="single"/>
          <w:left w:color="9F8AB9" w:space="0" w:sz="8" w:themeColor="accent4" w:themeTint="BF" w:val="single"/>
          <w:bottom w:color="9F8AB9" w:space="0" w:sz="8" w:themeColor="accent4" w:themeTint="BF" w:val="single"/>
          <w:right w:color="9F8AB9" w:space="0" w:sz="8" w:themeColor="accent4" w:themeTint="BF" w:val="single"/>
          <w:insideH w:val="nil"/>
          <w:insideV w:val="nil"/>
        </w:tcBorders>
        <w:shd w:color="auto" w:fill="8064A2" w:themeFill="accent4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9F8AB9" w:space="0" w:sz="6" w:themeColor="accent4" w:themeTint="BF" w:val="double"/>
          <w:left w:color="9F8AB9" w:space="0" w:sz="8" w:themeColor="accent4" w:themeTint="BF" w:val="single"/>
          <w:bottom w:color="9F8AB9" w:space="0" w:sz="8" w:themeColor="accent4" w:themeTint="BF" w:val="single"/>
          <w:right w:color="9F8AB9" w:space="0" w:sz="8" w:themeColor="accent4" w:themeTint="BF" w:val="single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DFD8E8" w:themeFill="accent4" w:themeFillTint="3F" w:val="clear"/>
      </w:tcPr>
    </w:tblStylePr>
    <w:tblStylePr w:type="band1Horz">
      <w:tblPr/>
      <w:tcPr>
        <w:tcBorders>
          <w:insideH w:val="nil"/>
          <w:insideV w:val="nil"/>
        </w:tcBorders>
        <w:shd w:color="auto" w:fill="DFD8E8" w:themeFill="accent4" w:themeFillTint="3F" w:val="clear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styleId="1-5" w:type="table">
    <w:name w:val="Medium Shading 1 Accent 5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color="78C0D4" w:space="0" w:sz="8" w:themeColor="accent5" w:themeTint="BF" w:val="single"/>
        <w:left w:color="78C0D4" w:space="0" w:sz="8" w:themeColor="accent5" w:themeTint="BF" w:val="single"/>
        <w:bottom w:color="78C0D4" w:space="0" w:sz="8" w:themeColor="accent5" w:themeTint="BF" w:val="single"/>
        <w:right w:color="78C0D4" w:space="0" w:sz="8" w:themeColor="accent5" w:themeTint="BF" w:val="single"/>
        <w:insideH w:color="78C0D4" w:space="0" w:sz="8" w:themeColor="accent5" w:themeTint="BF" w:val="single"/>
      </w:tblBorders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78C0D4" w:space="0" w:sz="8" w:themeColor="accent5" w:themeTint="BF" w:val="single"/>
          <w:left w:color="78C0D4" w:space="0" w:sz="8" w:themeColor="accent5" w:themeTint="BF" w:val="single"/>
          <w:bottom w:color="78C0D4" w:space="0" w:sz="8" w:themeColor="accent5" w:themeTint="BF" w:val="single"/>
          <w:right w:color="78C0D4" w:space="0" w:sz="8" w:themeColor="accent5" w:themeTint="BF" w:val="single"/>
          <w:insideH w:val="nil"/>
          <w:insideV w:val="nil"/>
        </w:tcBorders>
        <w:shd w:color="auto" w:fill="4BACC6" w:themeFill="accent5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78C0D4" w:space="0" w:sz="6" w:themeColor="accent5" w:themeTint="BF" w:val="double"/>
          <w:left w:color="78C0D4" w:space="0" w:sz="8" w:themeColor="accent5" w:themeTint="BF" w:val="single"/>
          <w:bottom w:color="78C0D4" w:space="0" w:sz="8" w:themeColor="accent5" w:themeTint="BF" w:val="single"/>
          <w:right w:color="78C0D4" w:space="0" w:sz="8" w:themeColor="accent5" w:themeTint="BF" w:val="single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D2EAF1" w:themeFill="accent5" w:themeFillTint="3F" w:val="clear"/>
      </w:tcPr>
    </w:tblStylePr>
    <w:tblStylePr w:type="band1Horz">
      <w:tblPr/>
      <w:tcPr>
        <w:tcBorders>
          <w:insideH w:val="nil"/>
          <w:insideV w:val="nil"/>
        </w:tcBorders>
        <w:shd w:color="auto" w:fill="D2EAF1" w:themeFill="accent5" w:themeFillTint="3F" w:val="clear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styleId="1-6" w:type="table">
    <w:name w:val="Medium Shading 1 Accent 6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color="F9B074" w:space="0" w:sz="8" w:themeColor="accent6" w:themeTint="BF" w:val="single"/>
        <w:left w:color="F9B074" w:space="0" w:sz="8" w:themeColor="accent6" w:themeTint="BF" w:val="single"/>
        <w:bottom w:color="F9B074" w:space="0" w:sz="8" w:themeColor="accent6" w:themeTint="BF" w:val="single"/>
        <w:right w:color="F9B074" w:space="0" w:sz="8" w:themeColor="accent6" w:themeTint="BF" w:val="single"/>
        <w:insideH w:color="F9B074" w:space="0" w:sz="8" w:themeColor="accent6" w:themeTint="BF" w:val="single"/>
      </w:tblBorders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F9B074" w:space="0" w:sz="8" w:themeColor="accent6" w:themeTint="BF" w:val="single"/>
          <w:left w:color="F9B074" w:space="0" w:sz="8" w:themeColor="accent6" w:themeTint="BF" w:val="single"/>
          <w:bottom w:color="F9B074" w:space="0" w:sz="8" w:themeColor="accent6" w:themeTint="BF" w:val="single"/>
          <w:right w:color="F9B074" w:space="0" w:sz="8" w:themeColor="accent6" w:themeTint="BF" w:val="single"/>
          <w:insideH w:val="nil"/>
          <w:insideV w:val="nil"/>
        </w:tcBorders>
        <w:shd w:color="auto" w:fill="F79646" w:themeFill="accent6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F9B074" w:space="0" w:sz="6" w:themeColor="accent6" w:themeTint="BF" w:val="double"/>
          <w:left w:color="F9B074" w:space="0" w:sz="8" w:themeColor="accent6" w:themeTint="BF" w:val="single"/>
          <w:bottom w:color="F9B074" w:space="0" w:sz="8" w:themeColor="accent6" w:themeTint="BF" w:val="single"/>
          <w:right w:color="F9B074" w:space="0" w:sz="8" w:themeColor="accent6" w:themeTint="BF" w:val="single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FDE4D0" w:themeFill="accent6" w:themeFillTint="3F" w:val="clear"/>
      </w:tcPr>
    </w:tblStylePr>
    <w:tblStylePr w:type="band1Horz">
      <w:tblPr/>
      <w:tcPr>
        <w:tcBorders>
          <w:insideH w:val="nil"/>
          <w:insideV w:val="nil"/>
        </w:tcBorders>
        <w:shd w:color="auto" w:fill="FDE4D0" w:themeFill="accent6" w:themeFillTint="3F" w:val="clear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styleId="29" w:type="table">
    <w:name w:val="Medium Shading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color="auto" w:space="0" w:sz="18" w:val="single"/>
        <w:bottom w:color="auto" w:space="0" w:sz="18" w:val="single"/>
      </w:tblBorders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val="nil"/>
          <w:bottom w:color="auto" w:space="0" w:sz="18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background1" w:val="FFFFFF"/>
      </w:rPr>
      <w:tblPr/>
      <w:tcPr>
        <w:tcBorders>
          <w:top w:val="nil"/>
          <w:left w:val="nil"/>
          <w:bottom w:color="auto" w:space="0" w:sz="18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Col">
      <w:rPr>
        <w:b/>
        <w:bCs/>
        <w:color w:themeColor="background1" w:val="FFFFFF"/>
      </w:rPr>
      <w:tblPr/>
      <w:tcPr>
        <w:tcBorders>
          <w:left w:val="nil"/>
          <w:right w:val="nil"/>
          <w:insideH w:val="nil"/>
          <w:insideV w:val="nil"/>
        </w:tcBorders>
        <w:shd w:color="auto" w:fill="000000" w:themeFill="text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8D8D8" w:themeFill="background1" w:themeFillShade="D8" w:val="clear"/>
      </w:tcPr>
    </w:tblStylePr>
    <w:tblStylePr w:type="band1Horz">
      <w:tblPr/>
      <w:tcPr>
        <w:shd w:color="auto" w:fill="D8D8D8" w:themeFill="background1" w:themeFillShade="D8" w:val="clear"/>
      </w:tcPr>
    </w:tblStylePr>
    <w:tblStylePr w:type="neCell"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  <w:tblStylePr w:type="nwCell">
      <w:rPr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</w:style>
  <w:style w:styleId="2-1" w:type="table">
    <w:name w:val="Medium Shading 2 Accent 1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color="auto" w:space="0" w:sz="18" w:val="single"/>
        <w:bottom w:color="auto" w:space="0" w:sz="18" w:val="single"/>
      </w:tblBorders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  <w:shd w:color="auto" w:fill="4F81BD" w:themeFill="accent1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val="nil"/>
          <w:bottom w:color="auto" w:space="0" w:sz="18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background1" w:val="FFFFFF"/>
      </w:rPr>
      <w:tblPr/>
      <w:tcPr>
        <w:tcBorders>
          <w:top w:val="nil"/>
          <w:left w:val="nil"/>
          <w:bottom w:color="auto" w:space="0" w:sz="18" w:val="single"/>
          <w:right w:val="nil"/>
          <w:insideH w:val="nil"/>
          <w:insideV w:val="nil"/>
        </w:tcBorders>
        <w:shd w:color="auto" w:fill="4F81BD" w:themeFill="accent1" w:val="clear"/>
      </w:tcPr>
    </w:tblStylePr>
    <w:tblStylePr w:type="lastCol">
      <w:rPr>
        <w:b/>
        <w:bCs/>
        <w:color w:themeColor="background1" w:val="FFFFFF"/>
      </w:rPr>
      <w:tblPr/>
      <w:tcPr>
        <w:tcBorders>
          <w:left w:val="nil"/>
          <w:right w:val="nil"/>
          <w:insideH w:val="nil"/>
          <w:insideV w:val="nil"/>
        </w:tcBorders>
        <w:shd w:color="auto" w:fill="4F81BD" w:themeFill="accent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8D8D8" w:themeFill="background1" w:themeFillShade="D8" w:val="clear"/>
      </w:tcPr>
    </w:tblStylePr>
    <w:tblStylePr w:type="band1Horz">
      <w:tblPr/>
      <w:tcPr>
        <w:shd w:color="auto" w:fill="D8D8D8" w:themeFill="background1" w:themeFillShade="D8" w:val="clear"/>
      </w:tcPr>
    </w:tblStylePr>
    <w:tblStylePr w:type="neCell"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  <w:tblStylePr w:type="nwCell">
      <w:rPr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</w:style>
  <w:style w:styleId="2-2" w:type="table">
    <w:name w:val="Medium Shading 2 Accent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color="auto" w:space="0" w:sz="18" w:val="single"/>
        <w:bottom w:color="auto" w:space="0" w:sz="18" w:val="single"/>
      </w:tblBorders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  <w:shd w:color="auto" w:fill="C0504D" w:themeFill="accent2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val="nil"/>
          <w:bottom w:color="auto" w:space="0" w:sz="18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background1" w:val="FFFFFF"/>
      </w:rPr>
      <w:tblPr/>
      <w:tcPr>
        <w:tcBorders>
          <w:top w:val="nil"/>
          <w:left w:val="nil"/>
          <w:bottom w:color="auto" w:space="0" w:sz="18" w:val="single"/>
          <w:right w:val="nil"/>
          <w:insideH w:val="nil"/>
          <w:insideV w:val="nil"/>
        </w:tcBorders>
        <w:shd w:color="auto" w:fill="C0504D" w:themeFill="accent2" w:val="clear"/>
      </w:tcPr>
    </w:tblStylePr>
    <w:tblStylePr w:type="lastCol">
      <w:rPr>
        <w:b/>
        <w:bCs/>
        <w:color w:themeColor="background1" w:val="FFFFFF"/>
      </w:rPr>
      <w:tblPr/>
      <w:tcPr>
        <w:tcBorders>
          <w:left w:val="nil"/>
          <w:right w:val="nil"/>
          <w:insideH w:val="nil"/>
          <w:insideV w:val="nil"/>
        </w:tcBorders>
        <w:shd w:color="auto" w:fill="C0504D" w:themeFill="accent2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8D8D8" w:themeFill="background1" w:themeFillShade="D8" w:val="clear"/>
      </w:tcPr>
    </w:tblStylePr>
    <w:tblStylePr w:type="band1Horz">
      <w:tblPr/>
      <w:tcPr>
        <w:shd w:color="auto" w:fill="D8D8D8" w:themeFill="background1" w:themeFillShade="D8" w:val="clear"/>
      </w:tcPr>
    </w:tblStylePr>
    <w:tblStylePr w:type="neCell"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  <w:tblStylePr w:type="nwCell">
      <w:rPr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</w:style>
  <w:style w:styleId="2-3" w:type="table">
    <w:name w:val="Medium Shading 2 Accent 3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color="auto" w:space="0" w:sz="18" w:val="single"/>
        <w:bottom w:color="auto" w:space="0" w:sz="18" w:val="single"/>
      </w:tblBorders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  <w:shd w:color="auto" w:fill="9BBB59" w:themeFill="accent3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val="nil"/>
          <w:bottom w:color="auto" w:space="0" w:sz="18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background1" w:val="FFFFFF"/>
      </w:rPr>
      <w:tblPr/>
      <w:tcPr>
        <w:tcBorders>
          <w:top w:val="nil"/>
          <w:left w:val="nil"/>
          <w:bottom w:color="auto" w:space="0" w:sz="18" w:val="single"/>
          <w:right w:val="nil"/>
          <w:insideH w:val="nil"/>
          <w:insideV w:val="nil"/>
        </w:tcBorders>
        <w:shd w:color="auto" w:fill="9BBB59" w:themeFill="accent3" w:val="clear"/>
      </w:tcPr>
    </w:tblStylePr>
    <w:tblStylePr w:type="lastCol">
      <w:rPr>
        <w:b/>
        <w:bCs/>
        <w:color w:themeColor="background1" w:val="FFFFFF"/>
      </w:rPr>
      <w:tblPr/>
      <w:tcPr>
        <w:tcBorders>
          <w:left w:val="nil"/>
          <w:right w:val="nil"/>
          <w:insideH w:val="nil"/>
          <w:insideV w:val="nil"/>
        </w:tcBorders>
        <w:shd w:color="auto" w:fill="9BBB59" w:themeFill="accent3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8D8D8" w:themeFill="background1" w:themeFillShade="D8" w:val="clear"/>
      </w:tcPr>
    </w:tblStylePr>
    <w:tblStylePr w:type="band1Horz">
      <w:tblPr/>
      <w:tcPr>
        <w:shd w:color="auto" w:fill="D8D8D8" w:themeFill="background1" w:themeFillShade="D8" w:val="clear"/>
      </w:tcPr>
    </w:tblStylePr>
    <w:tblStylePr w:type="neCell"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  <w:tblStylePr w:type="nwCell">
      <w:rPr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</w:style>
  <w:style w:styleId="2-4" w:type="table">
    <w:name w:val="Medium Shading 2 Accent 4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color="auto" w:space="0" w:sz="18" w:val="single"/>
        <w:bottom w:color="auto" w:space="0" w:sz="18" w:val="single"/>
      </w:tblBorders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  <w:shd w:color="auto" w:fill="8064A2" w:themeFill="accent4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val="nil"/>
          <w:bottom w:color="auto" w:space="0" w:sz="18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background1" w:val="FFFFFF"/>
      </w:rPr>
      <w:tblPr/>
      <w:tcPr>
        <w:tcBorders>
          <w:top w:val="nil"/>
          <w:left w:val="nil"/>
          <w:bottom w:color="auto" w:space="0" w:sz="18" w:val="single"/>
          <w:right w:val="nil"/>
          <w:insideH w:val="nil"/>
          <w:insideV w:val="nil"/>
        </w:tcBorders>
        <w:shd w:color="auto" w:fill="8064A2" w:themeFill="accent4" w:val="clear"/>
      </w:tcPr>
    </w:tblStylePr>
    <w:tblStylePr w:type="lastCol">
      <w:rPr>
        <w:b/>
        <w:bCs/>
        <w:color w:themeColor="background1" w:val="FFFFFF"/>
      </w:rPr>
      <w:tblPr/>
      <w:tcPr>
        <w:tcBorders>
          <w:left w:val="nil"/>
          <w:right w:val="nil"/>
          <w:insideH w:val="nil"/>
          <w:insideV w:val="nil"/>
        </w:tcBorders>
        <w:shd w:color="auto" w:fill="8064A2" w:themeFill="accent4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8D8D8" w:themeFill="background1" w:themeFillShade="D8" w:val="clear"/>
      </w:tcPr>
    </w:tblStylePr>
    <w:tblStylePr w:type="band1Horz">
      <w:tblPr/>
      <w:tcPr>
        <w:shd w:color="auto" w:fill="D8D8D8" w:themeFill="background1" w:themeFillShade="D8" w:val="clear"/>
      </w:tcPr>
    </w:tblStylePr>
    <w:tblStylePr w:type="neCell"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  <w:tblStylePr w:type="nwCell">
      <w:rPr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</w:style>
  <w:style w:styleId="2-5" w:type="table">
    <w:name w:val="Medium Shading 2 Accent 5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color="auto" w:space="0" w:sz="18" w:val="single"/>
        <w:bottom w:color="auto" w:space="0" w:sz="18" w:val="single"/>
      </w:tblBorders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  <w:shd w:color="auto" w:fill="4BACC6" w:themeFill="accent5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val="nil"/>
          <w:bottom w:color="auto" w:space="0" w:sz="18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background1" w:val="FFFFFF"/>
      </w:rPr>
      <w:tblPr/>
      <w:tcPr>
        <w:tcBorders>
          <w:top w:val="nil"/>
          <w:left w:val="nil"/>
          <w:bottom w:color="auto" w:space="0" w:sz="18" w:val="single"/>
          <w:right w:val="nil"/>
          <w:insideH w:val="nil"/>
          <w:insideV w:val="nil"/>
        </w:tcBorders>
        <w:shd w:color="auto" w:fill="4BACC6" w:themeFill="accent5" w:val="clear"/>
      </w:tcPr>
    </w:tblStylePr>
    <w:tblStylePr w:type="lastCol">
      <w:rPr>
        <w:b/>
        <w:bCs/>
        <w:color w:themeColor="background1" w:val="FFFFFF"/>
      </w:rPr>
      <w:tblPr/>
      <w:tcPr>
        <w:tcBorders>
          <w:left w:val="nil"/>
          <w:right w:val="nil"/>
          <w:insideH w:val="nil"/>
          <w:insideV w:val="nil"/>
        </w:tcBorders>
        <w:shd w:color="auto" w:fill="4BACC6" w:themeFill="accent5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8D8D8" w:themeFill="background1" w:themeFillShade="D8" w:val="clear"/>
      </w:tcPr>
    </w:tblStylePr>
    <w:tblStylePr w:type="band1Horz">
      <w:tblPr/>
      <w:tcPr>
        <w:shd w:color="auto" w:fill="D8D8D8" w:themeFill="background1" w:themeFillShade="D8" w:val="clear"/>
      </w:tcPr>
    </w:tblStylePr>
    <w:tblStylePr w:type="neCell"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  <w:tblStylePr w:type="nwCell">
      <w:rPr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</w:style>
  <w:style w:styleId="2-6" w:type="table">
    <w:name w:val="Medium Shading 2 Accent 6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color="auto" w:space="0" w:sz="18" w:val="single"/>
        <w:bottom w:color="auto" w:space="0" w:sz="18" w:val="single"/>
      </w:tblBorders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  <w:shd w:color="auto" w:fill="F79646" w:themeFill="accent6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val="nil"/>
          <w:bottom w:color="auto" w:space="0" w:sz="18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background1" w:val="FFFFFF"/>
      </w:rPr>
      <w:tblPr/>
      <w:tcPr>
        <w:tcBorders>
          <w:top w:val="nil"/>
          <w:left w:val="nil"/>
          <w:bottom w:color="auto" w:space="0" w:sz="18" w:val="single"/>
          <w:right w:val="nil"/>
          <w:insideH w:val="nil"/>
          <w:insideV w:val="nil"/>
        </w:tcBorders>
        <w:shd w:color="auto" w:fill="F79646" w:themeFill="accent6" w:val="clear"/>
      </w:tcPr>
    </w:tblStylePr>
    <w:tblStylePr w:type="lastCol">
      <w:rPr>
        <w:b/>
        <w:bCs/>
        <w:color w:themeColor="background1" w:val="FFFFFF"/>
      </w:rPr>
      <w:tblPr/>
      <w:tcPr>
        <w:tcBorders>
          <w:left w:val="nil"/>
          <w:right w:val="nil"/>
          <w:insideH w:val="nil"/>
          <w:insideV w:val="nil"/>
        </w:tcBorders>
        <w:shd w:color="auto" w:fill="F79646" w:themeFill="accent6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8D8D8" w:themeFill="background1" w:themeFillShade="D8" w:val="clear"/>
      </w:tcPr>
    </w:tblStylePr>
    <w:tblStylePr w:type="band1Horz">
      <w:tblPr/>
      <w:tcPr>
        <w:shd w:color="auto" w:fill="D8D8D8" w:themeFill="background1" w:themeFillShade="D8" w:val="clear"/>
      </w:tcPr>
    </w:tblStylePr>
    <w:tblStylePr w:type="neCell"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  <w:tblStylePr w:type="nwCell">
      <w:rPr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</w:style>
  <w:style w:styleId="12" w:type="table">
    <w:name w:val="Medium List 1"/>
    <w:basedOn w:val="a3"/>
    <w:uiPriority w:val="65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Borders>
        <w:top w:color="000000" w:space="0" w:sz="8" w:themeColor="text1" w:val="single"/>
        <w:bottom w:color="000000" w:space="0" w:sz="8" w:themeColor="text1" w:val="single"/>
      </w:tblBorders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val="nil"/>
          <w:bottom w:color="000000" w:space="0" w:sz="8" w:themeColor="text1" w:val="single"/>
        </w:tcBorders>
      </w:tcPr>
    </w:tblStylePr>
    <w:tblStylePr w:type="lastRow">
      <w:rPr>
        <w:b/>
        <w:bCs/>
        <w:color w:themeColor="text2" w:val="1F497D"/>
      </w:rPr>
      <w:tblPr/>
      <w:tcPr>
        <w:tcBorders>
          <w:top w:color="000000" w:space="0" w:sz="8" w:themeColor="text1" w:val="single"/>
          <w:bottom w:color="000000" w:space="0" w:sz="8" w:themeColor="text1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color="000000" w:space="0" w:sz="8" w:themeColor="text1" w:val="single"/>
          <w:bottom w:color="000000" w:space="0" w:sz="8" w:themeColor="text1" w:val="single"/>
        </w:tcBorders>
      </w:tcPr>
    </w:tblStylePr>
    <w:tblStylePr w:type="band1Vert">
      <w:tblPr/>
      <w:tcPr>
        <w:shd w:color="auto" w:fill="C0C0C0" w:themeFill="text1" w:themeFillTint="3F" w:val="clear"/>
      </w:tcPr>
    </w:tblStylePr>
    <w:tblStylePr w:type="band1Horz">
      <w:tblPr/>
      <w:tcPr>
        <w:shd w:color="auto" w:fill="C0C0C0" w:themeFill="text1" w:themeFillTint="3F" w:val="clear"/>
      </w:tcPr>
    </w:tblStylePr>
  </w:style>
  <w:style w:styleId="1-10" w:type="table">
    <w:name w:val="Medium List 1 Accent 1"/>
    <w:basedOn w:val="a3"/>
    <w:uiPriority w:val="65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Borders>
        <w:top w:color="4F81BD" w:space="0" w:sz="8" w:themeColor="accent1" w:val="single"/>
        <w:bottom w:color="4F81BD" w:space="0" w:sz="8" w:themeColor="accent1" w:val="single"/>
      </w:tblBorders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val="nil"/>
          <w:bottom w:color="4F81BD" w:space="0" w:sz="8" w:themeColor="accent1" w:val="single"/>
        </w:tcBorders>
      </w:tcPr>
    </w:tblStylePr>
    <w:tblStylePr w:type="lastRow">
      <w:rPr>
        <w:b/>
        <w:bCs/>
        <w:color w:themeColor="text2" w:val="1F497D"/>
      </w:rPr>
      <w:tblPr/>
      <w:tcPr>
        <w:tcBorders>
          <w:top w:color="4F81BD" w:space="0" w:sz="8" w:themeColor="accent1" w:val="single"/>
          <w:bottom w:color="4F81BD" w:space="0" w:sz="8" w:themeColor="accent1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color="4F81BD" w:space="0" w:sz="8" w:themeColor="accent1" w:val="single"/>
          <w:bottom w:color="4F81BD" w:space="0" w:sz="8" w:themeColor="accent1" w:val="single"/>
        </w:tcBorders>
      </w:tcPr>
    </w:tblStylePr>
    <w:tblStylePr w:type="band1Vert">
      <w:tblPr/>
      <w:tcPr>
        <w:shd w:color="auto" w:fill="D3DFEE" w:themeFill="accent1" w:themeFillTint="3F" w:val="clear"/>
      </w:tcPr>
    </w:tblStylePr>
    <w:tblStylePr w:type="band1Horz">
      <w:tblPr/>
      <w:tcPr>
        <w:shd w:color="auto" w:fill="D3DFEE" w:themeFill="accent1" w:themeFillTint="3F" w:val="clear"/>
      </w:tcPr>
    </w:tblStylePr>
  </w:style>
  <w:style w:styleId="1-20" w:type="table">
    <w:name w:val="Medium List 1 Accent 2"/>
    <w:basedOn w:val="a3"/>
    <w:uiPriority w:val="65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Borders>
        <w:top w:color="C0504D" w:space="0" w:sz="8" w:themeColor="accent2" w:val="single"/>
        <w:bottom w:color="C0504D" w:space="0" w:sz="8" w:themeColor="accent2" w:val="single"/>
      </w:tblBorders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val="nil"/>
          <w:bottom w:color="C0504D" w:space="0" w:sz="8" w:themeColor="accent2" w:val="single"/>
        </w:tcBorders>
      </w:tcPr>
    </w:tblStylePr>
    <w:tblStylePr w:type="lastRow">
      <w:rPr>
        <w:b/>
        <w:bCs/>
        <w:color w:themeColor="text2" w:val="1F497D"/>
      </w:rPr>
      <w:tblPr/>
      <w:tcPr>
        <w:tcBorders>
          <w:top w:color="C0504D" w:space="0" w:sz="8" w:themeColor="accent2" w:val="single"/>
          <w:bottom w:color="C0504D" w:space="0" w:sz="8" w:themeColor="accent2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color="C0504D" w:space="0" w:sz="8" w:themeColor="accent2" w:val="single"/>
          <w:bottom w:color="C0504D" w:space="0" w:sz="8" w:themeColor="accent2" w:val="single"/>
        </w:tcBorders>
      </w:tcPr>
    </w:tblStylePr>
    <w:tblStylePr w:type="band1Vert">
      <w:tblPr/>
      <w:tcPr>
        <w:shd w:color="auto" w:fill="EFD3D2" w:themeFill="accent2" w:themeFillTint="3F" w:val="clear"/>
      </w:tcPr>
    </w:tblStylePr>
    <w:tblStylePr w:type="band1Horz">
      <w:tblPr/>
      <w:tcPr>
        <w:shd w:color="auto" w:fill="EFD3D2" w:themeFill="accent2" w:themeFillTint="3F" w:val="clear"/>
      </w:tcPr>
    </w:tblStylePr>
  </w:style>
  <w:style w:styleId="1-30" w:type="table">
    <w:name w:val="Medium List 1 Accent 3"/>
    <w:basedOn w:val="a3"/>
    <w:uiPriority w:val="65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Borders>
        <w:top w:color="9BBB59" w:space="0" w:sz="8" w:themeColor="accent3" w:val="single"/>
        <w:bottom w:color="9BBB59" w:space="0" w:sz="8" w:themeColor="accent3" w:val="single"/>
      </w:tblBorders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val="nil"/>
          <w:bottom w:color="9BBB59" w:space="0" w:sz="8" w:themeColor="accent3" w:val="single"/>
        </w:tcBorders>
      </w:tcPr>
    </w:tblStylePr>
    <w:tblStylePr w:type="lastRow">
      <w:rPr>
        <w:b/>
        <w:bCs/>
        <w:color w:themeColor="text2" w:val="1F497D"/>
      </w:rPr>
      <w:tblPr/>
      <w:tcPr>
        <w:tcBorders>
          <w:top w:color="9BBB59" w:space="0" w:sz="8" w:themeColor="accent3" w:val="single"/>
          <w:bottom w:color="9BBB59" w:space="0" w:sz="8" w:themeColor="accent3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color="9BBB59" w:space="0" w:sz="8" w:themeColor="accent3" w:val="single"/>
          <w:bottom w:color="9BBB59" w:space="0" w:sz="8" w:themeColor="accent3" w:val="single"/>
        </w:tcBorders>
      </w:tcPr>
    </w:tblStylePr>
    <w:tblStylePr w:type="band1Vert">
      <w:tblPr/>
      <w:tcPr>
        <w:shd w:color="auto" w:fill="E6EED5" w:themeFill="accent3" w:themeFillTint="3F" w:val="clear"/>
      </w:tcPr>
    </w:tblStylePr>
    <w:tblStylePr w:type="band1Horz">
      <w:tblPr/>
      <w:tcPr>
        <w:shd w:color="auto" w:fill="E6EED5" w:themeFill="accent3" w:themeFillTint="3F" w:val="clear"/>
      </w:tcPr>
    </w:tblStylePr>
  </w:style>
  <w:style w:styleId="1-40" w:type="table">
    <w:name w:val="Medium List 1 Accent 4"/>
    <w:basedOn w:val="a3"/>
    <w:uiPriority w:val="65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Borders>
        <w:top w:color="8064A2" w:space="0" w:sz="8" w:themeColor="accent4" w:val="single"/>
        <w:bottom w:color="8064A2" w:space="0" w:sz="8" w:themeColor="accent4" w:val="single"/>
      </w:tblBorders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val="nil"/>
          <w:bottom w:color="8064A2" w:space="0" w:sz="8" w:themeColor="accent4" w:val="single"/>
        </w:tcBorders>
      </w:tcPr>
    </w:tblStylePr>
    <w:tblStylePr w:type="lastRow">
      <w:rPr>
        <w:b/>
        <w:bCs/>
        <w:color w:themeColor="text2" w:val="1F497D"/>
      </w:rPr>
      <w:tblPr/>
      <w:tcPr>
        <w:tcBorders>
          <w:top w:color="8064A2" w:space="0" w:sz="8" w:themeColor="accent4" w:val="single"/>
          <w:bottom w:color="8064A2" w:space="0" w:sz="8" w:themeColor="accent4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color="8064A2" w:space="0" w:sz="8" w:themeColor="accent4" w:val="single"/>
          <w:bottom w:color="8064A2" w:space="0" w:sz="8" w:themeColor="accent4" w:val="single"/>
        </w:tcBorders>
      </w:tcPr>
    </w:tblStylePr>
    <w:tblStylePr w:type="band1Vert">
      <w:tblPr/>
      <w:tcPr>
        <w:shd w:color="auto" w:fill="DFD8E8" w:themeFill="accent4" w:themeFillTint="3F" w:val="clear"/>
      </w:tcPr>
    </w:tblStylePr>
    <w:tblStylePr w:type="band1Horz">
      <w:tblPr/>
      <w:tcPr>
        <w:shd w:color="auto" w:fill="DFD8E8" w:themeFill="accent4" w:themeFillTint="3F" w:val="clear"/>
      </w:tcPr>
    </w:tblStylePr>
  </w:style>
  <w:style w:styleId="1-50" w:type="table">
    <w:name w:val="Medium List 1 Accent 5"/>
    <w:basedOn w:val="a3"/>
    <w:uiPriority w:val="65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Borders>
        <w:top w:color="4BACC6" w:space="0" w:sz="8" w:themeColor="accent5" w:val="single"/>
        <w:bottom w:color="4BACC6" w:space="0" w:sz="8" w:themeColor="accent5" w:val="single"/>
      </w:tblBorders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val="nil"/>
          <w:bottom w:color="4BACC6" w:space="0" w:sz="8" w:themeColor="accent5" w:val="single"/>
        </w:tcBorders>
      </w:tcPr>
    </w:tblStylePr>
    <w:tblStylePr w:type="lastRow">
      <w:rPr>
        <w:b/>
        <w:bCs/>
        <w:color w:themeColor="text2" w:val="1F497D"/>
      </w:rPr>
      <w:tblPr/>
      <w:tcPr>
        <w:tcBorders>
          <w:top w:color="4BACC6" w:space="0" w:sz="8" w:themeColor="accent5" w:val="single"/>
          <w:bottom w:color="4BACC6" w:space="0" w:sz="8" w:themeColor="accent5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color="4BACC6" w:space="0" w:sz="8" w:themeColor="accent5" w:val="single"/>
          <w:bottom w:color="4BACC6" w:space="0" w:sz="8" w:themeColor="accent5" w:val="single"/>
        </w:tcBorders>
      </w:tcPr>
    </w:tblStylePr>
    <w:tblStylePr w:type="band1Vert">
      <w:tblPr/>
      <w:tcPr>
        <w:shd w:color="auto" w:fill="D2EAF1" w:themeFill="accent5" w:themeFillTint="3F" w:val="clear"/>
      </w:tcPr>
    </w:tblStylePr>
    <w:tblStylePr w:type="band1Horz">
      <w:tblPr/>
      <w:tcPr>
        <w:shd w:color="auto" w:fill="D2EAF1" w:themeFill="accent5" w:themeFillTint="3F" w:val="clear"/>
      </w:tcPr>
    </w:tblStylePr>
  </w:style>
  <w:style w:styleId="1-60" w:type="table">
    <w:name w:val="Medium List 1 Accent 6"/>
    <w:basedOn w:val="a3"/>
    <w:uiPriority w:val="65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Borders>
        <w:top w:color="F79646" w:space="0" w:sz="8" w:themeColor="accent6" w:val="single"/>
        <w:bottom w:color="F79646" w:space="0" w:sz="8" w:themeColor="accent6" w:val="single"/>
      </w:tblBorders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val="nil"/>
          <w:bottom w:color="F79646" w:space="0" w:sz="8" w:themeColor="accent6" w:val="single"/>
        </w:tcBorders>
      </w:tcPr>
    </w:tblStylePr>
    <w:tblStylePr w:type="lastRow">
      <w:rPr>
        <w:b/>
        <w:bCs/>
        <w:color w:themeColor="text2" w:val="1F497D"/>
      </w:rPr>
      <w:tblPr/>
      <w:tcPr>
        <w:tcBorders>
          <w:top w:color="F79646" w:space="0" w:sz="8" w:themeColor="accent6" w:val="single"/>
          <w:bottom w:color="F79646" w:space="0" w:sz="8" w:themeColor="accent6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color="F79646" w:space="0" w:sz="8" w:themeColor="accent6" w:val="single"/>
          <w:bottom w:color="F79646" w:space="0" w:sz="8" w:themeColor="accent6" w:val="single"/>
        </w:tcBorders>
      </w:tcPr>
    </w:tblStylePr>
    <w:tblStylePr w:type="band1Vert">
      <w:tblPr/>
      <w:tcPr>
        <w:shd w:color="auto" w:fill="FDE4D0" w:themeFill="accent6" w:themeFillTint="3F" w:val="clear"/>
      </w:tcPr>
    </w:tblStylePr>
    <w:tblStylePr w:type="band1Horz">
      <w:tblPr/>
      <w:tcPr>
        <w:shd w:color="auto" w:fill="FDE4D0" w:themeFill="accent6" w:themeFillTint="3F" w:val="clear"/>
      </w:tcPr>
    </w:tblStylePr>
  </w:style>
  <w:style w:styleId="2a" w:type="table">
    <w:name w:val="Medium List 2"/>
    <w:basedOn w:val="a3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Borders>
        <w:top w:color="000000" w:space="0" w:sz="8" w:themeColor="text1" w:val="single"/>
        <w:left w:color="000000" w:space="0" w:sz="8" w:themeColor="text1" w:val="single"/>
        <w:bottom w:color="000000" w:space="0" w:sz="8" w:themeColor="text1" w:val="single"/>
        <w:right w:color="000000" w:space="0" w:sz="8" w:themeColor="text1" w:val="single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color="000000" w:space="0" w:sz="24" w:themeColor="text1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tblPr/>
      <w:tcPr>
        <w:tcBorders>
          <w:top w:color="000000" w:space="0" w:sz="8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tblPr/>
      <w:tcPr>
        <w:tcBorders>
          <w:top w:val="nil"/>
          <w:left w:val="nil"/>
          <w:bottom w:val="nil"/>
          <w:right w:color="000000" w:space="0" w:sz="8" w:themeColor="text1" w:val="single"/>
          <w:insideH w:val="nil"/>
          <w:insideV w:val="nil"/>
        </w:tcBorders>
        <w:shd w:color="auto" w:fill="FFFFFF" w:themeFill="background1" w:val="clear"/>
      </w:tcPr>
    </w:tblStylePr>
    <w:tblStylePr w:type="lastCol">
      <w:tblPr/>
      <w:tcPr>
        <w:tcBorders>
          <w:top w:val="nil"/>
          <w:left w:color="000000" w:space="0" w:sz="8" w:themeColor="text1" w:val="single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C0C0C0" w:themeFill="text1" w:themeFillTint="3F" w:val="clear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color="auto" w:fill="C0C0C0" w:themeFill="text1" w:themeFillTint="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val="nil"/>
        </w:tcBorders>
      </w:tcPr>
    </w:tblStylePr>
  </w:style>
  <w:style w:styleId="2-10" w:type="table">
    <w:name w:val="Medium List 2 Accent 1"/>
    <w:basedOn w:val="a3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Borders>
        <w:top w:color="4F81BD" w:space="0" w:sz="8" w:themeColor="accent1" w:val="single"/>
        <w:left w:color="4F81BD" w:space="0" w:sz="8" w:themeColor="accent1" w:val="single"/>
        <w:bottom w:color="4F81BD" w:space="0" w:sz="8" w:themeColor="accent1" w:val="single"/>
        <w:right w:color="4F81BD" w:space="0" w:sz="8" w:themeColor="accent1" w:val="single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color="4F81BD" w:space="0" w:sz="24" w:themeColor="accent1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tblPr/>
      <w:tcPr>
        <w:tcBorders>
          <w:top w:color="4F81BD" w:space="0" w:sz="8" w:themeColor="accen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tblPr/>
      <w:tcPr>
        <w:tcBorders>
          <w:top w:val="nil"/>
          <w:left w:val="nil"/>
          <w:bottom w:val="nil"/>
          <w:right w:color="4F81BD" w:space="0" w:sz="8" w:themeColor="accent1" w:val="single"/>
          <w:insideH w:val="nil"/>
          <w:insideV w:val="nil"/>
        </w:tcBorders>
        <w:shd w:color="auto" w:fill="FFFFFF" w:themeFill="background1" w:val="clear"/>
      </w:tcPr>
    </w:tblStylePr>
    <w:tblStylePr w:type="lastCol">
      <w:tblPr/>
      <w:tcPr>
        <w:tcBorders>
          <w:top w:val="nil"/>
          <w:left w:color="4F81BD" w:space="0" w:sz="8" w:themeColor="accent1" w:val="single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3DFEE" w:themeFill="accent1" w:themeFillTint="3F" w:val="clear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color="auto" w:fill="D3DFEE" w:themeFill="accent1" w:themeFillTint="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val="nil"/>
        </w:tcBorders>
      </w:tcPr>
    </w:tblStylePr>
  </w:style>
  <w:style w:styleId="2-20" w:type="table">
    <w:name w:val="Medium List 2 Accent 2"/>
    <w:basedOn w:val="a3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Borders>
        <w:top w:color="C0504D" w:space="0" w:sz="8" w:themeColor="accent2" w:val="single"/>
        <w:left w:color="C0504D" w:space="0" w:sz="8" w:themeColor="accent2" w:val="single"/>
        <w:bottom w:color="C0504D" w:space="0" w:sz="8" w:themeColor="accent2" w:val="single"/>
        <w:right w:color="C0504D" w:space="0" w:sz="8" w:themeColor="accent2" w:val="single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color="C0504D" w:space="0" w:sz="24" w:themeColor="accent2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tblPr/>
      <w:tcPr>
        <w:tcBorders>
          <w:top w:color="C0504D" w:space="0" w:sz="8" w:themeColor="accent2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tblPr/>
      <w:tcPr>
        <w:tcBorders>
          <w:top w:val="nil"/>
          <w:left w:val="nil"/>
          <w:bottom w:val="nil"/>
          <w:right w:color="C0504D" w:space="0" w:sz="8" w:themeColor="accent2" w:val="single"/>
          <w:insideH w:val="nil"/>
          <w:insideV w:val="nil"/>
        </w:tcBorders>
        <w:shd w:color="auto" w:fill="FFFFFF" w:themeFill="background1" w:val="clear"/>
      </w:tcPr>
    </w:tblStylePr>
    <w:tblStylePr w:type="lastCol">
      <w:tblPr/>
      <w:tcPr>
        <w:tcBorders>
          <w:top w:val="nil"/>
          <w:left w:color="C0504D" w:space="0" w:sz="8" w:themeColor="accent2" w:val="single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EFD3D2" w:themeFill="accent2" w:themeFillTint="3F" w:val="clear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color="auto" w:fill="EFD3D2" w:themeFill="accent2" w:themeFillTint="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val="nil"/>
        </w:tcBorders>
      </w:tcPr>
    </w:tblStylePr>
  </w:style>
  <w:style w:styleId="2-30" w:type="table">
    <w:name w:val="Medium List 2 Accent 3"/>
    <w:basedOn w:val="a3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Borders>
        <w:top w:color="9BBB59" w:space="0" w:sz="8" w:themeColor="accent3" w:val="single"/>
        <w:left w:color="9BBB59" w:space="0" w:sz="8" w:themeColor="accent3" w:val="single"/>
        <w:bottom w:color="9BBB59" w:space="0" w:sz="8" w:themeColor="accent3" w:val="single"/>
        <w:right w:color="9BBB59" w:space="0" w:sz="8" w:themeColor="accent3" w:val="single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color="9BBB59" w:space="0" w:sz="24" w:themeColor="accent3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tblPr/>
      <w:tcPr>
        <w:tcBorders>
          <w:top w:color="9BBB59" w:space="0" w:sz="8" w:themeColor="accent3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tblPr/>
      <w:tcPr>
        <w:tcBorders>
          <w:top w:val="nil"/>
          <w:left w:val="nil"/>
          <w:bottom w:val="nil"/>
          <w:right w:color="9BBB59" w:space="0" w:sz="8" w:themeColor="accent3" w:val="single"/>
          <w:insideH w:val="nil"/>
          <w:insideV w:val="nil"/>
        </w:tcBorders>
        <w:shd w:color="auto" w:fill="FFFFFF" w:themeFill="background1" w:val="clear"/>
      </w:tcPr>
    </w:tblStylePr>
    <w:tblStylePr w:type="lastCol">
      <w:tblPr/>
      <w:tcPr>
        <w:tcBorders>
          <w:top w:val="nil"/>
          <w:left w:color="9BBB59" w:space="0" w:sz="8" w:themeColor="accent3" w:val="single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E6EED5" w:themeFill="accent3" w:themeFillTint="3F" w:val="clear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color="auto" w:fill="E6EED5" w:themeFill="accent3" w:themeFillTint="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val="nil"/>
        </w:tcBorders>
      </w:tcPr>
    </w:tblStylePr>
  </w:style>
  <w:style w:styleId="2-40" w:type="table">
    <w:name w:val="Medium List 2 Accent 4"/>
    <w:basedOn w:val="a3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Borders>
        <w:top w:color="8064A2" w:space="0" w:sz="8" w:themeColor="accent4" w:val="single"/>
        <w:left w:color="8064A2" w:space="0" w:sz="8" w:themeColor="accent4" w:val="single"/>
        <w:bottom w:color="8064A2" w:space="0" w:sz="8" w:themeColor="accent4" w:val="single"/>
        <w:right w:color="8064A2" w:space="0" w:sz="8" w:themeColor="accent4" w:val="single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color="8064A2" w:space="0" w:sz="24" w:themeColor="accent4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tblPr/>
      <w:tcPr>
        <w:tcBorders>
          <w:top w:color="8064A2" w:space="0" w:sz="8" w:themeColor="accent4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tblPr/>
      <w:tcPr>
        <w:tcBorders>
          <w:top w:val="nil"/>
          <w:left w:val="nil"/>
          <w:bottom w:val="nil"/>
          <w:right w:color="8064A2" w:space="0" w:sz="8" w:themeColor="accent4" w:val="single"/>
          <w:insideH w:val="nil"/>
          <w:insideV w:val="nil"/>
        </w:tcBorders>
        <w:shd w:color="auto" w:fill="FFFFFF" w:themeFill="background1" w:val="clear"/>
      </w:tcPr>
    </w:tblStylePr>
    <w:tblStylePr w:type="lastCol">
      <w:tblPr/>
      <w:tcPr>
        <w:tcBorders>
          <w:top w:val="nil"/>
          <w:left w:color="8064A2" w:space="0" w:sz="8" w:themeColor="accent4" w:val="single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FD8E8" w:themeFill="accent4" w:themeFillTint="3F" w:val="clear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color="auto" w:fill="DFD8E8" w:themeFill="accent4" w:themeFillTint="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val="nil"/>
        </w:tcBorders>
      </w:tcPr>
    </w:tblStylePr>
  </w:style>
  <w:style w:styleId="2-50" w:type="table">
    <w:name w:val="Medium List 2 Accent 5"/>
    <w:basedOn w:val="a3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Borders>
        <w:top w:color="4BACC6" w:space="0" w:sz="8" w:themeColor="accent5" w:val="single"/>
        <w:left w:color="4BACC6" w:space="0" w:sz="8" w:themeColor="accent5" w:val="single"/>
        <w:bottom w:color="4BACC6" w:space="0" w:sz="8" w:themeColor="accent5" w:val="single"/>
        <w:right w:color="4BACC6" w:space="0" w:sz="8" w:themeColor="accent5" w:val="single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color="4BACC6" w:space="0" w:sz="24" w:themeColor="accent5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tblPr/>
      <w:tcPr>
        <w:tcBorders>
          <w:top w:color="4BACC6" w:space="0" w:sz="8" w:themeColor="accent5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tblPr/>
      <w:tcPr>
        <w:tcBorders>
          <w:top w:val="nil"/>
          <w:left w:val="nil"/>
          <w:bottom w:val="nil"/>
          <w:right w:color="4BACC6" w:space="0" w:sz="8" w:themeColor="accent5" w:val="single"/>
          <w:insideH w:val="nil"/>
          <w:insideV w:val="nil"/>
        </w:tcBorders>
        <w:shd w:color="auto" w:fill="FFFFFF" w:themeFill="background1" w:val="clear"/>
      </w:tcPr>
    </w:tblStylePr>
    <w:tblStylePr w:type="lastCol">
      <w:tblPr/>
      <w:tcPr>
        <w:tcBorders>
          <w:top w:val="nil"/>
          <w:left w:color="4BACC6" w:space="0" w:sz="8" w:themeColor="accent5" w:val="single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2EAF1" w:themeFill="accent5" w:themeFillTint="3F" w:val="clear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color="auto" w:fill="D2EAF1" w:themeFill="accent5" w:themeFillTint="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val="nil"/>
        </w:tcBorders>
      </w:tcPr>
    </w:tblStylePr>
  </w:style>
  <w:style w:styleId="2-60" w:type="table">
    <w:name w:val="Medium List 2 Accent 6"/>
    <w:basedOn w:val="a3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Borders>
        <w:top w:color="F79646" w:space="0" w:sz="8" w:themeColor="accent6" w:val="single"/>
        <w:left w:color="F79646" w:space="0" w:sz="8" w:themeColor="accent6" w:val="single"/>
        <w:bottom w:color="F79646" w:space="0" w:sz="8" w:themeColor="accent6" w:val="single"/>
        <w:right w:color="F79646" w:space="0" w:sz="8" w:themeColor="accent6" w:val="single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color="F79646" w:space="0" w:sz="24" w:themeColor="accent6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tblPr/>
      <w:tcPr>
        <w:tcBorders>
          <w:top w:color="F79646" w:space="0" w:sz="8" w:themeColor="accent6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tblPr/>
      <w:tcPr>
        <w:tcBorders>
          <w:top w:val="nil"/>
          <w:left w:val="nil"/>
          <w:bottom w:val="nil"/>
          <w:right w:color="F79646" w:space="0" w:sz="8" w:themeColor="accent6" w:val="single"/>
          <w:insideH w:val="nil"/>
          <w:insideV w:val="nil"/>
        </w:tcBorders>
        <w:shd w:color="auto" w:fill="FFFFFF" w:themeFill="background1" w:val="clear"/>
      </w:tcPr>
    </w:tblStylePr>
    <w:tblStylePr w:type="lastCol">
      <w:tblPr/>
      <w:tcPr>
        <w:tcBorders>
          <w:top w:val="nil"/>
          <w:left w:color="F79646" w:space="0" w:sz="8" w:themeColor="accent6" w:val="single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FDE4D0" w:themeFill="accent6" w:themeFillTint="3F" w:val="clear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color="auto" w:fill="FDE4D0" w:themeFill="accent6" w:themeFillTint="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val="nil"/>
        </w:tcBorders>
      </w:tcPr>
    </w:tblStylePr>
  </w:style>
  <w:style w:styleId="13" w:type="table">
    <w:name w:val="Medium Grid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color="404040" w:space="0" w:sz="8" w:themeColor="text1" w:themeTint="BF" w:val="single"/>
        <w:left w:color="404040" w:space="0" w:sz="8" w:themeColor="text1" w:themeTint="BF" w:val="single"/>
        <w:bottom w:color="404040" w:space="0" w:sz="8" w:themeColor="text1" w:themeTint="BF" w:val="single"/>
        <w:right w:color="404040" w:space="0" w:sz="8" w:themeColor="text1" w:themeTint="BF" w:val="single"/>
        <w:insideH w:color="404040" w:space="0" w:sz="8" w:themeColor="text1" w:themeTint="BF" w:val="single"/>
        <w:insideV w:color="404040" w:space="0" w:sz="8" w:themeColor="text1" w:themeTint="BF" w:val="single"/>
      </w:tblBorders>
    </w:tblPr>
    <w:tcPr>
      <w:shd w:color="auto" w:fill="C0C0C0" w:themeFill="text1" w:themeFillTint="3F" w:val="clear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color="404040" w:space="0" w:sz="18" w:themeColor="text1" w:themeTint="BF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808080" w:themeFill="text1" w:themeFillTint="7F" w:val="clear"/>
      </w:tcPr>
    </w:tblStylePr>
    <w:tblStylePr w:type="band1Horz">
      <w:tblPr/>
      <w:tcPr>
        <w:shd w:color="auto" w:fill="808080" w:themeFill="text1" w:themeFillTint="7F" w:val="clear"/>
      </w:tcPr>
    </w:tblStylePr>
  </w:style>
  <w:style w:styleId="1-11" w:type="table">
    <w:name w:val="Medium Grid 1 Accent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color="7BA0CD" w:space="0" w:sz="8" w:themeColor="accent1" w:themeTint="BF" w:val="single"/>
        <w:left w:color="7BA0CD" w:space="0" w:sz="8" w:themeColor="accent1" w:themeTint="BF" w:val="single"/>
        <w:bottom w:color="7BA0CD" w:space="0" w:sz="8" w:themeColor="accent1" w:themeTint="BF" w:val="single"/>
        <w:right w:color="7BA0CD" w:space="0" w:sz="8" w:themeColor="accent1" w:themeTint="BF" w:val="single"/>
        <w:insideH w:color="7BA0CD" w:space="0" w:sz="8" w:themeColor="accent1" w:themeTint="BF" w:val="single"/>
        <w:insideV w:color="7BA0CD" w:space="0" w:sz="8" w:themeColor="accent1" w:themeTint="BF" w:val="single"/>
      </w:tblBorders>
    </w:tblPr>
    <w:tcPr>
      <w:shd w:color="auto" w:fill="D3DFEE" w:themeFill="accent1" w:themeFillTint="3F" w:val="clear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color="7BA0CD" w:space="0" w:sz="18" w:themeColor="accent1" w:themeTint="BF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A7BFDE" w:themeFill="accent1" w:themeFillTint="7F" w:val="clear"/>
      </w:tcPr>
    </w:tblStylePr>
    <w:tblStylePr w:type="band1Horz">
      <w:tblPr/>
      <w:tcPr>
        <w:shd w:color="auto" w:fill="A7BFDE" w:themeFill="accent1" w:themeFillTint="7F" w:val="clear"/>
      </w:tcPr>
    </w:tblStylePr>
  </w:style>
  <w:style w:styleId="1-21" w:type="table">
    <w:name w:val="Medium Grid 1 Accent 2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color="CF7B79" w:space="0" w:sz="8" w:themeColor="accent2" w:themeTint="BF" w:val="single"/>
        <w:left w:color="CF7B79" w:space="0" w:sz="8" w:themeColor="accent2" w:themeTint="BF" w:val="single"/>
        <w:bottom w:color="CF7B79" w:space="0" w:sz="8" w:themeColor="accent2" w:themeTint="BF" w:val="single"/>
        <w:right w:color="CF7B79" w:space="0" w:sz="8" w:themeColor="accent2" w:themeTint="BF" w:val="single"/>
        <w:insideH w:color="CF7B79" w:space="0" w:sz="8" w:themeColor="accent2" w:themeTint="BF" w:val="single"/>
        <w:insideV w:color="CF7B79" w:space="0" w:sz="8" w:themeColor="accent2" w:themeTint="BF" w:val="single"/>
      </w:tblBorders>
    </w:tblPr>
    <w:tcPr>
      <w:shd w:color="auto" w:fill="EFD3D2" w:themeFill="accent2" w:themeFillTint="3F" w:val="clear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color="CF7B79" w:space="0" w:sz="18" w:themeColor="accent2" w:themeTint="BF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DFA7A6" w:themeFill="accent2" w:themeFillTint="7F" w:val="clear"/>
      </w:tcPr>
    </w:tblStylePr>
    <w:tblStylePr w:type="band1Horz">
      <w:tblPr/>
      <w:tcPr>
        <w:shd w:color="auto" w:fill="DFA7A6" w:themeFill="accent2" w:themeFillTint="7F" w:val="clear"/>
      </w:tcPr>
    </w:tblStylePr>
  </w:style>
  <w:style w:styleId="1-31" w:type="table">
    <w:name w:val="Medium Grid 1 Accent 3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color="B3CC82" w:space="0" w:sz="8" w:themeColor="accent3" w:themeTint="BF" w:val="single"/>
        <w:left w:color="B3CC82" w:space="0" w:sz="8" w:themeColor="accent3" w:themeTint="BF" w:val="single"/>
        <w:bottom w:color="B3CC82" w:space="0" w:sz="8" w:themeColor="accent3" w:themeTint="BF" w:val="single"/>
        <w:right w:color="B3CC82" w:space="0" w:sz="8" w:themeColor="accent3" w:themeTint="BF" w:val="single"/>
        <w:insideH w:color="B3CC82" w:space="0" w:sz="8" w:themeColor="accent3" w:themeTint="BF" w:val="single"/>
        <w:insideV w:color="B3CC82" w:space="0" w:sz="8" w:themeColor="accent3" w:themeTint="BF" w:val="single"/>
      </w:tblBorders>
    </w:tblPr>
    <w:tcPr>
      <w:shd w:color="auto" w:fill="E6EED5" w:themeFill="accent3" w:themeFillTint="3F" w:val="clear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color="B3CC82" w:space="0" w:sz="18" w:themeColor="accent3" w:themeTint="BF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CDDDAC" w:themeFill="accent3" w:themeFillTint="7F" w:val="clear"/>
      </w:tcPr>
    </w:tblStylePr>
    <w:tblStylePr w:type="band1Horz">
      <w:tblPr/>
      <w:tcPr>
        <w:shd w:color="auto" w:fill="CDDDAC" w:themeFill="accent3" w:themeFillTint="7F" w:val="clear"/>
      </w:tcPr>
    </w:tblStylePr>
  </w:style>
  <w:style w:styleId="1-41" w:type="table">
    <w:name w:val="Medium Grid 1 Accent 4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color="9F8AB9" w:space="0" w:sz="8" w:themeColor="accent4" w:themeTint="BF" w:val="single"/>
        <w:left w:color="9F8AB9" w:space="0" w:sz="8" w:themeColor="accent4" w:themeTint="BF" w:val="single"/>
        <w:bottom w:color="9F8AB9" w:space="0" w:sz="8" w:themeColor="accent4" w:themeTint="BF" w:val="single"/>
        <w:right w:color="9F8AB9" w:space="0" w:sz="8" w:themeColor="accent4" w:themeTint="BF" w:val="single"/>
        <w:insideH w:color="9F8AB9" w:space="0" w:sz="8" w:themeColor="accent4" w:themeTint="BF" w:val="single"/>
        <w:insideV w:color="9F8AB9" w:space="0" w:sz="8" w:themeColor="accent4" w:themeTint="BF" w:val="single"/>
      </w:tblBorders>
    </w:tblPr>
    <w:tcPr>
      <w:shd w:color="auto" w:fill="DFD8E8" w:themeFill="accent4" w:themeFillTint="3F" w:val="clear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color="9F8AB9" w:space="0" w:sz="18" w:themeColor="accent4" w:themeTint="BF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BFB1D0" w:themeFill="accent4" w:themeFillTint="7F" w:val="clear"/>
      </w:tcPr>
    </w:tblStylePr>
    <w:tblStylePr w:type="band1Horz">
      <w:tblPr/>
      <w:tcPr>
        <w:shd w:color="auto" w:fill="BFB1D0" w:themeFill="accent4" w:themeFillTint="7F" w:val="clear"/>
      </w:tcPr>
    </w:tblStylePr>
  </w:style>
  <w:style w:styleId="1-51" w:type="table">
    <w:name w:val="Medium Grid 1 Accent 5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color="78C0D4" w:space="0" w:sz="8" w:themeColor="accent5" w:themeTint="BF" w:val="single"/>
        <w:left w:color="78C0D4" w:space="0" w:sz="8" w:themeColor="accent5" w:themeTint="BF" w:val="single"/>
        <w:bottom w:color="78C0D4" w:space="0" w:sz="8" w:themeColor="accent5" w:themeTint="BF" w:val="single"/>
        <w:right w:color="78C0D4" w:space="0" w:sz="8" w:themeColor="accent5" w:themeTint="BF" w:val="single"/>
        <w:insideH w:color="78C0D4" w:space="0" w:sz="8" w:themeColor="accent5" w:themeTint="BF" w:val="single"/>
        <w:insideV w:color="78C0D4" w:space="0" w:sz="8" w:themeColor="accent5" w:themeTint="BF" w:val="single"/>
      </w:tblBorders>
    </w:tblPr>
    <w:tcPr>
      <w:shd w:color="auto" w:fill="D2EAF1" w:themeFill="accent5" w:themeFillTint="3F" w:val="clear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color="78C0D4" w:space="0" w:sz="18" w:themeColor="accent5" w:themeTint="BF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A5D5E2" w:themeFill="accent5" w:themeFillTint="7F" w:val="clear"/>
      </w:tcPr>
    </w:tblStylePr>
    <w:tblStylePr w:type="band1Horz">
      <w:tblPr/>
      <w:tcPr>
        <w:shd w:color="auto" w:fill="A5D5E2" w:themeFill="accent5" w:themeFillTint="7F" w:val="clear"/>
      </w:tcPr>
    </w:tblStylePr>
  </w:style>
  <w:style w:styleId="1-61" w:type="table">
    <w:name w:val="Medium Grid 1 Accent 6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color="F9B074" w:space="0" w:sz="8" w:themeColor="accent6" w:themeTint="BF" w:val="single"/>
        <w:left w:color="F9B074" w:space="0" w:sz="8" w:themeColor="accent6" w:themeTint="BF" w:val="single"/>
        <w:bottom w:color="F9B074" w:space="0" w:sz="8" w:themeColor="accent6" w:themeTint="BF" w:val="single"/>
        <w:right w:color="F9B074" w:space="0" w:sz="8" w:themeColor="accent6" w:themeTint="BF" w:val="single"/>
        <w:insideH w:color="F9B074" w:space="0" w:sz="8" w:themeColor="accent6" w:themeTint="BF" w:val="single"/>
        <w:insideV w:color="F9B074" w:space="0" w:sz="8" w:themeColor="accent6" w:themeTint="BF" w:val="single"/>
      </w:tblBorders>
    </w:tblPr>
    <w:tcPr>
      <w:shd w:color="auto" w:fill="FDE4D0" w:themeFill="accent6" w:themeFillTint="3F" w:val="clear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color="F9B074" w:space="0" w:sz="18" w:themeColor="accent6" w:themeTint="BF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FBCAA2" w:themeFill="accent6" w:themeFillTint="7F" w:val="clear"/>
      </w:tcPr>
    </w:tblStylePr>
    <w:tblStylePr w:type="band1Horz">
      <w:tblPr/>
      <w:tcPr>
        <w:shd w:color="auto" w:fill="FBCAA2" w:themeFill="accent6" w:themeFillTint="7F" w:val="clear"/>
      </w:tcPr>
    </w:tblStylePr>
  </w:style>
  <w:style w:styleId="2b" w:type="table">
    <w:name w:val="Medium Grid 2"/>
    <w:basedOn w:val="a3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Borders>
        <w:top w:color="000000" w:space="0" w:sz="8" w:themeColor="text1" w:val="single"/>
        <w:left w:color="000000" w:space="0" w:sz="8" w:themeColor="text1" w:val="single"/>
        <w:bottom w:color="000000" w:space="0" w:sz="8" w:themeColor="text1" w:val="single"/>
        <w:right w:color="000000" w:space="0" w:sz="8" w:themeColor="text1" w:val="single"/>
        <w:insideH w:color="000000" w:space="0" w:sz="8" w:themeColor="text1" w:val="single"/>
        <w:insideV w:color="000000" w:space="0" w:sz="8" w:themeColor="text1" w:val="single"/>
      </w:tblBorders>
    </w:tblPr>
    <w:tcPr>
      <w:shd w:color="auto" w:fill="C0C0C0" w:themeFill="text1" w:themeFillTint="3F" w:val="clear"/>
    </w:tcPr>
    <w:tblStylePr w:type="firstRow">
      <w:rPr>
        <w:b/>
        <w:bCs/>
        <w:color w:themeColor="text1" w:val="000000"/>
      </w:rPr>
      <w:tblPr/>
      <w:tcPr>
        <w:shd w:color="auto" w:fill="E6E6E6" w:themeFill="text1" w:themeFillTint="19" w:val="clear"/>
      </w:tcPr>
    </w:tblStylePr>
    <w:tblStylePr w:type="lastRow">
      <w:rPr>
        <w:b/>
        <w:bCs/>
        <w:color w:themeColor="text1" w:val="000000"/>
      </w:rPr>
      <w:tblPr/>
      <w:tcPr>
        <w:tcBorders>
          <w:top w:color="000000" w:space="0" w:sz="12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CCCCCC" w:themeFill="text1" w:themeFillTint="33" w:val="clear"/>
      </w:tcPr>
    </w:tblStylePr>
    <w:tblStylePr w:type="band1Vert">
      <w:tblPr/>
      <w:tcPr>
        <w:shd w:color="auto" w:fill="808080" w:themeFill="text1" w:themeFillTint="7F" w:val="clear"/>
      </w:tcPr>
    </w:tblStylePr>
    <w:tblStylePr w:type="band1Horz">
      <w:tblPr/>
      <w:tcPr>
        <w:tcBorders>
          <w:insideH w:color="000000" w:space="0" w:sz="6" w:themeColor="text1" w:val="single"/>
          <w:insideV w:color="000000" w:space="0" w:sz="6" w:themeColor="text1" w:val="single"/>
        </w:tcBorders>
        <w:shd w:color="auto" w:fill="808080" w:themeFill="text1" w:themeFillTint="7F" w:val="clear"/>
      </w:tcPr>
    </w:tblStylePr>
    <w:tblStylePr w:type="nwCell">
      <w:tblPr/>
      <w:tcPr>
        <w:shd w:color="auto" w:fill="FFFFFF" w:themeFill="background1" w:val="clear"/>
      </w:tcPr>
    </w:tblStylePr>
  </w:style>
  <w:style w:styleId="2-11" w:type="table">
    <w:name w:val="Medium Grid 2 Accent 1"/>
    <w:basedOn w:val="a3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Borders>
        <w:top w:color="4F81BD" w:space="0" w:sz="8" w:themeColor="accent1" w:val="single"/>
        <w:left w:color="4F81BD" w:space="0" w:sz="8" w:themeColor="accent1" w:val="single"/>
        <w:bottom w:color="4F81BD" w:space="0" w:sz="8" w:themeColor="accent1" w:val="single"/>
        <w:right w:color="4F81BD" w:space="0" w:sz="8" w:themeColor="accent1" w:val="single"/>
        <w:insideH w:color="4F81BD" w:space="0" w:sz="8" w:themeColor="accent1" w:val="single"/>
        <w:insideV w:color="4F81BD" w:space="0" w:sz="8" w:themeColor="accent1" w:val="single"/>
      </w:tblBorders>
    </w:tblPr>
    <w:tcPr>
      <w:shd w:color="auto" w:fill="D3DFEE" w:themeFill="accent1" w:themeFillTint="3F" w:val="clear"/>
    </w:tcPr>
    <w:tblStylePr w:type="firstRow">
      <w:rPr>
        <w:b/>
        <w:bCs/>
        <w:color w:themeColor="text1" w:val="000000"/>
      </w:rPr>
      <w:tblPr/>
      <w:tcPr>
        <w:shd w:color="auto" w:fill="EDF2F8" w:themeFill="accent1" w:themeFillTint="19" w:val="clear"/>
      </w:tcPr>
    </w:tblStylePr>
    <w:tblStylePr w:type="lastRow">
      <w:rPr>
        <w:b/>
        <w:bCs/>
        <w:color w:themeColor="text1" w:val="000000"/>
      </w:rPr>
      <w:tblPr/>
      <w:tcPr>
        <w:tcBorders>
          <w:top w:color="000000" w:space="0" w:sz="12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DBE5F1" w:themeFill="accent1" w:themeFillTint="33" w:val="clear"/>
      </w:tcPr>
    </w:tblStylePr>
    <w:tblStylePr w:type="band1Vert">
      <w:tblPr/>
      <w:tcPr>
        <w:shd w:color="auto" w:fill="A7BFDE" w:themeFill="accent1" w:themeFillTint="7F" w:val="clear"/>
      </w:tcPr>
    </w:tblStylePr>
    <w:tblStylePr w:type="band1Horz">
      <w:tblPr/>
      <w:tcPr>
        <w:tcBorders>
          <w:insideH w:color="4F81BD" w:space="0" w:sz="6" w:themeColor="accent1" w:val="single"/>
          <w:insideV w:color="4F81BD" w:space="0" w:sz="6" w:themeColor="accent1" w:val="single"/>
        </w:tcBorders>
        <w:shd w:color="auto" w:fill="A7BFDE" w:themeFill="accent1" w:themeFillTint="7F" w:val="clear"/>
      </w:tcPr>
    </w:tblStylePr>
    <w:tblStylePr w:type="nwCell">
      <w:tblPr/>
      <w:tcPr>
        <w:shd w:color="auto" w:fill="FFFFFF" w:themeFill="background1" w:val="clear"/>
      </w:tcPr>
    </w:tblStylePr>
  </w:style>
  <w:style w:styleId="2-21" w:type="table">
    <w:name w:val="Medium Grid 2 Accent 2"/>
    <w:basedOn w:val="a3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Borders>
        <w:top w:color="C0504D" w:space="0" w:sz="8" w:themeColor="accent2" w:val="single"/>
        <w:left w:color="C0504D" w:space="0" w:sz="8" w:themeColor="accent2" w:val="single"/>
        <w:bottom w:color="C0504D" w:space="0" w:sz="8" w:themeColor="accent2" w:val="single"/>
        <w:right w:color="C0504D" w:space="0" w:sz="8" w:themeColor="accent2" w:val="single"/>
        <w:insideH w:color="C0504D" w:space="0" w:sz="8" w:themeColor="accent2" w:val="single"/>
        <w:insideV w:color="C0504D" w:space="0" w:sz="8" w:themeColor="accent2" w:val="single"/>
      </w:tblBorders>
    </w:tblPr>
    <w:tcPr>
      <w:shd w:color="auto" w:fill="EFD3D2" w:themeFill="accent2" w:themeFillTint="3F" w:val="clear"/>
    </w:tcPr>
    <w:tblStylePr w:type="firstRow">
      <w:rPr>
        <w:b/>
        <w:bCs/>
        <w:color w:themeColor="text1" w:val="000000"/>
      </w:rPr>
      <w:tblPr/>
      <w:tcPr>
        <w:shd w:color="auto" w:fill="F8EDED" w:themeFill="accent2" w:themeFillTint="19" w:val="clear"/>
      </w:tcPr>
    </w:tblStylePr>
    <w:tblStylePr w:type="lastRow">
      <w:rPr>
        <w:b/>
        <w:bCs/>
        <w:color w:themeColor="text1" w:val="000000"/>
      </w:rPr>
      <w:tblPr/>
      <w:tcPr>
        <w:tcBorders>
          <w:top w:color="000000" w:space="0" w:sz="12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2DBDB" w:themeFill="accent2" w:themeFillTint="33" w:val="clear"/>
      </w:tcPr>
    </w:tblStylePr>
    <w:tblStylePr w:type="band1Vert">
      <w:tblPr/>
      <w:tcPr>
        <w:shd w:color="auto" w:fill="DFA7A6" w:themeFill="accent2" w:themeFillTint="7F" w:val="clear"/>
      </w:tcPr>
    </w:tblStylePr>
    <w:tblStylePr w:type="band1Horz">
      <w:tblPr/>
      <w:tcPr>
        <w:tcBorders>
          <w:insideH w:color="C0504D" w:space="0" w:sz="6" w:themeColor="accent2" w:val="single"/>
          <w:insideV w:color="C0504D" w:space="0" w:sz="6" w:themeColor="accent2" w:val="single"/>
        </w:tcBorders>
        <w:shd w:color="auto" w:fill="DFA7A6" w:themeFill="accent2" w:themeFillTint="7F" w:val="clear"/>
      </w:tcPr>
    </w:tblStylePr>
    <w:tblStylePr w:type="nwCell">
      <w:tblPr/>
      <w:tcPr>
        <w:shd w:color="auto" w:fill="FFFFFF" w:themeFill="background1" w:val="clear"/>
      </w:tcPr>
    </w:tblStylePr>
  </w:style>
  <w:style w:styleId="2-31" w:type="table">
    <w:name w:val="Medium Grid 2 Accent 3"/>
    <w:basedOn w:val="a3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Borders>
        <w:top w:color="9BBB59" w:space="0" w:sz="8" w:themeColor="accent3" w:val="single"/>
        <w:left w:color="9BBB59" w:space="0" w:sz="8" w:themeColor="accent3" w:val="single"/>
        <w:bottom w:color="9BBB59" w:space="0" w:sz="8" w:themeColor="accent3" w:val="single"/>
        <w:right w:color="9BBB59" w:space="0" w:sz="8" w:themeColor="accent3" w:val="single"/>
        <w:insideH w:color="9BBB59" w:space="0" w:sz="8" w:themeColor="accent3" w:val="single"/>
        <w:insideV w:color="9BBB59" w:space="0" w:sz="8" w:themeColor="accent3" w:val="single"/>
      </w:tblBorders>
    </w:tblPr>
    <w:tcPr>
      <w:shd w:color="auto" w:fill="E6EED5" w:themeFill="accent3" w:themeFillTint="3F" w:val="clear"/>
    </w:tcPr>
    <w:tblStylePr w:type="firstRow">
      <w:rPr>
        <w:b/>
        <w:bCs/>
        <w:color w:themeColor="text1" w:val="000000"/>
      </w:rPr>
      <w:tblPr/>
      <w:tcPr>
        <w:shd w:color="auto" w:fill="F5F8EE" w:themeFill="accent3" w:themeFillTint="19" w:val="clear"/>
      </w:tcPr>
    </w:tblStylePr>
    <w:tblStylePr w:type="lastRow">
      <w:rPr>
        <w:b/>
        <w:bCs/>
        <w:color w:themeColor="text1" w:val="000000"/>
      </w:rPr>
      <w:tblPr/>
      <w:tcPr>
        <w:tcBorders>
          <w:top w:color="000000" w:space="0" w:sz="12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EAF1DD" w:themeFill="accent3" w:themeFillTint="33" w:val="clear"/>
      </w:tcPr>
    </w:tblStylePr>
    <w:tblStylePr w:type="band1Vert">
      <w:tblPr/>
      <w:tcPr>
        <w:shd w:color="auto" w:fill="CDDDAC" w:themeFill="accent3" w:themeFillTint="7F" w:val="clear"/>
      </w:tcPr>
    </w:tblStylePr>
    <w:tblStylePr w:type="band1Horz">
      <w:tblPr/>
      <w:tcPr>
        <w:tcBorders>
          <w:insideH w:color="9BBB59" w:space="0" w:sz="6" w:themeColor="accent3" w:val="single"/>
          <w:insideV w:color="9BBB59" w:space="0" w:sz="6" w:themeColor="accent3" w:val="single"/>
        </w:tcBorders>
        <w:shd w:color="auto" w:fill="CDDDAC" w:themeFill="accent3" w:themeFillTint="7F" w:val="clear"/>
      </w:tcPr>
    </w:tblStylePr>
    <w:tblStylePr w:type="nwCell">
      <w:tblPr/>
      <w:tcPr>
        <w:shd w:color="auto" w:fill="FFFFFF" w:themeFill="background1" w:val="clear"/>
      </w:tcPr>
    </w:tblStylePr>
  </w:style>
  <w:style w:styleId="2-41" w:type="table">
    <w:name w:val="Medium Grid 2 Accent 4"/>
    <w:basedOn w:val="a3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Borders>
        <w:top w:color="8064A2" w:space="0" w:sz="8" w:themeColor="accent4" w:val="single"/>
        <w:left w:color="8064A2" w:space="0" w:sz="8" w:themeColor="accent4" w:val="single"/>
        <w:bottom w:color="8064A2" w:space="0" w:sz="8" w:themeColor="accent4" w:val="single"/>
        <w:right w:color="8064A2" w:space="0" w:sz="8" w:themeColor="accent4" w:val="single"/>
        <w:insideH w:color="8064A2" w:space="0" w:sz="8" w:themeColor="accent4" w:val="single"/>
        <w:insideV w:color="8064A2" w:space="0" w:sz="8" w:themeColor="accent4" w:val="single"/>
      </w:tblBorders>
    </w:tblPr>
    <w:tcPr>
      <w:shd w:color="auto" w:fill="DFD8E8" w:themeFill="accent4" w:themeFillTint="3F" w:val="clear"/>
    </w:tcPr>
    <w:tblStylePr w:type="firstRow">
      <w:rPr>
        <w:b/>
        <w:bCs/>
        <w:color w:themeColor="text1" w:val="000000"/>
      </w:rPr>
      <w:tblPr/>
      <w:tcPr>
        <w:shd w:color="auto" w:fill="F2EFF6" w:themeFill="accent4" w:themeFillTint="19" w:val="clear"/>
      </w:tcPr>
    </w:tblStylePr>
    <w:tblStylePr w:type="lastRow">
      <w:rPr>
        <w:b/>
        <w:bCs/>
        <w:color w:themeColor="text1" w:val="000000"/>
      </w:rPr>
      <w:tblPr/>
      <w:tcPr>
        <w:tcBorders>
          <w:top w:color="000000" w:space="0" w:sz="12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E5DFEC" w:themeFill="accent4" w:themeFillTint="33" w:val="clear"/>
      </w:tcPr>
    </w:tblStylePr>
    <w:tblStylePr w:type="band1Vert">
      <w:tblPr/>
      <w:tcPr>
        <w:shd w:color="auto" w:fill="BFB1D0" w:themeFill="accent4" w:themeFillTint="7F" w:val="clear"/>
      </w:tcPr>
    </w:tblStylePr>
    <w:tblStylePr w:type="band1Horz">
      <w:tblPr/>
      <w:tcPr>
        <w:tcBorders>
          <w:insideH w:color="8064A2" w:space="0" w:sz="6" w:themeColor="accent4" w:val="single"/>
          <w:insideV w:color="8064A2" w:space="0" w:sz="6" w:themeColor="accent4" w:val="single"/>
        </w:tcBorders>
        <w:shd w:color="auto" w:fill="BFB1D0" w:themeFill="accent4" w:themeFillTint="7F" w:val="clear"/>
      </w:tcPr>
    </w:tblStylePr>
    <w:tblStylePr w:type="nwCell">
      <w:tblPr/>
      <w:tcPr>
        <w:shd w:color="auto" w:fill="FFFFFF" w:themeFill="background1" w:val="clear"/>
      </w:tcPr>
    </w:tblStylePr>
  </w:style>
  <w:style w:styleId="2-51" w:type="table">
    <w:name w:val="Medium Grid 2 Accent 5"/>
    <w:basedOn w:val="a3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Borders>
        <w:top w:color="4BACC6" w:space="0" w:sz="8" w:themeColor="accent5" w:val="single"/>
        <w:left w:color="4BACC6" w:space="0" w:sz="8" w:themeColor="accent5" w:val="single"/>
        <w:bottom w:color="4BACC6" w:space="0" w:sz="8" w:themeColor="accent5" w:val="single"/>
        <w:right w:color="4BACC6" w:space="0" w:sz="8" w:themeColor="accent5" w:val="single"/>
        <w:insideH w:color="4BACC6" w:space="0" w:sz="8" w:themeColor="accent5" w:val="single"/>
        <w:insideV w:color="4BACC6" w:space="0" w:sz="8" w:themeColor="accent5" w:val="single"/>
      </w:tblBorders>
    </w:tblPr>
    <w:tcPr>
      <w:shd w:color="auto" w:fill="D2EAF1" w:themeFill="accent5" w:themeFillTint="3F" w:val="clear"/>
    </w:tcPr>
    <w:tblStylePr w:type="firstRow">
      <w:rPr>
        <w:b/>
        <w:bCs/>
        <w:color w:themeColor="text1" w:val="000000"/>
      </w:rPr>
      <w:tblPr/>
      <w:tcPr>
        <w:shd w:color="auto" w:fill="EDF6F9" w:themeFill="accent5" w:themeFillTint="19" w:val="clear"/>
      </w:tcPr>
    </w:tblStylePr>
    <w:tblStylePr w:type="lastRow">
      <w:rPr>
        <w:b/>
        <w:bCs/>
        <w:color w:themeColor="text1" w:val="000000"/>
      </w:rPr>
      <w:tblPr/>
      <w:tcPr>
        <w:tcBorders>
          <w:top w:color="000000" w:space="0" w:sz="12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DAEEF3" w:themeFill="accent5" w:themeFillTint="33" w:val="clear"/>
      </w:tcPr>
    </w:tblStylePr>
    <w:tblStylePr w:type="band1Vert">
      <w:tblPr/>
      <w:tcPr>
        <w:shd w:color="auto" w:fill="A5D5E2" w:themeFill="accent5" w:themeFillTint="7F" w:val="clear"/>
      </w:tcPr>
    </w:tblStylePr>
    <w:tblStylePr w:type="band1Horz">
      <w:tblPr/>
      <w:tcPr>
        <w:tcBorders>
          <w:insideH w:color="4BACC6" w:space="0" w:sz="6" w:themeColor="accent5" w:val="single"/>
          <w:insideV w:color="4BACC6" w:space="0" w:sz="6" w:themeColor="accent5" w:val="single"/>
        </w:tcBorders>
        <w:shd w:color="auto" w:fill="A5D5E2" w:themeFill="accent5" w:themeFillTint="7F" w:val="clear"/>
      </w:tcPr>
    </w:tblStylePr>
    <w:tblStylePr w:type="nwCell">
      <w:tblPr/>
      <w:tcPr>
        <w:shd w:color="auto" w:fill="FFFFFF" w:themeFill="background1" w:val="clear"/>
      </w:tcPr>
    </w:tblStylePr>
  </w:style>
  <w:style w:styleId="2-61" w:type="table">
    <w:name w:val="Medium Grid 2 Accent 6"/>
    <w:basedOn w:val="a3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Borders>
        <w:top w:color="F79646" w:space="0" w:sz="8" w:themeColor="accent6" w:val="single"/>
        <w:left w:color="F79646" w:space="0" w:sz="8" w:themeColor="accent6" w:val="single"/>
        <w:bottom w:color="F79646" w:space="0" w:sz="8" w:themeColor="accent6" w:val="single"/>
        <w:right w:color="F79646" w:space="0" w:sz="8" w:themeColor="accent6" w:val="single"/>
        <w:insideH w:color="F79646" w:space="0" w:sz="8" w:themeColor="accent6" w:val="single"/>
        <w:insideV w:color="F79646" w:space="0" w:sz="8" w:themeColor="accent6" w:val="single"/>
      </w:tblBorders>
    </w:tblPr>
    <w:tcPr>
      <w:shd w:color="auto" w:fill="FDE4D0" w:themeFill="accent6" w:themeFillTint="3F" w:val="clear"/>
    </w:tcPr>
    <w:tblStylePr w:type="firstRow">
      <w:rPr>
        <w:b/>
        <w:bCs/>
        <w:color w:themeColor="text1" w:val="000000"/>
      </w:rPr>
      <w:tblPr/>
      <w:tcPr>
        <w:shd w:color="auto" w:fill="FEF4EC" w:themeFill="accent6" w:themeFillTint="19" w:val="clear"/>
      </w:tcPr>
    </w:tblStylePr>
    <w:tblStylePr w:type="lastRow">
      <w:rPr>
        <w:b/>
        <w:bCs/>
        <w:color w:themeColor="text1" w:val="000000"/>
      </w:rPr>
      <w:tblPr/>
      <w:tcPr>
        <w:tcBorders>
          <w:top w:color="000000" w:space="0" w:sz="12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DE9D9" w:themeFill="accent6" w:themeFillTint="33" w:val="clear"/>
      </w:tcPr>
    </w:tblStylePr>
    <w:tblStylePr w:type="band1Vert">
      <w:tblPr/>
      <w:tcPr>
        <w:shd w:color="auto" w:fill="FBCAA2" w:themeFill="accent6" w:themeFillTint="7F" w:val="clear"/>
      </w:tcPr>
    </w:tblStylePr>
    <w:tblStylePr w:type="band1Horz">
      <w:tblPr/>
      <w:tcPr>
        <w:tcBorders>
          <w:insideH w:color="F79646" w:space="0" w:sz="6" w:themeColor="accent6" w:val="single"/>
          <w:insideV w:color="F79646" w:space="0" w:sz="6" w:themeColor="accent6" w:val="single"/>
        </w:tcBorders>
        <w:shd w:color="auto" w:fill="FBCAA2" w:themeFill="accent6" w:themeFillTint="7F" w:val="clear"/>
      </w:tcPr>
    </w:tblStylePr>
    <w:tblStylePr w:type="nwCell">
      <w:tblPr/>
      <w:tcPr>
        <w:shd w:color="auto" w:fill="FFFFFF" w:themeFill="background1" w:val="clear"/>
      </w:tcPr>
    </w:tblStylePr>
  </w:style>
  <w:style w:styleId="37" w:type="table">
    <w:name w:val="Medium Grid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</w:tblPr>
    <w:tcPr>
      <w:shd w:color="auto" w:fill="C0C0C0" w:themeFill="text1" w:themeFillTint="3F" w:val="clear"/>
    </w:tcPr>
    <w:tblStylePr w:type="fir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000000" w:themeFill="text1" w:val="clear"/>
      </w:tcPr>
    </w:tblStylePr>
    <w:tblStylePr w:type="la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000000" w:themeFill="text1" w:val="clear"/>
      </w:tcPr>
    </w:tblStylePr>
    <w:tblStylePr w:type="firstCol">
      <w:rPr>
        <w:b/>
        <w:bCs/>
        <w:i w:val="0"/>
        <w:iCs w:val="0"/>
        <w:color w:themeColor="background1" w:val="FFFFFF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val="nil"/>
          <w:insideV w:val="nil"/>
        </w:tcBorders>
        <w:shd w:color="auto" w:fill="000000" w:themeFill="text1" w:val="clear"/>
      </w:tcPr>
    </w:tblStylePr>
    <w:tblStylePr w:type="lastCol">
      <w:rPr>
        <w:b/>
        <w:bCs/>
        <w:i w:val="0"/>
        <w:iCs w:val="0"/>
        <w:color w:themeColor="background1" w:val="FFFFFF"/>
      </w:rPr>
      <w:tblPr/>
      <w:tcPr>
        <w:tcBorders>
          <w:top w:val="nil"/>
          <w:left w:color="FFFFFF" w:space="0" w:sz="24" w:themeColor="background1" w:val="single"/>
          <w:bottom w:val="nil"/>
          <w:right w:val="nil"/>
          <w:insideH w:val="nil"/>
          <w:insideV w:val="nil"/>
        </w:tcBorders>
        <w:shd w:color="auto" w:fill="000000" w:themeFill="text1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val="nil"/>
        </w:tcBorders>
        <w:shd w:color="auto" w:fill="808080" w:themeFill="text1" w:themeFillTint="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808080" w:themeFill="text1" w:themeFillTint="7F" w:val="clear"/>
      </w:tcPr>
    </w:tblStylePr>
  </w:style>
  <w:style w:styleId="3-1" w:type="table">
    <w:name w:val="Medium Grid 3 Accent 1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</w:tblPr>
    <w:tcPr>
      <w:shd w:color="auto" w:fill="D3DFEE" w:themeFill="accent1" w:themeFillTint="3F" w:val="clear"/>
    </w:tcPr>
    <w:tblStylePr w:type="fir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4F81BD" w:themeFill="accent1" w:val="clear"/>
      </w:tcPr>
    </w:tblStylePr>
    <w:tblStylePr w:type="la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4F81BD" w:themeFill="accent1" w:val="clear"/>
      </w:tcPr>
    </w:tblStylePr>
    <w:tblStylePr w:type="firstCol">
      <w:rPr>
        <w:b/>
        <w:bCs/>
        <w:i w:val="0"/>
        <w:iCs w:val="0"/>
        <w:color w:themeColor="background1" w:val="FFFFFF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val="nil"/>
          <w:insideV w:val="nil"/>
        </w:tcBorders>
        <w:shd w:color="auto" w:fill="4F81BD" w:themeFill="accent1" w:val="clear"/>
      </w:tcPr>
    </w:tblStylePr>
    <w:tblStylePr w:type="lastCol">
      <w:rPr>
        <w:b/>
        <w:bCs/>
        <w:i w:val="0"/>
        <w:iCs w:val="0"/>
        <w:color w:themeColor="background1" w:val="FFFFFF"/>
      </w:rPr>
      <w:tblPr/>
      <w:tcPr>
        <w:tcBorders>
          <w:top w:val="nil"/>
          <w:left w:color="FFFFFF" w:space="0" w:sz="24" w:themeColor="background1" w:val="single"/>
          <w:bottom w:val="nil"/>
          <w:right w:val="nil"/>
          <w:insideH w:val="nil"/>
          <w:insideV w:val="nil"/>
        </w:tcBorders>
        <w:shd w:color="auto" w:fill="4F81BD" w:themeFill="accent1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val="nil"/>
        </w:tcBorders>
        <w:shd w:color="auto" w:fill="A7BFDE" w:themeFill="accent1" w:themeFillTint="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A7BFDE" w:themeFill="accent1" w:themeFillTint="7F" w:val="clear"/>
      </w:tcPr>
    </w:tblStylePr>
  </w:style>
  <w:style w:styleId="3-2" w:type="table">
    <w:name w:val="Medium Grid 3 Accent 2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</w:tblPr>
    <w:tcPr>
      <w:shd w:color="auto" w:fill="EFD3D2" w:themeFill="accent2" w:themeFillTint="3F" w:val="clear"/>
    </w:tcPr>
    <w:tblStylePr w:type="fir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C0504D" w:themeFill="accent2" w:val="clear"/>
      </w:tcPr>
    </w:tblStylePr>
    <w:tblStylePr w:type="la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C0504D" w:themeFill="accent2" w:val="clear"/>
      </w:tcPr>
    </w:tblStylePr>
    <w:tblStylePr w:type="firstCol">
      <w:rPr>
        <w:b/>
        <w:bCs/>
        <w:i w:val="0"/>
        <w:iCs w:val="0"/>
        <w:color w:themeColor="background1" w:val="FFFFFF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val="nil"/>
          <w:insideV w:val="nil"/>
        </w:tcBorders>
        <w:shd w:color="auto" w:fill="C0504D" w:themeFill="accent2" w:val="clear"/>
      </w:tcPr>
    </w:tblStylePr>
    <w:tblStylePr w:type="lastCol">
      <w:rPr>
        <w:b/>
        <w:bCs/>
        <w:i w:val="0"/>
        <w:iCs w:val="0"/>
        <w:color w:themeColor="background1" w:val="FFFFFF"/>
      </w:rPr>
      <w:tblPr/>
      <w:tcPr>
        <w:tcBorders>
          <w:top w:val="nil"/>
          <w:left w:color="FFFFFF" w:space="0" w:sz="24" w:themeColor="background1" w:val="single"/>
          <w:bottom w:val="nil"/>
          <w:right w:val="nil"/>
          <w:insideH w:val="nil"/>
          <w:insideV w:val="nil"/>
        </w:tcBorders>
        <w:shd w:color="auto" w:fill="C0504D" w:themeFill="accent2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val="nil"/>
        </w:tcBorders>
        <w:shd w:color="auto" w:fill="DFA7A6" w:themeFill="accent2" w:themeFillTint="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DFA7A6" w:themeFill="accent2" w:themeFillTint="7F" w:val="clear"/>
      </w:tcPr>
    </w:tblStylePr>
  </w:style>
  <w:style w:styleId="3-3" w:type="table">
    <w:name w:val="Medium Grid 3 Accent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</w:tblPr>
    <w:tcPr>
      <w:shd w:color="auto" w:fill="E6EED5" w:themeFill="accent3" w:themeFillTint="3F" w:val="clear"/>
    </w:tcPr>
    <w:tblStylePr w:type="fir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9BBB59" w:themeFill="accent3" w:val="clear"/>
      </w:tcPr>
    </w:tblStylePr>
    <w:tblStylePr w:type="la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9BBB59" w:themeFill="accent3" w:val="clear"/>
      </w:tcPr>
    </w:tblStylePr>
    <w:tblStylePr w:type="firstCol">
      <w:rPr>
        <w:b/>
        <w:bCs/>
        <w:i w:val="0"/>
        <w:iCs w:val="0"/>
        <w:color w:themeColor="background1" w:val="FFFFFF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val="nil"/>
          <w:insideV w:val="nil"/>
        </w:tcBorders>
        <w:shd w:color="auto" w:fill="9BBB59" w:themeFill="accent3" w:val="clear"/>
      </w:tcPr>
    </w:tblStylePr>
    <w:tblStylePr w:type="lastCol">
      <w:rPr>
        <w:b/>
        <w:bCs/>
        <w:i w:val="0"/>
        <w:iCs w:val="0"/>
        <w:color w:themeColor="background1" w:val="FFFFFF"/>
      </w:rPr>
      <w:tblPr/>
      <w:tcPr>
        <w:tcBorders>
          <w:top w:val="nil"/>
          <w:left w:color="FFFFFF" w:space="0" w:sz="24" w:themeColor="background1" w:val="single"/>
          <w:bottom w:val="nil"/>
          <w:right w:val="nil"/>
          <w:insideH w:val="nil"/>
          <w:insideV w:val="nil"/>
        </w:tcBorders>
        <w:shd w:color="auto" w:fill="9BBB59" w:themeFill="accent3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val="nil"/>
        </w:tcBorders>
        <w:shd w:color="auto" w:fill="CDDDAC" w:themeFill="accent3" w:themeFillTint="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CDDDAC" w:themeFill="accent3" w:themeFillTint="7F" w:val="clear"/>
      </w:tcPr>
    </w:tblStylePr>
  </w:style>
  <w:style w:styleId="3-4" w:type="table">
    <w:name w:val="Medium Grid 3 Accent 4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</w:tblPr>
    <w:tcPr>
      <w:shd w:color="auto" w:fill="DFD8E8" w:themeFill="accent4" w:themeFillTint="3F" w:val="clear"/>
    </w:tcPr>
    <w:tblStylePr w:type="fir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8064A2" w:themeFill="accent4" w:val="clear"/>
      </w:tcPr>
    </w:tblStylePr>
    <w:tblStylePr w:type="la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8064A2" w:themeFill="accent4" w:val="clear"/>
      </w:tcPr>
    </w:tblStylePr>
    <w:tblStylePr w:type="firstCol">
      <w:rPr>
        <w:b/>
        <w:bCs/>
        <w:i w:val="0"/>
        <w:iCs w:val="0"/>
        <w:color w:themeColor="background1" w:val="FFFFFF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val="nil"/>
          <w:insideV w:val="nil"/>
        </w:tcBorders>
        <w:shd w:color="auto" w:fill="8064A2" w:themeFill="accent4" w:val="clear"/>
      </w:tcPr>
    </w:tblStylePr>
    <w:tblStylePr w:type="lastCol">
      <w:rPr>
        <w:b/>
        <w:bCs/>
        <w:i w:val="0"/>
        <w:iCs w:val="0"/>
        <w:color w:themeColor="background1" w:val="FFFFFF"/>
      </w:rPr>
      <w:tblPr/>
      <w:tcPr>
        <w:tcBorders>
          <w:top w:val="nil"/>
          <w:left w:color="FFFFFF" w:space="0" w:sz="24" w:themeColor="background1" w:val="single"/>
          <w:bottom w:val="nil"/>
          <w:right w:val="nil"/>
          <w:insideH w:val="nil"/>
          <w:insideV w:val="nil"/>
        </w:tcBorders>
        <w:shd w:color="auto" w:fill="8064A2" w:themeFill="accent4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val="nil"/>
        </w:tcBorders>
        <w:shd w:color="auto" w:fill="BFB1D0" w:themeFill="accent4" w:themeFillTint="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BFB1D0" w:themeFill="accent4" w:themeFillTint="7F" w:val="clear"/>
      </w:tcPr>
    </w:tblStylePr>
  </w:style>
  <w:style w:styleId="3-5" w:type="table">
    <w:name w:val="Medium Grid 3 Accent 5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</w:tblPr>
    <w:tcPr>
      <w:shd w:color="auto" w:fill="D2EAF1" w:themeFill="accent5" w:themeFillTint="3F" w:val="clear"/>
    </w:tcPr>
    <w:tblStylePr w:type="fir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4BACC6" w:themeFill="accent5" w:val="clear"/>
      </w:tcPr>
    </w:tblStylePr>
    <w:tblStylePr w:type="la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4BACC6" w:themeFill="accent5" w:val="clear"/>
      </w:tcPr>
    </w:tblStylePr>
    <w:tblStylePr w:type="firstCol">
      <w:rPr>
        <w:b/>
        <w:bCs/>
        <w:i w:val="0"/>
        <w:iCs w:val="0"/>
        <w:color w:themeColor="background1" w:val="FFFFFF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val="nil"/>
          <w:insideV w:val="nil"/>
        </w:tcBorders>
        <w:shd w:color="auto" w:fill="4BACC6" w:themeFill="accent5" w:val="clear"/>
      </w:tcPr>
    </w:tblStylePr>
    <w:tblStylePr w:type="lastCol">
      <w:rPr>
        <w:b/>
        <w:bCs/>
        <w:i w:val="0"/>
        <w:iCs w:val="0"/>
        <w:color w:themeColor="background1" w:val="FFFFFF"/>
      </w:rPr>
      <w:tblPr/>
      <w:tcPr>
        <w:tcBorders>
          <w:top w:val="nil"/>
          <w:left w:color="FFFFFF" w:space="0" w:sz="24" w:themeColor="background1" w:val="single"/>
          <w:bottom w:val="nil"/>
          <w:right w:val="nil"/>
          <w:insideH w:val="nil"/>
          <w:insideV w:val="nil"/>
        </w:tcBorders>
        <w:shd w:color="auto" w:fill="4BACC6" w:themeFill="accent5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val="nil"/>
        </w:tcBorders>
        <w:shd w:color="auto" w:fill="A5D5E2" w:themeFill="accent5" w:themeFillTint="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A5D5E2" w:themeFill="accent5" w:themeFillTint="7F" w:val="clear"/>
      </w:tcPr>
    </w:tblStylePr>
  </w:style>
  <w:style w:styleId="3-6" w:type="table">
    <w:name w:val="Medium Grid 3 Accent 6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</w:tblPr>
    <w:tcPr>
      <w:shd w:color="auto" w:fill="FDE4D0" w:themeFill="accent6" w:themeFillTint="3F" w:val="clear"/>
    </w:tcPr>
    <w:tblStylePr w:type="fir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F79646" w:themeFill="accent6" w:val="clear"/>
      </w:tcPr>
    </w:tblStylePr>
    <w:tblStylePr w:type="la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F79646" w:themeFill="accent6" w:val="clear"/>
      </w:tcPr>
    </w:tblStylePr>
    <w:tblStylePr w:type="firstCol">
      <w:rPr>
        <w:b/>
        <w:bCs/>
        <w:i w:val="0"/>
        <w:iCs w:val="0"/>
        <w:color w:themeColor="background1" w:val="FFFFFF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val="nil"/>
          <w:insideV w:val="nil"/>
        </w:tcBorders>
        <w:shd w:color="auto" w:fill="F79646" w:themeFill="accent6" w:val="clear"/>
      </w:tcPr>
    </w:tblStylePr>
    <w:tblStylePr w:type="lastCol">
      <w:rPr>
        <w:b/>
        <w:bCs/>
        <w:i w:val="0"/>
        <w:iCs w:val="0"/>
        <w:color w:themeColor="background1" w:val="FFFFFF"/>
      </w:rPr>
      <w:tblPr/>
      <w:tcPr>
        <w:tcBorders>
          <w:top w:val="nil"/>
          <w:left w:color="FFFFFF" w:space="0" w:sz="24" w:themeColor="background1" w:val="single"/>
          <w:bottom w:val="nil"/>
          <w:right w:val="nil"/>
          <w:insideH w:val="nil"/>
          <w:insideV w:val="nil"/>
        </w:tcBorders>
        <w:shd w:color="auto" w:fill="F79646" w:themeFill="accent6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val="nil"/>
        </w:tcBorders>
        <w:shd w:color="auto" w:fill="FBCAA2" w:themeFill="accent6" w:themeFillTint="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FBCAA2" w:themeFill="accent6" w:themeFillTint="7F" w:val="clear"/>
      </w:tcPr>
    </w:tblStylePr>
  </w:style>
  <w:style w:styleId="aff4" w:type="table">
    <w:name w:val="Dark List"/>
    <w:basedOn w:val="a3"/>
    <w:uiPriority w:val="70"/>
    <w:rsid w:val="00CB0664"/>
    <w:pPr>
      <w:spacing w:after="0" w:line="240" w:lineRule="auto"/>
    </w:pPr>
    <w:rPr>
      <w:color w:themeColor="background1" w:val="FFFFFF"/>
    </w:rPr>
    <w:tblPr>
      <w:tblStyleRowBandSize w:val="1"/>
      <w:tblStyleColBandSize w:val="1"/>
    </w:tblPr>
    <w:tcPr>
      <w:shd w:color="auto" w:fill="000000" w:themeFill="text1" w:val="clear"/>
    </w:tcPr>
    <w:tblStylePr w:type="firstRow">
      <w:rPr>
        <w:b/>
        <w:bCs/>
      </w:rPr>
      <w:tblPr/>
      <w:tcPr>
        <w:tcBorders>
          <w:top w:val="nil"/>
          <w:left w:val="nil"/>
          <w:bottom w:color="FFFFFF" w:space="0" w:sz="18" w:themeColor="background1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val="nil"/>
          <w:bottom w:val="nil"/>
          <w:right w:val="nil"/>
          <w:insideH w:val="nil"/>
          <w:insideV w:val="nil"/>
        </w:tcBorders>
        <w:shd w:color="auto" w:fill="000000" w:themeFill="text1" w:themeFillShade="7F" w:val="clear"/>
      </w:tcPr>
    </w:tblStylePr>
    <w:tblStylePr w:type="firstCol">
      <w:tblPr/>
      <w:tcPr>
        <w:tcBorders>
          <w:top w:val="nil"/>
          <w:left w:val="nil"/>
          <w:bottom w:val="nil"/>
          <w:right w:color="FFFFFF" w:space="0" w:sz="18" w:themeColor="background1" w:val="single"/>
          <w:insideH w:val="nil"/>
          <w:insideV w:val="nil"/>
        </w:tcBorders>
        <w:shd w:color="auto" w:fill="000000" w:themeFill="text1" w:themeFillShade="BF" w:val="clear"/>
      </w:tcPr>
    </w:tblStylePr>
    <w:tblStylePr w:type="lastCol">
      <w:tblPr/>
      <w:tcPr>
        <w:tcBorders>
          <w:top w:val="nil"/>
          <w:left w:color="FFFFFF" w:space="0" w:sz="18" w:themeColor="background1" w:val="single"/>
          <w:bottom w:val="nil"/>
          <w:right w:val="nil"/>
          <w:insideH w:val="nil"/>
          <w:insideV w:val="nil"/>
        </w:tcBorders>
        <w:shd w:color="auto" w:fill="000000" w:themeFill="text1" w:themeFillShade="BF" w:val="clear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000000" w:themeFill="text1" w:themeFillShade="BF" w:val="clear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000000" w:themeFill="text1" w:themeFillShade="BF" w:val="clear"/>
      </w:tcPr>
    </w:tblStylePr>
  </w:style>
  <w:style w:styleId="-12" w:type="table">
    <w:name w:val="Dark List Accent 1"/>
    <w:basedOn w:val="a3"/>
    <w:uiPriority w:val="70"/>
    <w:rsid w:val="00CB0664"/>
    <w:pPr>
      <w:spacing w:after="0" w:line="240" w:lineRule="auto"/>
    </w:pPr>
    <w:rPr>
      <w:color w:themeColor="background1" w:val="FFFFFF"/>
    </w:rPr>
    <w:tblPr>
      <w:tblStyleRowBandSize w:val="1"/>
      <w:tblStyleColBandSize w:val="1"/>
    </w:tblPr>
    <w:tcPr>
      <w:shd w:color="auto" w:fill="4F81BD" w:themeFill="accent1" w:val="clear"/>
    </w:tcPr>
    <w:tblStylePr w:type="firstRow">
      <w:rPr>
        <w:b/>
        <w:bCs/>
      </w:rPr>
      <w:tblPr/>
      <w:tcPr>
        <w:tcBorders>
          <w:top w:val="nil"/>
          <w:left w:val="nil"/>
          <w:bottom w:color="FFFFFF" w:space="0" w:sz="18" w:themeColor="background1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val="nil"/>
          <w:bottom w:val="nil"/>
          <w:right w:val="nil"/>
          <w:insideH w:val="nil"/>
          <w:insideV w:val="nil"/>
        </w:tcBorders>
        <w:shd w:color="auto" w:fill="243F60" w:themeFill="accent1" w:themeFillShade="7F" w:val="clear"/>
      </w:tcPr>
    </w:tblStylePr>
    <w:tblStylePr w:type="firstCol">
      <w:tblPr/>
      <w:tcPr>
        <w:tcBorders>
          <w:top w:val="nil"/>
          <w:left w:val="nil"/>
          <w:bottom w:val="nil"/>
          <w:right w:color="FFFFFF" w:space="0" w:sz="18" w:themeColor="background1" w:val="single"/>
          <w:insideH w:val="nil"/>
          <w:insideV w:val="nil"/>
        </w:tcBorders>
        <w:shd w:color="auto" w:fill="365F91" w:themeFill="accent1" w:themeFillShade="BF" w:val="clear"/>
      </w:tcPr>
    </w:tblStylePr>
    <w:tblStylePr w:type="lastCol">
      <w:tblPr/>
      <w:tcPr>
        <w:tcBorders>
          <w:top w:val="nil"/>
          <w:left w:color="FFFFFF" w:space="0" w:sz="18" w:themeColor="background1" w:val="single"/>
          <w:bottom w:val="nil"/>
          <w:right w:val="nil"/>
          <w:insideH w:val="nil"/>
          <w:insideV w:val="nil"/>
        </w:tcBorders>
        <w:shd w:color="auto" w:fill="365F91" w:themeFill="accent1" w:themeFillShade="BF" w:val="clear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365F91" w:themeFill="accent1" w:themeFillShade="BF" w:val="clear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365F91" w:themeFill="accent1" w:themeFillShade="BF" w:val="clear"/>
      </w:tcPr>
    </w:tblStylePr>
  </w:style>
  <w:style w:styleId="-22" w:type="table">
    <w:name w:val="Dark List Accent 2"/>
    <w:basedOn w:val="a3"/>
    <w:uiPriority w:val="70"/>
    <w:rsid w:val="00CB0664"/>
    <w:pPr>
      <w:spacing w:after="0" w:line="240" w:lineRule="auto"/>
    </w:pPr>
    <w:rPr>
      <w:color w:themeColor="background1" w:val="FFFFFF"/>
    </w:rPr>
    <w:tblPr>
      <w:tblStyleRowBandSize w:val="1"/>
      <w:tblStyleColBandSize w:val="1"/>
    </w:tblPr>
    <w:tcPr>
      <w:shd w:color="auto" w:fill="C0504D" w:themeFill="accent2" w:val="clear"/>
    </w:tcPr>
    <w:tblStylePr w:type="firstRow">
      <w:rPr>
        <w:b/>
        <w:bCs/>
      </w:rPr>
      <w:tblPr/>
      <w:tcPr>
        <w:tcBorders>
          <w:top w:val="nil"/>
          <w:left w:val="nil"/>
          <w:bottom w:color="FFFFFF" w:space="0" w:sz="18" w:themeColor="background1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val="nil"/>
          <w:bottom w:val="nil"/>
          <w:right w:val="nil"/>
          <w:insideH w:val="nil"/>
          <w:insideV w:val="nil"/>
        </w:tcBorders>
        <w:shd w:color="auto" w:fill="622423" w:themeFill="accent2" w:themeFillShade="7F" w:val="clear"/>
      </w:tcPr>
    </w:tblStylePr>
    <w:tblStylePr w:type="firstCol">
      <w:tblPr/>
      <w:tcPr>
        <w:tcBorders>
          <w:top w:val="nil"/>
          <w:left w:val="nil"/>
          <w:bottom w:val="nil"/>
          <w:right w:color="FFFFFF" w:space="0" w:sz="18" w:themeColor="background1" w:val="single"/>
          <w:insideH w:val="nil"/>
          <w:insideV w:val="nil"/>
        </w:tcBorders>
        <w:shd w:color="auto" w:fill="943634" w:themeFill="accent2" w:themeFillShade="BF" w:val="clear"/>
      </w:tcPr>
    </w:tblStylePr>
    <w:tblStylePr w:type="lastCol">
      <w:tblPr/>
      <w:tcPr>
        <w:tcBorders>
          <w:top w:val="nil"/>
          <w:left w:color="FFFFFF" w:space="0" w:sz="18" w:themeColor="background1" w:val="single"/>
          <w:bottom w:val="nil"/>
          <w:right w:val="nil"/>
          <w:insideH w:val="nil"/>
          <w:insideV w:val="nil"/>
        </w:tcBorders>
        <w:shd w:color="auto" w:fill="943634" w:themeFill="accent2" w:themeFillShade="BF" w:val="clear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943634" w:themeFill="accent2" w:themeFillShade="BF" w:val="clear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943634" w:themeFill="accent2" w:themeFillShade="BF" w:val="clear"/>
      </w:tcPr>
    </w:tblStylePr>
  </w:style>
  <w:style w:styleId="-32" w:type="table">
    <w:name w:val="Dark List Accent 3"/>
    <w:basedOn w:val="a3"/>
    <w:uiPriority w:val="70"/>
    <w:rsid w:val="00CB0664"/>
    <w:pPr>
      <w:spacing w:after="0" w:line="240" w:lineRule="auto"/>
    </w:pPr>
    <w:rPr>
      <w:color w:themeColor="background1" w:val="FFFFFF"/>
    </w:rPr>
    <w:tblPr>
      <w:tblStyleRowBandSize w:val="1"/>
      <w:tblStyleColBandSize w:val="1"/>
    </w:tblPr>
    <w:tcPr>
      <w:shd w:color="auto" w:fill="9BBB59" w:themeFill="accent3" w:val="clear"/>
    </w:tcPr>
    <w:tblStylePr w:type="firstRow">
      <w:rPr>
        <w:b/>
        <w:bCs/>
      </w:rPr>
      <w:tblPr/>
      <w:tcPr>
        <w:tcBorders>
          <w:top w:val="nil"/>
          <w:left w:val="nil"/>
          <w:bottom w:color="FFFFFF" w:space="0" w:sz="18" w:themeColor="background1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val="nil"/>
          <w:bottom w:val="nil"/>
          <w:right w:val="nil"/>
          <w:insideH w:val="nil"/>
          <w:insideV w:val="nil"/>
        </w:tcBorders>
        <w:shd w:color="auto" w:fill="4E6128" w:themeFill="accent3" w:themeFillShade="7F" w:val="clear"/>
      </w:tcPr>
    </w:tblStylePr>
    <w:tblStylePr w:type="firstCol">
      <w:tblPr/>
      <w:tcPr>
        <w:tcBorders>
          <w:top w:val="nil"/>
          <w:left w:val="nil"/>
          <w:bottom w:val="nil"/>
          <w:right w:color="FFFFFF" w:space="0" w:sz="18" w:themeColor="background1" w:val="single"/>
          <w:insideH w:val="nil"/>
          <w:insideV w:val="nil"/>
        </w:tcBorders>
        <w:shd w:color="auto" w:fill="76923C" w:themeFill="accent3" w:themeFillShade="BF" w:val="clear"/>
      </w:tcPr>
    </w:tblStylePr>
    <w:tblStylePr w:type="lastCol">
      <w:tblPr/>
      <w:tcPr>
        <w:tcBorders>
          <w:top w:val="nil"/>
          <w:left w:color="FFFFFF" w:space="0" w:sz="18" w:themeColor="background1" w:val="single"/>
          <w:bottom w:val="nil"/>
          <w:right w:val="nil"/>
          <w:insideH w:val="nil"/>
          <w:insideV w:val="nil"/>
        </w:tcBorders>
        <w:shd w:color="auto" w:fill="76923C" w:themeFill="accent3" w:themeFillShade="BF" w:val="clear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76923C" w:themeFill="accent3" w:themeFillShade="BF" w:val="clear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76923C" w:themeFill="accent3" w:themeFillShade="BF" w:val="clear"/>
      </w:tcPr>
    </w:tblStylePr>
  </w:style>
  <w:style w:styleId="-42" w:type="table">
    <w:name w:val="Dark List Accent 4"/>
    <w:basedOn w:val="a3"/>
    <w:uiPriority w:val="70"/>
    <w:rsid w:val="00CB0664"/>
    <w:pPr>
      <w:spacing w:after="0" w:line="240" w:lineRule="auto"/>
    </w:pPr>
    <w:rPr>
      <w:color w:themeColor="background1" w:val="FFFFFF"/>
    </w:rPr>
    <w:tblPr>
      <w:tblStyleRowBandSize w:val="1"/>
      <w:tblStyleColBandSize w:val="1"/>
    </w:tblPr>
    <w:tcPr>
      <w:shd w:color="auto" w:fill="8064A2" w:themeFill="accent4" w:val="clear"/>
    </w:tcPr>
    <w:tblStylePr w:type="firstRow">
      <w:rPr>
        <w:b/>
        <w:bCs/>
      </w:rPr>
      <w:tblPr/>
      <w:tcPr>
        <w:tcBorders>
          <w:top w:val="nil"/>
          <w:left w:val="nil"/>
          <w:bottom w:color="FFFFFF" w:space="0" w:sz="18" w:themeColor="background1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val="nil"/>
          <w:bottom w:val="nil"/>
          <w:right w:val="nil"/>
          <w:insideH w:val="nil"/>
          <w:insideV w:val="nil"/>
        </w:tcBorders>
        <w:shd w:color="auto" w:fill="3F3151" w:themeFill="accent4" w:themeFillShade="7F" w:val="clear"/>
      </w:tcPr>
    </w:tblStylePr>
    <w:tblStylePr w:type="firstCol">
      <w:tblPr/>
      <w:tcPr>
        <w:tcBorders>
          <w:top w:val="nil"/>
          <w:left w:val="nil"/>
          <w:bottom w:val="nil"/>
          <w:right w:color="FFFFFF" w:space="0" w:sz="18" w:themeColor="background1" w:val="single"/>
          <w:insideH w:val="nil"/>
          <w:insideV w:val="nil"/>
        </w:tcBorders>
        <w:shd w:color="auto" w:fill="5F497A" w:themeFill="accent4" w:themeFillShade="BF" w:val="clear"/>
      </w:tcPr>
    </w:tblStylePr>
    <w:tblStylePr w:type="lastCol">
      <w:tblPr/>
      <w:tcPr>
        <w:tcBorders>
          <w:top w:val="nil"/>
          <w:left w:color="FFFFFF" w:space="0" w:sz="18" w:themeColor="background1" w:val="single"/>
          <w:bottom w:val="nil"/>
          <w:right w:val="nil"/>
          <w:insideH w:val="nil"/>
          <w:insideV w:val="nil"/>
        </w:tcBorders>
        <w:shd w:color="auto" w:fill="5F497A" w:themeFill="accent4" w:themeFillShade="BF" w:val="clear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5F497A" w:themeFill="accent4" w:themeFillShade="BF" w:val="clear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5F497A" w:themeFill="accent4" w:themeFillShade="BF" w:val="clear"/>
      </w:tcPr>
    </w:tblStylePr>
  </w:style>
  <w:style w:styleId="-52" w:type="table">
    <w:name w:val="Dark List Accent 5"/>
    <w:basedOn w:val="a3"/>
    <w:uiPriority w:val="70"/>
    <w:rsid w:val="00CB0664"/>
    <w:pPr>
      <w:spacing w:after="0" w:line="240" w:lineRule="auto"/>
    </w:pPr>
    <w:rPr>
      <w:color w:themeColor="background1" w:val="FFFFFF"/>
    </w:rPr>
    <w:tblPr>
      <w:tblStyleRowBandSize w:val="1"/>
      <w:tblStyleColBandSize w:val="1"/>
    </w:tblPr>
    <w:tcPr>
      <w:shd w:color="auto" w:fill="4BACC6" w:themeFill="accent5" w:val="clear"/>
    </w:tcPr>
    <w:tblStylePr w:type="firstRow">
      <w:rPr>
        <w:b/>
        <w:bCs/>
      </w:rPr>
      <w:tblPr/>
      <w:tcPr>
        <w:tcBorders>
          <w:top w:val="nil"/>
          <w:left w:val="nil"/>
          <w:bottom w:color="FFFFFF" w:space="0" w:sz="18" w:themeColor="background1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val="nil"/>
          <w:bottom w:val="nil"/>
          <w:right w:val="nil"/>
          <w:insideH w:val="nil"/>
          <w:insideV w:val="nil"/>
        </w:tcBorders>
        <w:shd w:color="auto" w:fill="205867" w:themeFill="accent5" w:themeFillShade="7F" w:val="clear"/>
      </w:tcPr>
    </w:tblStylePr>
    <w:tblStylePr w:type="firstCol">
      <w:tblPr/>
      <w:tcPr>
        <w:tcBorders>
          <w:top w:val="nil"/>
          <w:left w:val="nil"/>
          <w:bottom w:val="nil"/>
          <w:right w:color="FFFFFF" w:space="0" w:sz="18" w:themeColor="background1" w:val="single"/>
          <w:insideH w:val="nil"/>
          <w:insideV w:val="nil"/>
        </w:tcBorders>
        <w:shd w:color="auto" w:fill="31849B" w:themeFill="accent5" w:themeFillShade="BF" w:val="clear"/>
      </w:tcPr>
    </w:tblStylePr>
    <w:tblStylePr w:type="lastCol">
      <w:tblPr/>
      <w:tcPr>
        <w:tcBorders>
          <w:top w:val="nil"/>
          <w:left w:color="FFFFFF" w:space="0" w:sz="18" w:themeColor="background1" w:val="single"/>
          <w:bottom w:val="nil"/>
          <w:right w:val="nil"/>
          <w:insideH w:val="nil"/>
          <w:insideV w:val="nil"/>
        </w:tcBorders>
        <w:shd w:color="auto" w:fill="31849B" w:themeFill="accent5" w:themeFillShade="BF" w:val="clear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31849B" w:themeFill="accent5" w:themeFillShade="BF" w:val="clear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31849B" w:themeFill="accent5" w:themeFillShade="BF" w:val="clear"/>
      </w:tcPr>
    </w:tblStylePr>
  </w:style>
  <w:style w:styleId="-62" w:type="table">
    <w:name w:val="Dark List Accent 6"/>
    <w:basedOn w:val="a3"/>
    <w:uiPriority w:val="70"/>
    <w:rsid w:val="00CB0664"/>
    <w:pPr>
      <w:spacing w:after="0" w:line="240" w:lineRule="auto"/>
    </w:pPr>
    <w:rPr>
      <w:color w:themeColor="background1" w:val="FFFFFF"/>
    </w:rPr>
    <w:tblPr>
      <w:tblStyleRowBandSize w:val="1"/>
      <w:tblStyleColBandSize w:val="1"/>
    </w:tblPr>
    <w:tcPr>
      <w:shd w:color="auto" w:fill="F79646" w:themeFill="accent6" w:val="clear"/>
    </w:tcPr>
    <w:tblStylePr w:type="firstRow">
      <w:rPr>
        <w:b/>
        <w:bCs/>
      </w:rPr>
      <w:tblPr/>
      <w:tcPr>
        <w:tcBorders>
          <w:top w:val="nil"/>
          <w:left w:val="nil"/>
          <w:bottom w:color="FFFFFF" w:space="0" w:sz="18" w:themeColor="background1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val="nil"/>
          <w:bottom w:val="nil"/>
          <w:right w:val="nil"/>
          <w:insideH w:val="nil"/>
          <w:insideV w:val="nil"/>
        </w:tcBorders>
        <w:shd w:color="auto" w:fill="974706" w:themeFill="accent6" w:themeFillShade="7F" w:val="clear"/>
      </w:tcPr>
    </w:tblStylePr>
    <w:tblStylePr w:type="firstCol">
      <w:tblPr/>
      <w:tcPr>
        <w:tcBorders>
          <w:top w:val="nil"/>
          <w:left w:val="nil"/>
          <w:bottom w:val="nil"/>
          <w:right w:color="FFFFFF" w:space="0" w:sz="18" w:themeColor="background1" w:val="single"/>
          <w:insideH w:val="nil"/>
          <w:insideV w:val="nil"/>
        </w:tcBorders>
        <w:shd w:color="auto" w:fill="E36C0A" w:themeFill="accent6" w:themeFillShade="BF" w:val="clear"/>
      </w:tcPr>
    </w:tblStylePr>
    <w:tblStylePr w:type="lastCol">
      <w:tblPr/>
      <w:tcPr>
        <w:tcBorders>
          <w:top w:val="nil"/>
          <w:left w:color="FFFFFF" w:space="0" w:sz="18" w:themeColor="background1" w:val="single"/>
          <w:bottom w:val="nil"/>
          <w:right w:val="nil"/>
          <w:insideH w:val="nil"/>
          <w:insideV w:val="nil"/>
        </w:tcBorders>
        <w:shd w:color="auto" w:fill="E36C0A" w:themeFill="accent6" w:themeFillShade="BF" w:val="clear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E36C0A" w:themeFill="accent6" w:themeFillShade="BF" w:val="clear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E36C0A" w:themeFill="accent6" w:themeFillShade="BF" w:val="clear"/>
      </w:tcPr>
    </w:tblStylePr>
  </w:style>
  <w:style w:styleId="aff5" w:type="table">
    <w:name w:val="Colorful Shading"/>
    <w:basedOn w:val="a3"/>
    <w:uiPriority w:val="71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Borders>
        <w:top w:color="C0504D" w:space="0" w:sz="24" w:themeColor="accent2" w:val="single"/>
        <w:left w:color="000000" w:space="0" w:sz="4" w:themeColor="text1" w:val="single"/>
        <w:bottom w:color="000000" w:space="0" w:sz="4" w:themeColor="text1" w:val="single"/>
        <w:right w:color="000000" w:space="0" w:sz="4" w:themeColor="text1" w:val="single"/>
        <w:insideH w:color="FFFFFF" w:space="0" w:sz="4" w:themeColor="background1" w:val="single"/>
        <w:insideV w:color="FFFFFF" w:space="0" w:sz="4" w:themeColor="background1" w:val="single"/>
      </w:tblBorders>
    </w:tblPr>
    <w:tcPr>
      <w:shd w:color="auto" w:fill="E6E6E6" w:themeFill="text1" w:themeFillTint="19" w:val="clear"/>
    </w:tcPr>
    <w:tblStylePr w:type="firstRow">
      <w:rPr>
        <w:b/>
        <w:bCs/>
      </w:rPr>
      <w:tblPr/>
      <w:tcPr>
        <w:tcBorders>
          <w:top w:val="nil"/>
          <w:left w:val="nil"/>
          <w:bottom w:color="C0504D" w:space="0" w:sz="24" w:themeColor="accent2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rPr>
        <w:b/>
        <w:bCs/>
        <w:color w:themeColor="background1" w:val="FFFFFF"/>
      </w:rPr>
      <w:tblPr/>
      <w:tcPr>
        <w:tcBorders>
          <w:top w:color="FFFFFF" w:space="0" w:sz="6" w:themeColor="background1" w:val="single"/>
        </w:tcBorders>
        <w:shd w:color="auto" w:fill="000000" w:themeFill="text1" w:themeFillShade="99" w:val="clear"/>
      </w:tcPr>
    </w:tblStylePr>
    <w:tblStylePr w:type="fir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color="000000" w:space="0" w:sz="4" w:themeColor="text1" w:themeShade="99" w:val="single"/>
          <w:insideV w:val="nil"/>
        </w:tcBorders>
        <w:shd w:color="auto" w:fill="000000" w:themeFill="text1" w:themeFillShade="99" w:val="clear"/>
      </w:tcPr>
    </w:tblStylePr>
    <w:tblStylePr w:type="la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000000" w:themeFill="text1" w:themeFillShade="BF" w:val="clear"/>
      </w:tcPr>
    </w:tblStylePr>
    <w:tblStylePr w:type="band1Vert">
      <w:tblPr/>
      <w:tcPr>
        <w:shd w:color="auto" w:fill="999999" w:themeFill="text1" w:themeFillTint="66" w:val="clear"/>
      </w:tcPr>
    </w:tblStylePr>
    <w:tblStylePr w:type="band1Horz">
      <w:tblPr/>
      <w:tcPr>
        <w:shd w:color="auto" w:fill="808080" w:themeFill="text1" w:themeFillTint="7F" w:val="clear"/>
      </w:tcPr>
    </w:tblStylePr>
    <w:tblStylePr w:type="neCell">
      <w:rPr>
        <w:color w:themeColor="text1" w:val="000000"/>
      </w:rPr>
    </w:tblStylePr>
    <w:tblStylePr w:type="nwCell">
      <w:rPr>
        <w:color w:themeColor="text1" w:val="000000"/>
      </w:rPr>
    </w:tblStylePr>
  </w:style>
  <w:style w:styleId="-13" w:type="table">
    <w:name w:val="Colorful Shading Accent 1"/>
    <w:basedOn w:val="a3"/>
    <w:uiPriority w:val="71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Borders>
        <w:top w:color="C0504D" w:space="0" w:sz="24" w:themeColor="accent2" w:val="single"/>
        <w:left w:color="4F81BD" w:space="0" w:sz="4" w:themeColor="accent1" w:val="single"/>
        <w:bottom w:color="4F81BD" w:space="0" w:sz="4" w:themeColor="accent1" w:val="single"/>
        <w:right w:color="4F81BD" w:space="0" w:sz="4" w:themeColor="accent1" w:val="single"/>
        <w:insideH w:color="FFFFFF" w:space="0" w:sz="4" w:themeColor="background1" w:val="single"/>
        <w:insideV w:color="FFFFFF" w:space="0" w:sz="4" w:themeColor="background1" w:val="single"/>
      </w:tblBorders>
    </w:tblPr>
    <w:tcPr>
      <w:shd w:color="auto" w:fill="EDF2F8" w:themeFill="accent1" w:themeFillTint="19" w:val="clear"/>
    </w:tcPr>
    <w:tblStylePr w:type="firstRow">
      <w:rPr>
        <w:b/>
        <w:bCs/>
      </w:rPr>
      <w:tblPr/>
      <w:tcPr>
        <w:tcBorders>
          <w:top w:val="nil"/>
          <w:left w:val="nil"/>
          <w:bottom w:color="C0504D" w:space="0" w:sz="24" w:themeColor="accent2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rPr>
        <w:b/>
        <w:bCs/>
        <w:color w:themeColor="background1" w:val="FFFFFF"/>
      </w:rPr>
      <w:tblPr/>
      <w:tcPr>
        <w:tcBorders>
          <w:top w:color="FFFFFF" w:space="0" w:sz="6" w:themeColor="background1" w:val="single"/>
        </w:tcBorders>
        <w:shd w:color="auto" w:fill="2C4C74" w:themeFill="accent1" w:themeFillShade="99" w:val="clear"/>
      </w:tcPr>
    </w:tblStylePr>
    <w:tblStylePr w:type="fir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color="2C4C74" w:space="0" w:sz="4" w:themeColor="accent1" w:themeShade="99" w:val="single"/>
          <w:insideV w:val="nil"/>
        </w:tcBorders>
        <w:shd w:color="auto" w:fill="2C4C74" w:themeFill="accent1" w:themeFillShade="99" w:val="clear"/>
      </w:tcPr>
    </w:tblStylePr>
    <w:tblStylePr w:type="la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2C4C74" w:themeFill="accent1" w:themeFillShade="99" w:val="clear"/>
      </w:tcPr>
    </w:tblStylePr>
    <w:tblStylePr w:type="band1Vert">
      <w:tblPr/>
      <w:tcPr>
        <w:shd w:color="auto" w:fill="B8CCE4" w:themeFill="accent1" w:themeFillTint="66" w:val="clear"/>
      </w:tcPr>
    </w:tblStylePr>
    <w:tblStylePr w:type="band1Horz">
      <w:tblPr/>
      <w:tcPr>
        <w:shd w:color="auto" w:fill="A7BFDE" w:themeFill="accent1" w:themeFillTint="7F" w:val="clear"/>
      </w:tcPr>
    </w:tblStylePr>
    <w:tblStylePr w:type="neCell">
      <w:rPr>
        <w:color w:themeColor="text1" w:val="000000"/>
      </w:rPr>
    </w:tblStylePr>
    <w:tblStylePr w:type="nwCell">
      <w:rPr>
        <w:color w:themeColor="text1" w:val="000000"/>
      </w:rPr>
    </w:tblStylePr>
  </w:style>
  <w:style w:styleId="-23" w:type="table">
    <w:name w:val="Colorful Shading Accent 2"/>
    <w:basedOn w:val="a3"/>
    <w:uiPriority w:val="71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Borders>
        <w:top w:color="C0504D" w:space="0" w:sz="24" w:themeColor="accent2" w:val="single"/>
        <w:left w:color="C0504D" w:space="0" w:sz="4" w:themeColor="accent2" w:val="single"/>
        <w:bottom w:color="C0504D" w:space="0" w:sz="4" w:themeColor="accent2" w:val="single"/>
        <w:right w:color="C0504D" w:space="0" w:sz="4" w:themeColor="accent2" w:val="single"/>
        <w:insideH w:color="FFFFFF" w:space="0" w:sz="4" w:themeColor="background1" w:val="single"/>
        <w:insideV w:color="FFFFFF" w:space="0" w:sz="4" w:themeColor="background1" w:val="single"/>
      </w:tblBorders>
    </w:tblPr>
    <w:tcPr>
      <w:shd w:color="auto" w:fill="F8EDED" w:themeFill="accent2" w:themeFillTint="19" w:val="clear"/>
    </w:tcPr>
    <w:tblStylePr w:type="firstRow">
      <w:rPr>
        <w:b/>
        <w:bCs/>
      </w:rPr>
      <w:tblPr/>
      <w:tcPr>
        <w:tcBorders>
          <w:top w:val="nil"/>
          <w:left w:val="nil"/>
          <w:bottom w:color="C0504D" w:space="0" w:sz="24" w:themeColor="accent2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rPr>
        <w:b/>
        <w:bCs/>
        <w:color w:themeColor="background1" w:val="FFFFFF"/>
      </w:rPr>
      <w:tblPr/>
      <w:tcPr>
        <w:tcBorders>
          <w:top w:color="FFFFFF" w:space="0" w:sz="6" w:themeColor="background1" w:val="single"/>
        </w:tcBorders>
        <w:shd w:color="auto" w:fill="772C2A" w:themeFill="accent2" w:themeFillShade="99" w:val="clear"/>
      </w:tcPr>
    </w:tblStylePr>
    <w:tblStylePr w:type="fir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color="772C2A" w:space="0" w:sz="4" w:themeColor="accent2" w:themeShade="99" w:val="single"/>
          <w:insideV w:val="nil"/>
        </w:tcBorders>
        <w:shd w:color="auto" w:fill="772C2A" w:themeFill="accent2" w:themeFillShade="99" w:val="clear"/>
      </w:tcPr>
    </w:tblStylePr>
    <w:tblStylePr w:type="la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772C2A" w:themeFill="accent2" w:themeFillShade="99" w:val="clear"/>
      </w:tcPr>
    </w:tblStylePr>
    <w:tblStylePr w:type="band1Vert">
      <w:tblPr/>
      <w:tcPr>
        <w:shd w:color="auto" w:fill="E5B8B7" w:themeFill="accent2" w:themeFillTint="66" w:val="clear"/>
      </w:tcPr>
    </w:tblStylePr>
    <w:tblStylePr w:type="band1Horz">
      <w:tblPr/>
      <w:tcPr>
        <w:shd w:color="auto" w:fill="DFA7A6" w:themeFill="accent2" w:themeFillTint="7F" w:val="clear"/>
      </w:tcPr>
    </w:tblStylePr>
    <w:tblStylePr w:type="neCell">
      <w:rPr>
        <w:color w:themeColor="text1" w:val="000000"/>
      </w:rPr>
    </w:tblStylePr>
    <w:tblStylePr w:type="nwCell">
      <w:rPr>
        <w:color w:themeColor="text1" w:val="000000"/>
      </w:rPr>
    </w:tblStylePr>
  </w:style>
  <w:style w:styleId="-33" w:type="table">
    <w:name w:val="Colorful Shading Accent 3"/>
    <w:basedOn w:val="a3"/>
    <w:uiPriority w:val="71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Borders>
        <w:top w:color="8064A2" w:space="0" w:sz="24" w:themeColor="accent4" w:val="single"/>
        <w:left w:color="9BBB59" w:space="0" w:sz="4" w:themeColor="accent3" w:val="single"/>
        <w:bottom w:color="9BBB59" w:space="0" w:sz="4" w:themeColor="accent3" w:val="single"/>
        <w:right w:color="9BBB59" w:space="0" w:sz="4" w:themeColor="accent3" w:val="single"/>
        <w:insideH w:color="FFFFFF" w:space="0" w:sz="4" w:themeColor="background1" w:val="single"/>
        <w:insideV w:color="FFFFFF" w:space="0" w:sz="4" w:themeColor="background1" w:val="single"/>
      </w:tblBorders>
    </w:tblPr>
    <w:tcPr>
      <w:shd w:color="auto" w:fill="F5F8EE" w:themeFill="accent3" w:themeFillTint="19" w:val="clear"/>
    </w:tcPr>
    <w:tblStylePr w:type="firstRow">
      <w:rPr>
        <w:b/>
        <w:bCs/>
      </w:rPr>
      <w:tblPr/>
      <w:tcPr>
        <w:tcBorders>
          <w:top w:val="nil"/>
          <w:left w:val="nil"/>
          <w:bottom w:color="8064A2" w:space="0" w:sz="24" w:themeColor="accent4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rPr>
        <w:b/>
        <w:bCs/>
        <w:color w:themeColor="background1" w:val="FFFFFF"/>
      </w:rPr>
      <w:tblPr/>
      <w:tcPr>
        <w:tcBorders>
          <w:top w:color="FFFFFF" w:space="0" w:sz="6" w:themeColor="background1" w:val="single"/>
        </w:tcBorders>
        <w:shd w:color="auto" w:fill="5E7530" w:themeFill="accent3" w:themeFillShade="99" w:val="clear"/>
      </w:tcPr>
    </w:tblStylePr>
    <w:tblStylePr w:type="fir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color="5E7530" w:space="0" w:sz="4" w:themeColor="accent3" w:themeShade="99" w:val="single"/>
          <w:insideV w:val="nil"/>
        </w:tcBorders>
        <w:shd w:color="auto" w:fill="5E7530" w:themeFill="accent3" w:themeFillShade="99" w:val="clear"/>
      </w:tcPr>
    </w:tblStylePr>
    <w:tblStylePr w:type="la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5E7530" w:themeFill="accent3" w:themeFillShade="99" w:val="clear"/>
      </w:tcPr>
    </w:tblStylePr>
    <w:tblStylePr w:type="band1Vert">
      <w:tblPr/>
      <w:tcPr>
        <w:shd w:color="auto" w:fill="D6E3BC" w:themeFill="accent3" w:themeFillTint="66" w:val="clear"/>
      </w:tcPr>
    </w:tblStylePr>
    <w:tblStylePr w:type="band1Horz">
      <w:tblPr/>
      <w:tcPr>
        <w:shd w:color="auto" w:fill="CDDDAC" w:themeFill="accent3" w:themeFillTint="7F" w:val="clear"/>
      </w:tcPr>
    </w:tblStylePr>
  </w:style>
  <w:style w:styleId="-43" w:type="table">
    <w:name w:val="Colorful Shading Accent 4"/>
    <w:basedOn w:val="a3"/>
    <w:uiPriority w:val="71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Borders>
        <w:top w:color="9BBB59" w:space="0" w:sz="24" w:themeColor="accent3" w:val="single"/>
        <w:left w:color="8064A2" w:space="0" w:sz="4" w:themeColor="accent4" w:val="single"/>
        <w:bottom w:color="8064A2" w:space="0" w:sz="4" w:themeColor="accent4" w:val="single"/>
        <w:right w:color="8064A2" w:space="0" w:sz="4" w:themeColor="accent4" w:val="single"/>
        <w:insideH w:color="FFFFFF" w:space="0" w:sz="4" w:themeColor="background1" w:val="single"/>
        <w:insideV w:color="FFFFFF" w:space="0" w:sz="4" w:themeColor="background1" w:val="single"/>
      </w:tblBorders>
    </w:tblPr>
    <w:tcPr>
      <w:shd w:color="auto" w:fill="F2EFF6" w:themeFill="accent4" w:themeFillTint="19" w:val="clear"/>
    </w:tcPr>
    <w:tblStylePr w:type="firstRow">
      <w:rPr>
        <w:b/>
        <w:bCs/>
      </w:rPr>
      <w:tblPr/>
      <w:tcPr>
        <w:tcBorders>
          <w:top w:val="nil"/>
          <w:left w:val="nil"/>
          <w:bottom w:color="9BBB59" w:space="0" w:sz="24" w:themeColor="accent3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rPr>
        <w:b/>
        <w:bCs/>
        <w:color w:themeColor="background1" w:val="FFFFFF"/>
      </w:rPr>
      <w:tblPr/>
      <w:tcPr>
        <w:tcBorders>
          <w:top w:color="FFFFFF" w:space="0" w:sz="6" w:themeColor="background1" w:val="single"/>
        </w:tcBorders>
        <w:shd w:color="auto" w:fill="4C3B62" w:themeFill="accent4" w:themeFillShade="99" w:val="clear"/>
      </w:tcPr>
    </w:tblStylePr>
    <w:tblStylePr w:type="fir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color="4C3B62" w:space="0" w:sz="4" w:themeColor="accent4" w:themeShade="99" w:val="single"/>
          <w:insideV w:val="nil"/>
        </w:tcBorders>
        <w:shd w:color="auto" w:fill="4C3B62" w:themeFill="accent4" w:themeFillShade="99" w:val="clear"/>
      </w:tcPr>
    </w:tblStylePr>
    <w:tblStylePr w:type="la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4C3B62" w:themeFill="accent4" w:themeFillShade="99" w:val="clear"/>
      </w:tcPr>
    </w:tblStylePr>
    <w:tblStylePr w:type="band1Vert">
      <w:tblPr/>
      <w:tcPr>
        <w:shd w:color="auto" w:fill="CCC0D9" w:themeFill="accent4" w:themeFillTint="66" w:val="clear"/>
      </w:tcPr>
    </w:tblStylePr>
    <w:tblStylePr w:type="band1Horz">
      <w:tblPr/>
      <w:tcPr>
        <w:shd w:color="auto" w:fill="BFB1D0" w:themeFill="accent4" w:themeFillTint="7F" w:val="clear"/>
      </w:tcPr>
    </w:tblStylePr>
    <w:tblStylePr w:type="neCell">
      <w:rPr>
        <w:color w:themeColor="text1" w:val="000000"/>
      </w:rPr>
    </w:tblStylePr>
    <w:tblStylePr w:type="nwCell">
      <w:rPr>
        <w:color w:themeColor="text1" w:val="000000"/>
      </w:rPr>
    </w:tblStylePr>
  </w:style>
  <w:style w:styleId="-53" w:type="table">
    <w:name w:val="Colorful Shading Accent 5"/>
    <w:basedOn w:val="a3"/>
    <w:uiPriority w:val="71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Borders>
        <w:top w:color="F79646" w:space="0" w:sz="24" w:themeColor="accent6" w:val="single"/>
        <w:left w:color="4BACC6" w:space="0" w:sz="4" w:themeColor="accent5" w:val="single"/>
        <w:bottom w:color="4BACC6" w:space="0" w:sz="4" w:themeColor="accent5" w:val="single"/>
        <w:right w:color="4BACC6" w:space="0" w:sz="4" w:themeColor="accent5" w:val="single"/>
        <w:insideH w:color="FFFFFF" w:space="0" w:sz="4" w:themeColor="background1" w:val="single"/>
        <w:insideV w:color="FFFFFF" w:space="0" w:sz="4" w:themeColor="background1" w:val="single"/>
      </w:tblBorders>
    </w:tblPr>
    <w:tcPr>
      <w:shd w:color="auto" w:fill="EDF6F9" w:themeFill="accent5" w:themeFillTint="19" w:val="clear"/>
    </w:tcPr>
    <w:tblStylePr w:type="firstRow">
      <w:rPr>
        <w:b/>
        <w:bCs/>
      </w:rPr>
      <w:tblPr/>
      <w:tcPr>
        <w:tcBorders>
          <w:top w:val="nil"/>
          <w:left w:val="nil"/>
          <w:bottom w:color="F79646" w:space="0" w:sz="24" w:themeColor="accent6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rPr>
        <w:b/>
        <w:bCs/>
        <w:color w:themeColor="background1" w:val="FFFFFF"/>
      </w:rPr>
      <w:tblPr/>
      <w:tcPr>
        <w:tcBorders>
          <w:top w:color="FFFFFF" w:space="0" w:sz="6" w:themeColor="background1" w:val="single"/>
        </w:tcBorders>
        <w:shd w:color="auto" w:fill="276A7C" w:themeFill="accent5" w:themeFillShade="99" w:val="clear"/>
      </w:tcPr>
    </w:tblStylePr>
    <w:tblStylePr w:type="fir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color="276A7C" w:space="0" w:sz="4" w:themeColor="accent5" w:themeShade="99" w:val="single"/>
          <w:insideV w:val="nil"/>
        </w:tcBorders>
        <w:shd w:color="auto" w:fill="276A7C" w:themeFill="accent5" w:themeFillShade="99" w:val="clear"/>
      </w:tcPr>
    </w:tblStylePr>
    <w:tblStylePr w:type="la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276A7C" w:themeFill="accent5" w:themeFillShade="99" w:val="clear"/>
      </w:tcPr>
    </w:tblStylePr>
    <w:tblStylePr w:type="band1Vert">
      <w:tblPr/>
      <w:tcPr>
        <w:shd w:color="auto" w:fill="B6DDE8" w:themeFill="accent5" w:themeFillTint="66" w:val="clear"/>
      </w:tcPr>
    </w:tblStylePr>
    <w:tblStylePr w:type="band1Horz">
      <w:tblPr/>
      <w:tcPr>
        <w:shd w:color="auto" w:fill="A5D5E2" w:themeFill="accent5" w:themeFillTint="7F" w:val="clear"/>
      </w:tcPr>
    </w:tblStylePr>
    <w:tblStylePr w:type="neCell">
      <w:rPr>
        <w:color w:themeColor="text1" w:val="000000"/>
      </w:rPr>
    </w:tblStylePr>
    <w:tblStylePr w:type="nwCell">
      <w:rPr>
        <w:color w:themeColor="text1" w:val="000000"/>
      </w:rPr>
    </w:tblStylePr>
  </w:style>
  <w:style w:styleId="-63" w:type="table">
    <w:name w:val="Colorful Shading Accent 6"/>
    <w:basedOn w:val="a3"/>
    <w:uiPriority w:val="71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Borders>
        <w:top w:color="4BACC6" w:space="0" w:sz="24" w:themeColor="accent5" w:val="single"/>
        <w:left w:color="F79646" w:space="0" w:sz="4" w:themeColor="accent6" w:val="single"/>
        <w:bottom w:color="F79646" w:space="0" w:sz="4" w:themeColor="accent6" w:val="single"/>
        <w:right w:color="F79646" w:space="0" w:sz="4" w:themeColor="accent6" w:val="single"/>
        <w:insideH w:color="FFFFFF" w:space="0" w:sz="4" w:themeColor="background1" w:val="single"/>
        <w:insideV w:color="FFFFFF" w:space="0" w:sz="4" w:themeColor="background1" w:val="single"/>
      </w:tblBorders>
    </w:tblPr>
    <w:tcPr>
      <w:shd w:color="auto" w:fill="FEF4EC" w:themeFill="accent6" w:themeFillTint="19" w:val="clear"/>
    </w:tcPr>
    <w:tblStylePr w:type="firstRow">
      <w:rPr>
        <w:b/>
        <w:bCs/>
      </w:rPr>
      <w:tblPr/>
      <w:tcPr>
        <w:tcBorders>
          <w:top w:val="nil"/>
          <w:left w:val="nil"/>
          <w:bottom w:color="4BACC6" w:space="0" w:sz="24" w:themeColor="accent5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rPr>
        <w:b/>
        <w:bCs/>
        <w:color w:themeColor="background1" w:val="FFFFFF"/>
      </w:rPr>
      <w:tblPr/>
      <w:tcPr>
        <w:tcBorders>
          <w:top w:color="FFFFFF" w:space="0" w:sz="6" w:themeColor="background1" w:val="single"/>
        </w:tcBorders>
        <w:shd w:color="auto" w:fill="B65608" w:themeFill="accent6" w:themeFillShade="99" w:val="clear"/>
      </w:tcPr>
    </w:tblStylePr>
    <w:tblStylePr w:type="fir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color="B65608" w:space="0" w:sz="4" w:themeColor="accent6" w:themeShade="99" w:val="single"/>
          <w:insideV w:val="nil"/>
        </w:tcBorders>
        <w:shd w:color="auto" w:fill="B65608" w:themeFill="accent6" w:themeFillShade="99" w:val="clear"/>
      </w:tcPr>
    </w:tblStylePr>
    <w:tblStylePr w:type="la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B65608" w:themeFill="accent6" w:themeFillShade="99" w:val="clear"/>
      </w:tcPr>
    </w:tblStylePr>
    <w:tblStylePr w:type="band1Vert">
      <w:tblPr/>
      <w:tcPr>
        <w:shd w:color="auto" w:fill="FBD4B4" w:themeFill="accent6" w:themeFillTint="66" w:val="clear"/>
      </w:tcPr>
    </w:tblStylePr>
    <w:tblStylePr w:type="band1Horz">
      <w:tblPr/>
      <w:tcPr>
        <w:shd w:color="auto" w:fill="FBCAA2" w:themeFill="accent6" w:themeFillTint="7F" w:val="clear"/>
      </w:tcPr>
    </w:tblStylePr>
    <w:tblStylePr w:type="neCell">
      <w:rPr>
        <w:color w:themeColor="text1" w:val="000000"/>
      </w:rPr>
    </w:tblStylePr>
    <w:tblStylePr w:type="nwCell">
      <w:rPr>
        <w:color w:themeColor="text1" w:val="000000"/>
      </w:rPr>
    </w:tblStylePr>
  </w:style>
  <w:style w:styleId="aff6" w:type="table">
    <w:name w:val="Colorful List"/>
    <w:basedOn w:val="a3"/>
    <w:uiPriority w:val="72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</w:tblPr>
    <w:tcPr>
      <w:shd w:color="auto" w:fill="E6E6E6" w:themeFill="text1" w:themeFillTint="19" w:val="clear"/>
    </w:tcPr>
    <w:tblStylePr w:type="firstRow">
      <w:rPr>
        <w:b/>
        <w:bCs/>
        <w:color w:themeColor="background1" w:val="FFFFFF"/>
      </w:rPr>
      <w:tblPr/>
      <w:tcPr>
        <w:tcBorders>
          <w:bottom w:color="FFFFFF" w:space="0" w:sz="12" w:themeColor="background1" w:val="single"/>
        </w:tcBorders>
        <w:shd w:color="auto" w:fill="9E3A38" w:themeFill="accent2" w:themeFillShade="CC" w:val="clear"/>
      </w:tcPr>
    </w:tblStylePr>
    <w:tblStylePr w:type="lastRow">
      <w:rPr>
        <w:b/>
        <w:bCs/>
        <w:color w:themeColor="accent2" w:themeShade="CC" w:val="9E3A38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C0C0C0" w:themeFill="text1" w:themeFillTint="3F" w:val="clear"/>
      </w:tcPr>
    </w:tblStylePr>
    <w:tblStylePr w:type="band1Horz">
      <w:tblPr/>
      <w:tcPr>
        <w:shd w:color="auto" w:fill="CCCCCC" w:themeFill="text1" w:themeFillTint="33" w:val="clear"/>
      </w:tcPr>
    </w:tblStylePr>
  </w:style>
  <w:style w:styleId="-14" w:type="table">
    <w:name w:val="Colorful List Accent 1"/>
    <w:basedOn w:val="a3"/>
    <w:uiPriority w:val="72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</w:tblPr>
    <w:tcPr>
      <w:shd w:color="auto" w:fill="EDF2F8" w:themeFill="accent1" w:themeFillTint="19" w:val="clear"/>
    </w:tcPr>
    <w:tblStylePr w:type="firstRow">
      <w:rPr>
        <w:b/>
        <w:bCs/>
        <w:color w:themeColor="background1" w:val="FFFFFF"/>
      </w:rPr>
      <w:tblPr/>
      <w:tcPr>
        <w:tcBorders>
          <w:bottom w:color="FFFFFF" w:space="0" w:sz="12" w:themeColor="background1" w:val="single"/>
        </w:tcBorders>
        <w:shd w:color="auto" w:fill="9E3A38" w:themeFill="accent2" w:themeFillShade="CC" w:val="clear"/>
      </w:tcPr>
    </w:tblStylePr>
    <w:tblStylePr w:type="lastRow">
      <w:rPr>
        <w:b/>
        <w:bCs/>
        <w:color w:themeColor="accent2" w:themeShade="CC" w:val="9E3A38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D3DFEE" w:themeFill="accent1" w:themeFillTint="3F" w:val="clear"/>
      </w:tcPr>
    </w:tblStylePr>
    <w:tblStylePr w:type="band1Horz">
      <w:tblPr/>
      <w:tcPr>
        <w:shd w:color="auto" w:fill="DBE5F1" w:themeFill="accent1" w:themeFillTint="33" w:val="clear"/>
      </w:tcPr>
    </w:tblStylePr>
  </w:style>
  <w:style w:styleId="-24" w:type="table">
    <w:name w:val="Colorful List Accent 2"/>
    <w:basedOn w:val="a3"/>
    <w:uiPriority w:val="72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</w:tblPr>
    <w:tcPr>
      <w:shd w:color="auto" w:fill="F8EDED" w:themeFill="accent2" w:themeFillTint="19" w:val="clear"/>
    </w:tcPr>
    <w:tblStylePr w:type="firstRow">
      <w:rPr>
        <w:b/>
        <w:bCs/>
        <w:color w:themeColor="background1" w:val="FFFFFF"/>
      </w:rPr>
      <w:tblPr/>
      <w:tcPr>
        <w:tcBorders>
          <w:bottom w:color="FFFFFF" w:space="0" w:sz="12" w:themeColor="background1" w:val="single"/>
        </w:tcBorders>
        <w:shd w:color="auto" w:fill="9E3A38" w:themeFill="accent2" w:themeFillShade="CC" w:val="clear"/>
      </w:tcPr>
    </w:tblStylePr>
    <w:tblStylePr w:type="lastRow">
      <w:rPr>
        <w:b/>
        <w:bCs/>
        <w:color w:themeColor="accent2" w:themeShade="CC" w:val="9E3A38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EFD3D2" w:themeFill="accent2" w:themeFillTint="3F" w:val="clear"/>
      </w:tcPr>
    </w:tblStylePr>
    <w:tblStylePr w:type="band1Horz">
      <w:tblPr/>
      <w:tcPr>
        <w:shd w:color="auto" w:fill="F2DBDB" w:themeFill="accent2" w:themeFillTint="33" w:val="clear"/>
      </w:tcPr>
    </w:tblStylePr>
  </w:style>
  <w:style w:styleId="-34" w:type="table">
    <w:name w:val="Colorful List Accent 3"/>
    <w:basedOn w:val="a3"/>
    <w:uiPriority w:val="72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</w:tblPr>
    <w:tcPr>
      <w:shd w:color="auto" w:fill="F5F8EE" w:themeFill="accent3" w:themeFillTint="19" w:val="clear"/>
    </w:tcPr>
    <w:tblStylePr w:type="firstRow">
      <w:rPr>
        <w:b/>
        <w:bCs/>
        <w:color w:themeColor="background1" w:val="FFFFFF"/>
      </w:rPr>
      <w:tblPr/>
      <w:tcPr>
        <w:tcBorders>
          <w:bottom w:color="FFFFFF" w:space="0" w:sz="12" w:themeColor="background1" w:val="single"/>
        </w:tcBorders>
        <w:shd w:color="auto" w:fill="664E82" w:themeFill="accent4" w:themeFillShade="CC" w:val="clear"/>
      </w:tcPr>
    </w:tblStylePr>
    <w:tblStylePr w:type="lastRow">
      <w:rPr>
        <w:b/>
        <w:bCs/>
        <w:color w:themeColor="accent4" w:themeShade="CC" w:val="664E82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E6EED5" w:themeFill="accent3" w:themeFillTint="3F" w:val="clear"/>
      </w:tcPr>
    </w:tblStylePr>
    <w:tblStylePr w:type="band1Horz">
      <w:tblPr/>
      <w:tcPr>
        <w:shd w:color="auto" w:fill="EAF1DD" w:themeFill="accent3" w:themeFillTint="33" w:val="clear"/>
      </w:tcPr>
    </w:tblStylePr>
  </w:style>
  <w:style w:styleId="-44" w:type="table">
    <w:name w:val="Colorful List Accent 4"/>
    <w:basedOn w:val="a3"/>
    <w:uiPriority w:val="72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</w:tblPr>
    <w:tcPr>
      <w:shd w:color="auto" w:fill="F2EFF6" w:themeFill="accent4" w:themeFillTint="19" w:val="clear"/>
    </w:tcPr>
    <w:tblStylePr w:type="firstRow">
      <w:rPr>
        <w:b/>
        <w:bCs/>
        <w:color w:themeColor="background1" w:val="FFFFFF"/>
      </w:rPr>
      <w:tblPr/>
      <w:tcPr>
        <w:tcBorders>
          <w:bottom w:color="FFFFFF" w:space="0" w:sz="12" w:themeColor="background1" w:val="single"/>
        </w:tcBorders>
        <w:shd w:color="auto" w:fill="7E9C40" w:themeFill="accent3" w:themeFillShade="CC" w:val="clear"/>
      </w:tcPr>
    </w:tblStylePr>
    <w:tblStylePr w:type="lastRow">
      <w:rPr>
        <w:b/>
        <w:bCs/>
        <w:color w:themeColor="accent3" w:themeShade="CC" w:val="7E9C40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DFD8E8" w:themeFill="accent4" w:themeFillTint="3F" w:val="clear"/>
      </w:tcPr>
    </w:tblStylePr>
    <w:tblStylePr w:type="band1Horz">
      <w:tblPr/>
      <w:tcPr>
        <w:shd w:color="auto" w:fill="E5DFEC" w:themeFill="accent4" w:themeFillTint="33" w:val="clear"/>
      </w:tcPr>
    </w:tblStylePr>
  </w:style>
  <w:style w:styleId="-54" w:type="table">
    <w:name w:val="Colorful List Accent 5"/>
    <w:basedOn w:val="a3"/>
    <w:uiPriority w:val="72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</w:tblPr>
    <w:tcPr>
      <w:shd w:color="auto" w:fill="EDF6F9" w:themeFill="accent5" w:themeFillTint="19" w:val="clear"/>
    </w:tcPr>
    <w:tblStylePr w:type="firstRow">
      <w:rPr>
        <w:b/>
        <w:bCs/>
        <w:color w:themeColor="background1" w:val="FFFFFF"/>
      </w:rPr>
      <w:tblPr/>
      <w:tcPr>
        <w:tcBorders>
          <w:bottom w:color="FFFFFF" w:space="0" w:sz="12" w:themeColor="background1" w:val="single"/>
        </w:tcBorders>
        <w:shd w:color="auto" w:fill="F2730A" w:themeFill="accent6" w:themeFillShade="CC" w:val="clear"/>
      </w:tcPr>
    </w:tblStylePr>
    <w:tblStylePr w:type="lastRow">
      <w:rPr>
        <w:b/>
        <w:bCs/>
        <w:color w:themeColor="accent6" w:themeShade="CC" w:val="F2730A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D2EAF1" w:themeFill="accent5" w:themeFillTint="3F" w:val="clear"/>
      </w:tcPr>
    </w:tblStylePr>
    <w:tblStylePr w:type="band1Horz">
      <w:tblPr/>
      <w:tcPr>
        <w:shd w:color="auto" w:fill="DAEEF3" w:themeFill="accent5" w:themeFillTint="33" w:val="clear"/>
      </w:tcPr>
    </w:tblStylePr>
  </w:style>
  <w:style w:styleId="-64" w:type="table">
    <w:name w:val="Colorful List Accent 6"/>
    <w:basedOn w:val="a3"/>
    <w:uiPriority w:val="72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</w:tblPr>
    <w:tcPr>
      <w:shd w:color="auto" w:fill="FEF4EC" w:themeFill="accent6" w:themeFillTint="19" w:val="clear"/>
    </w:tcPr>
    <w:tblStylePr w:type="firstRow">
      <w:rPr>
        <w:b/>
        <w:bCs/>
        <w:color w:themeColor="background1" w:val="FFFFFF"/>
      </w:rPr>
      <w:tblPr/>
      <w:tcPr>
        <w:tcBorders>
          <w:bottom w:color="FFFFFF" w:space="0" w:sz="12" w:themeColor="background1" w:val="single"/>
        </w:tcBorders>
        <w:shd w:color="auto" w:fill="348DA5" w:themeFill="accent5" w:themeFillShade="CC" w:val="clear"/>
      </w:tcPr>
    </w:tblStylePr>
    <w:tblStylePr w:type="lastRow">
      <w:rPr>
        <w:b/>
        <w:bCs/>
        <w:color w:themeColor="accent5" w:themeShade="CC" w:val="348DA5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DE4D0" w:themeFill="accent6" w:themeFillTint="3F" w:val="clear"/>
      </w:tcPr>
    </w:tblStylePr>
    <w:tblStylePr w:type="band1Horz">
      <w:tblPr/>
      <w:tcPr>
        <w:shd w:color="auto" w:fill="FDE9D9" w:themeFill="accent6" w:themeFillTint="33" w:val="clear"/>
      </w:tcPr>
    </w:tblStylePr>
  </w:style>
  <w:style w:styleId="aff7" w:type="table">
    <w:name w:val="Colorful Grid"/>
    <w:basedOn w:val="a3"/>
    <w:uiPriority w:val="73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Borders>
        <w:insideH w:color="FFFFFF" w:space="0" w:sz="4" w:themeColor="background1" w:val="single"/>
      </w:tblBorders>
    </w:tblPr>
    <w:tcPr>
      <w:shd w:color="auto" w:fill="CCCCCC" w:themeFill="text1" w:themeFillTint="33" w:val="clear"/>
    </w:tcPr>
    <w:tblStylePr w:type="firstRow">
      <w:rPr>
        <w:b/>
        <w:bCs/>
      </w:rPr>
      <w:tblPr/>
      <w:tcPr>
        <w:shd w:color="auto" w:fill="999999" w:themeFill="text1" w:themeFillTint="66" w:val="clear"/>
      </w:tcPr>
    </w:tblStylePr>
    <w:tblStylePr w:type="lastRow">
      <w:rPr>
        <w:b/>
        <w:bCs/>
        <w:color w:themeColor="text1" w:val="000000"/>
      </w:rPr>
      <w:tblPr/>
      <w:tcPr>
        <w:shd w:color="auto" w:fill="999999" w:themeFill="text1" w:themeFillTint="66" w:val="clear"/>
      </w:tcPr>
    </w:tblStylePr>
    <w:tblStylePr w:type="firstCol">
      <w:rPr>
        <w:color w:themeColor="background1" w:val="FFFFFF"/>
      </w:rPr>
      <w:tblPr/>
      <w:tcPr>
        <w:shd w:color="auto" w:fill="000000" w:themeFill="text1" w:themeFillShade="BF" w:val="clear"/>
      </w:tcPr>
    </w:tblStylePr>
    <w:tblStylePr w:type="lastCol">
      <w:rPr>
        <w:color w:themeColor="background1" w:val="FFFFFF"/>
      </w:rPr>
      <w:tblPr/>
      <w:tcPr>
        <w:shd w:color="auto" w:fill="000000" w:themeFill="text1" w:themeFillShade="BF" w:val="clear"/>
      </w:tcPr>
    </w:tblStylePr>
    <w:tblStylePr w:type="band1Vert">
      <w:tblPr/>
      <w:tcPr>
        <w:shd w:color="auto" w:fill="808080" w:themeFill="text1" w:themeFillTint="7F" w:val="clear"/>
      </w:tcPr>
    </w:tblStylePr>
    <w:tblStylePr w:type="band1Horz">
      <w:tblPr/>
      <w:tcPr>
        <w:shd w:color="auto" w:fill="808080" w:themeFill="text1" w:themeFillTint="7F" w:val="clear"/>
      </w:tcPr>
    </w:tblStylePr>
  </w:style>
  <w:style w:styleId="-15" w:type="table">
    <w:name w:val="Colorful Grid Accent 1"/>
    <w:basedOn w:val="a3"/>
    <w:uiPriority w:val="73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Borders>
        <w:insideH w:color="FFFFFF" w:space="0" w:sz="4" w:themeColor="background1" w:val="single"/>
      </w:tblBorders>
    </w:tblPr>
    <w:tcPr>
      <w:shd w:color="auto" w:fill="DBE5F1" w:themeFill="accent1" w:themeFillTint="33" w:val="clear"/>
    </w:tcPr>
    <w:tblStylePr w:type="firstRow">
      <w:rPr>
        <w:b/>
        <w:bCs/>
      </w:rPr>
      <w:tblPr/>
      <w:tcPr>
        <w:shd w:color="auto" w:fill="B8CCE4" w:themeFill="accent1" w:themeFillTint="66" w:val="clear"/>
      </w:tcPr>
    </w:tblStylePr>
    <w:tblStylePr w:type="lastRow">
      <w:rPr>
        <w:b/>
        <w:bCs/>
        <w:color w:themeColor="text1" w:val="000000"/>
      </w:rPr>
      <w:tblPr/>
      <w:tcPr>
        <w:shd w:color="auto" w:fill="B8CCE4" w:themeFill="accent1" w:themeFillTint="66" w:val="clear"/>
      </w:tcPr>
    </w:tblStylePr>
    <w:tblStylePr w:type="firstCol">
      <w:rPr>
        <w:color w:themeColor="background1" w:val="FFFFFF"/>
      </w:rPr>
      <w:tblPr/>
      <w:tcPr>
        <w:shd w:color="auto" w:fill="365F91" w:themeFill="accent1" w:themeFillShade="BF" w:val="clear"/>
      </w:tcPr>
    </w:tblStylePr>
    <w:tblStylePr w:type="lastCol">
      <w:rPr>
        <w:color w:themeColor="background1" w:val="FFFFFF"/>
      </w:rPr>
      <w:tblPr/>
      <w:tcPr>
        <w:shd w:color="auto" w:fill="365F91" w:themeFill="accent1" w:themeFillShade="BF" w:val="clear"/>
      </w:tcPr>
    </w:tblStylePr>
    <w:tblStylePr w:type="band1Vert">
      <w:tblPr/>
      <w:tcPr>
        <w:shd w:color="auto" w:fill="A7BFDE" w:themeFill="accent1" w:themeFillTint="7F" w:val="clear"/>
      </w:tcPr>
    </w:tblStylePr>
    <w:tblStylePr w:type="band1Horz">
      <w:tblPr/>
      <w:tcPr>
        <w:shd w:color="auto" w:fill="A7BFDE" w:themeFill="accent1" w:themeFillTint="7F" w:val="clear"/>
      </w:tcPr>
    </w:tblStylePr>
  </w:style>
  <w:style w:styleId="-25" w:type="table">
    <w:name w:val="Colorful Grid Accent 2"/>
    <w:basedOn w:val="a3"/>
    <w:uiPriority w:val="73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Borders>
        <w:insideH w:color="FFFFFF" w:space="0" w:sz="4" w:themeColor="background1" w:val="single"/>
      </w:tblBorders>
    </w:tblPr>
    <w:tcPr>
      <w:shd w:color="auto" w:fill="F2DBDB" w:themeFill="accent2" w:themeFillTint="33" w:val="clear"/>
    </w:tcPr>
    <w:tblStylePr w:type="firstRow">
      <w:rPr>
        <w:b/>
        <w:bCs/>
      </w:rPr>
      <w:tblPr/>
      <w:tcPr>
        <w:shd w:color="auto" w:fill="E5B8B7" w:themeFill="accent2" w:themeFillTint="66" w:val="clear"/>
      </w:tcPr>
    </w:tblStylePr>
    <w:tblStylePr w:type="lastRow">
      <w:rPr>
        <w:b/>
        <w:bCs/>
        <w:color w:themeColor="text1" w:val="000000"/>
      </w:rPr>
      <w:tblPr/>
      <w:tcPr>
        <w:shd w:color="auto" w:fill="E5B8B7" w:themeFill="accent2" w:themeFillTint="66" w:val="clear"/>
      </w:tcPr>
    </w:tblStylePr>
    <w:tblStylePr w:type="firstCol">
      <w:rPr>
        <w:color w:themeColor="background1" w:val="FFFFFF"/>
      </w:rPr>
      <w:tblPr/>
      <w:tcPr>
        <w:shd w:color="auto" w:fill="943634" w:themeFill="accent2" w:themeFillShade="BF" w:val="clear"/>
      </w:tcPr>
    </w:tblStylePr>
    <w:tblStylePr w:type="lastCol">
      <w:rPr>
        <w:color w:themeColor="background1" w:val="FFFFFF"/>
      </w:rPr>
      <w:tblPr/>
      <w:tcPr>
        <w:shd w:color="auto" w:fill="943634" w:themeFill="accent2" w:themeFillShade="BF" w:val="clear"/>
      </w:tcPr>
    </w:tblStylePr>
    <w:tblStylePr w:type="band1Vert">
      <w:tblPr/>
      <w:tcPr>
        <w:shd w:color="auto" w:fill="DFA7A6" w:themeFill="accent2" w:themeFillTint="7F" w:val="clear"/>
      </w:tcPr>
    </w:tblStylePr>
    <w:tblStylePr w:type="band1Horz">
      <w:tblPr/>
      <w:tcPr>
        <w:shd w:color="auto" w:fill="DFA7A6" w:themeFill="accent2" w:themeFillTint="7F" w:val="clear"/>
      </w:tcPr>
    </w:tblStylePr>
  </w:style>
  <w:style w:styleId="-35" w:type="table">
    <w:name w:val="Colorful Grid Accent 3"/>
    <w:basedOn w:val="a3"/>
    <w:uiPriority w:val="73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Borders>
        <w:insideH w:color="FFFFFF" w:space="0" w:sz="4" w:themeColor="background1" w:val="single"/>
      </w:tblBorders>
    </w:tblPr>
    <w:tcPr>
      <w:shd w:color="auto" w:fill="EAF1DD" w:themeFill="accent3" w:themeFillTint="33" w:val="clear"/>
    </w:tcPr>
    <w:tblStylePr w:type="firstRow">
      <w:rPr>
        <w:b/>
        <w:bCs/>
      </w:rPr>
      <w:tblPr/>
      <w:tcPr>
        <w:shd w:color="auto" w:fill="D6E3BC" w:themeFill="accent3" w:themeFillTint="66" w:val="clear"/>
      </w:tcPr>
    </w:tblStylePr>
    <w:tblStylePr w:type="lastRow">
      <w:rPr>
        <w:b/>
        <w:bCs/>
        <w:color w:themeColor="text1" w:val="000000"/>
      </w:rPr>
      <w:tblPr/>
      <w:tcPr>
        <w:shd w:color="auto" w:fill="D6E3BC" w:themeFill="accent3" w:themeFillTint="66" w:val="clear"/>
      </w:tcPr>
    </w:tblStylePr>
    <w:tblStylePr w:type="firstCol">
      <w:rPr>
        <w:color w:themeColor="background1" w:val="FFFFFF"/>
      </w:rPr>
      <w:tblPr/>
      <w:tcPr>
        <w:shd w:color="auto" w:fill="76923C" w:themeFill="accent3" w:themeFillShade="BF" w:val="clear"/>
      </w:tcPr>
    </w:tblStylePr>
    <w:tblStylePr w:type="lastCol">
      <w:rPr>
        <w:color w:themeColor="background1" w:val="FFFFFF"/>
      </w:rPr>
      <w:tblPr/>
      <w:tcPr>
        <w:shd w:color="auto" w:fill="76923C" w:themeFill="accent3" w:themeFillShade="BF" w:val="clear"/>
      </w:tcPr>
    </w:tblStylePr>
    <w:tblStylePr w:type="band1Vert">
      <w:tblPr/>
      <w:tcPr>
        <w:shd w:color="auto" w:fill="CDDDAC" w:themeFill="accent3" w:themeFillTint="7F" w:val="clear"/>
      </w:tcPr>
    </w:tblStylePr>
    <w:tblStylePr w:type="band1Horz">
      <w:tblPr/>
      <w:tcPr>
        <w:shd w:color="auto" w:fill="CDDDAC" w:themeFill="accent3" w:themeFillTint="7F" w:val="clear"/>
      </w:tcPr>
    </w:tblStylePr>
  </w:style>
  <w:style w:styleId="-45" w:type="table">
    <w:name w:val="Colorful Grid Accent 4"/>
    <w:basedOn w:val="a3"/>
    <w:uiPriority w:val="73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Borders>
        <w:insideH w:color="FFFFFF" w:space="0" w:sz="4" w:themeColor="background1" w:val="single"/>
      </w:tblBorders>
    </w:tblPr>
    <w:tcPr>
      <w:shd w:color="auto" w:fill="E5DFEC" w:themeFill="accent4" w:themeFillTint="33" w:val="clear"/>
    </w:tcPr>
    <w:tblStylePr w:type="firstRow">
      <w:rPr>
        <w:b/>
        <w:bCs/>
      </w:rPr>
      <w:tblPr/>
      <w:tcPr>
        <w:shd w:color="auto" w:fill="CCC0D9" w:themeFill="accent4" w:themeFillTint="66" w:val="clear"/>
      </w:tcPr>
    </w:tblStylePr>
    <w:tblStylePr w:type="lastRow">
      <w:rPr>
        <w:b/>
        <w:bCs/>
        <w:color w:themeColor="text1" w:val="000000"/>
      </w:rPr>
      <w:tblPr/>
      <w:tcPr>
        <w:shd w:color="auto" w:fill="CCC0D9" w:themeFill="accent4" w:themeFillTint="66" w:val="clear"/>
      </w:tcPr>
    </w:tblStylePr>
    <w:tblStylePr w:type="firstCol">
      <w:rPr>
        <w:color w:themeColor="background1" w:val="FFFFFF"/>
      </w:rPr>
      <w:tblPr/>
      <w:tcPr>
        <w:shd w:color="auto" w:fill="5F497A" w:themeFill="accent4" w:themeFillShade="BF" w:val="clear"/>
      </w:tcPr>
    </w:tblStylePr>
    <w:tblStylePr w:type="lastCol">
      <w:rPr>
        <w:color w:themeColor="background1" w:val="FFFFFF"/>
      </w:rPr>
      <w:tblPr/>
      <w:tcPr>
        <w:shd w:color="auto" w:fill="5F497A" w:themeFill="accent4" w:themeFillShade="BF" w:val="clear"/>
      </w:tcPr>
    </w:tblStylePr>
    <w:tblStylePr w:type="band1Vert">
      <w:tblPr/>
      <w:tcPr>
        <w:shd w:color="auto" w:fill="BFB1D0" w:themeFill="accent4" w:themeFillTint="7F" w:val="clear"/>
      </w:tcPr>
    </w:tblStylePr>
    <w:tblStylePr w:type="band1Horz">
      <w:tblPr/>
      <w:tcPr>
        <w:shd w:color="auto" w:fill="BFB1D0" w:themeFill="accent4" w:themeFillTint="7F" w:val="clear"/>
      </w:tcPr>
    </w:tblStylePr>
  </w:style>
  <w:style w:styleId="-55" w:type="table">
    <w:name w:val="Colorful Grid Accent 5"/>
    <w:basedOn w:val="a3"/>
    <w:uiPriority w:val="73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Borders>
        <w:insideH w:color="FFFFFF" w:space="0" w:sz="4" w:themeColor="background1" w:val="single"/>
      </w:tblBorders>
    </w:tblPr>
    <w:tcPr>
      <w:shd w:color="auto" w:fill="DAEEF3" w:themeFill="accent5" w:themeFillTint="33" w:val="clear"/>
    </w:tcPr>
    <w:tblStylePr w:type="firstRow">
      <w:rPr>
        <w:b/>
        <w:bCs/>
      </w:rPr>
      <w:tblPr/>
      <w:tcPr>
        <w:shd w:color="auto" w:fill="B6DDE8" w:themeFill="accent5" w:themeFillTint="66" w:val="clear"/>
      </w:tcPr>
    </w:tblStylePr>
    <w:tblStylePr w:type="lastRow">
      <w:rPr>
        <w:b/>
        <w:bCs/>
        <w:color w:themeColor="text1" w:val="000000"/>
      </w:rPr>
      <w:tblPr/>
      <w:tcPr>
        <w:shd w:color="auto" w:fill="B6DDE8" w:themeFill="accent5" w:themeFillTint="66" w:val="clear"/>
      </w:tcPr>
    </w:tblStylePr>
    <w:tblStylePr w:type="firstCol">
      <w:rPr>
        <w:color w:themeColor="background1" w:val="FFFFFF"/>
      </w:rPr>
      <w:tblPr/>
      <w:tcPr>
        <w:shd w:color="auto" w:fill="31849B" w:themeFill="accent5" w:themeFillShade="BF" w:val="clear"/>
      </w:tcPr>
    </w:tblStylePr>
    <w:tblStylePr w:type="lastCol">
      <w:rPr>
        <w:color w:themeColor="background1" w:val="FFFFFF"/>
      </w:rPr>
      <w:tblPr/>
      <w:tcPr>
        <w:shd w:color="auto" w:fill="31849B" w:themeFill="accent5" w:themeFillShade="BF" w:val="clear"/>
      </w:tcPr>
    </w:tblStylePr>
    <w:tblStylePr w:type="band1Vert">
      <w:tblPr/>
      <w:tcPr>
        <w:shd w:color="auto" w:fill="A5D5E2" w:themeFill="accent5" w:themeFillTint="7F" w:val="clear"/>
      </w:tcPr>
    </w:tblStylePr>
    <w:tblStylePr w:type="band1Horz">
      <w:tblPr/>
      <w:tcPr>
        <w:shd w:color="auto" w:fill="A5D5E2" w:themeFill="accent5" w:themeFillTint="7F" w:val="clear"/>
      </w:tcPr>
    </w:tblStylePr>
  </w:style>
  <w:style w:styleId="-65" w:type="table">
    <w:name w:val="Colorful Grid Accent 6"/>
    <w:basedOn w:val="a3"/>
    <w:uiPriority w:val="73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Borders>
        <w:insideH w:color="FFFFFF" w:space="0" w:sz="4" w:themeColor="background1" w:val="single"/>
      </w:tblBorders>
    </w:tblPr>
    <w:tcPr>
      <w:shd w:color="auto" w:fill="FDE9D9" w:themeFill="accent6" w:themeFillTint="33" w:val="clear"/>
    </w:tcPr>
    <w:tblStylePr w:type="firstRow">
      <w:rPr>
        <w:b/>
        <w:bCs/>
      </w:rPr>
      <w:tblPr/>
      <w:tcPr>
        <w:shd w:color="auto" w:fill="FBD4B4" w:themeFill="accent6" w:themeFillTint="66" w:val="clear"/>
      </w:tcPr>
    </w:tblStylePr>
    <w:tblStylePr w:type="lastRow">
      <w:rPr>
        <w:b/>
        <w:bCs/>
        <w:color w:themeColor="text1" w:val="000000"/>
      </w:rPr>
      <w:tblPr/>
      <w:tcPr>
        <w:shd w:color="auto" w:fill="FBD4B4" w:themeFill="accent6" w:themeFillTint="66" w:val="clear"/>
      </w:tcPr>
    </w:tblStylePr>
    <w:tblStylePr w:type="firstCol">
      <w:rPr>
        <w:color w:themeColor="background1" w:val="FFFFFF"/>
      </w:rPr>
      <w:tblPr/>
      <w:tcPr>
        <w:shd w:color="auto" w:fill="E36C0A" w:themeFill="accent6" w:themeFillShade="BF" w:val="clear"/>
      </w:tcPr>
    </w:tblStylePr>
    <w:tblStylePr w:type="lastCol">
      <w:rPr>
        <w:color w:themeColor="background1" w:val="FFFFFF"/>
      </w:rPr>
      <w:tblPr/>
      <w:tcPr>
        <w:shd w:color="auto" w:fill="E36C0A" w:themeFill="accent6" w:themeFillShade="BF" w:val="clear"/>
      </w:tcPr>
    </w:tblStylePr>
    <w:tblStylePr w:type="band1Vert">
      <w:tblPr/>
      <w:tcPr>
        <w:shd w:color="auto" w:fill="FBCAA2" w:themeFill="accent6" w:themeFillTint="7F" w:val="clear"/>
      </w:tcPr>
    </w:tblStylePr>
    <w:tblStylePr w:type="band1Horz">
      <w:tblPr/>
      <w:tcPr>
        <w:shd w:color="auto" w:fill="FBCAA2" w:themeFill="accent6" w:themeFillTint="7F" w:val="clear"/>
      </w:tcPr>
    </w:tblStylePr>
  </w:style>
  <w:style w:customStyle="1" w:styleId="Code" w:type="paragraph">
    <w:name w:val="Code"/>
    <w:pPr>
      <w:spacing w:after="100" w:before="60"/>
      <w:ind w:left="454" w:right="227"/>
    </w:pPr>
    <w:rPr>
      <w:rFonts w:ascii="Liberation Mono" w:hAnsi="Liberation Mono"/>
      <w:sz w:val="18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color w:val="007020"/>
      <w:b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color w:val="008000"/>
      <w:b/>
    </w:rPr>
  </w:style>
  <w:style w:type="character" w:customStyle="1" w:styleId="CommentTok">
    <w:name w:val="CommentTok"/>
    <w:basedOn w:val="VerbatimChar"/>
    <w:rPr>
      <w:color w:val="60a0b0"/>
      <w:i/>
    </w:rPr>
  </w:style>
  <w:style w:type="character" w:customStyle="1" w:styleId="DocumentationTok">
    <w:name w:val="DocumentationTok"/>
    <w:basedOn w:val="VerbatimChar"/>
    <w:rPr>
      <w:color w:val="ba2121"/>
      <w:i/>
    </w:rPr>
  </w:style>
  <w:style w:type="character" w:customStyle="1" w:styleId="AnnotationTok">
    <w:name w:val="AnnotationTok"/>
    <w:basedOn w:val="VerbatimChar"/>
    <w:rPr>
      <w:color w:val="60a0b0"/>
      <w:b/>
      <w:i/>
    </w:rPr>
  </w:style>
  <w:style w:type="character" w:customStyle="1" w:styleId="CommentVarTok">
    <w:name w:val="CommentVarTok"/>
    <w:basedOn w:val="VerbatimChar"/>
    <w:rPr>
      <w:color w:val="60a0b0"/>
      <w:b/>
      <w:i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color w:val="007020"/>
      <w:b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color w:val="60a0b0"/>
      <w:b/>
      <w:i/>
    </w:rPr>
  </w:style>
  <w:style w:type="character" w:customStyle="1" w:styleId="WarningTok">
    <w:name w:val="WarningTok"/>
    <w:basedOn w:val="VerbatimChar"/>
    <w:rPr>
      <w:color w:val="60a0b0"/>
      <w:b/>
      <w:i/>
    </w:rPr>
  </w:style>
  <w:style w:type="character" w:customStyle="1" w:styleId="AlertTok">
    <w:name w:val="AlertTok"/>
    <w:basedOn w:val="VerbatimChar"/>
    <w:rPr>
      <w:color w:val="ff0000"/>
      <w:b/>
    </w:rPr>
  </w:style>
  <w:style w:type="character" w:customStyle="1" w:styleId="ErrorTok">
    <w:name w:val="ErrorTok"/>
    <w:basedOn w:val="VerbatimChar"/>
    <w:rPr>
      <w:color w:val="ff0000"/>
      <w:b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allowPNG/>
</w:webSettings>
</file>

<file path=word/_rels/document.xml.rels><?xml version='1.0' encoding='UTF-8' standalone='yes'?>
<Relationships xmlns="http://schemas.openxmlformats.org/package/2006/relationships"><Relationship Id="rId1" Type="http://schemas.openxmlformats.org/officeDocument/2006/relationships/numbering" Target="numbering.xml"/><Relationship Id="rId2" Type="http://schemas.openxmlformats.org/officeDocument/2006/relationships/styles" Target="styles.xml"/><Relationship Id="rId3" Type="http://schemas.openxmlformats.org/officeDocument/2006/relationships/settings" Target="settings.xml"/><Relationship Id="rId4" Type="http://schemas.openxmlformats.org/officeDocument/2006/relationships/webSettings" Target="webSettings.xml"/><Relationship Id="rId5" Type="http://schemas.openxmlformats.org/officeDocument/2006/relationships/fontTable" Target="fontTable.xml"/><Relationship Id="rId6" Type="http://schemas.openxmlformats.org/officeDocument/2006/relationships/theme" Target="theme/theme1.xml"/><Relationship Id="rId7" Type="http://schemas.openxmlformats.org/officeDocument/2006/relationships/footnotes" Target="footnotes.xml"/><Relationship Id="rId8" Type="http://schemas.openxmlformats.org/officeDocument/2006/relationships/comments" Target="comments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1108</TotalTime>
  <Pages>39</Pages>
  <Words>12324</Words>
  <Characters>70249</Characters>
  <Application>Microsoft Office Word</Application>
  <DocSecurity>0</DocSecurity>
  <Lines>585</Lines>
  <Paragraphs>164</Paragraphs>
  <ScaleCrop>false</ScaleCrop>
  <HeadingPairs>
    <vt:vector size="6" baseType="variant">
      <vt:variant>
        <vt:lpstr>Название</vt:lpstr>
      </vt:variant>
      <vt:variant>
        <vt:i4>1</vt:i4>
      </vt:variant>
      <vt:variant>
        <vt:lpstr>Заголовки</vt:lpstr>
      </vt:variant>
      <vt:variant>
        <vt:i4>100</vt:i4>
      </vt:variant>
      <vt:variant>
        <vt:lpstr>Title</vt:lpstr>
      </vt:variant>
      <vt:variant>
        <vt:i4>1</vt:i4>
      </vt:variant>
    </vt:vector>
  </HeadingPairs>
  <TitlesOfParts>
    <vt:vector size="102" baseType="lpstr">
      <vt:lpstr/>
      <vt:lpstr>Содержание</vt:lpstr>
      <vt:lpstr>    1 Методические рекомендации по работе с конспектами</vt:lpstr>
      <vt:lpstr>    1.1 Результаты обучения</vt:lpstr>
      <vt:lpstr>    1.2 Логика курса</vt:lpstr>
      <vt:lpstr>    2 Конспекты лекций 1 семестр</vt:lpstr>
      <vt:lpstr>        Лекция 1. Искусственный интеллект в креативных индустриях</vt:lpstr>
      <vt:lpstr>        План лекции</vt:lpstr>
      <vt:lpstr>        Постановка проблемы</vt:lpstr>
      <vt:lpstr>        Основные понятия и взаимосвязи</vt:lpstr>
      <vt:lpstr>        Инженерная интерпретация</vt:lpstr>
      <vt:lpstr>        Проверка результата</vt:lpstr>
      <vt:lpstr>        Практический медиакейс</vt:lpstr>
      <vt:lpstr>        Итоговая позиция</vt:lpstr>
      <vt:lpstr>        Формализованная схема рассуждения</vt:lpstr>
      <vt:lpstr>        Типичные ошибки</vt:lpstr>
      <vt:lpstr>        Вопросы для самопроверки</vt:lpstr>
      <vt:lpstr>        Краткий вывод</vt:lpstr>
      <vt:lpstr>        Лекция 2. Этика, авторское право и ответственное применение генеративного ИИ</vt:lpstr>
      <vt:lpstr>        План лекции</vt:lpstr>
      <vt:lpstr>        Постановка проблемы</vt:lpstr>
      <vt:lpstr>        Основные понятия и взаимосвязи</vt:lpstr>
      <vt:lpstr>        Инженерная интерпретация</vt:lpstr>
      <vt:lpstr>        Проверка результата</vt:lpstr>
      <vt:lpstr>        Практический медиакейс</vt:lpstr>
      <vt:lpstr>        Итоговая позиция</vt:lpstr>
      <vt:lpstr>        Формализованная схема рассуждения</vt:lpstr>
      <vt:lpstr>        Типичные ошибки</vt:lpstr>
      <vt:lpstr>        Вопросы для самопроверки</vt:lpstr>
      <vt:lpstr>        Краткий вывод</vt:lpstr>
      <vt:lpstr>        Лекция 3. Вероятностные модели, латентное пространство и автокодировщики</vt:lpstr>
      <vt:lpstr>        План лекции</vt:lpstr>
      <vt:lpstr>        Постановка проблемы</vt:lpstr>
      <vt:lpstr>        Основные понятия и взаимосвязи</vt:lpstr>
      <vt:lpstr>        Инженерная интерпретация</vt:lpstr>
      <vt:lpstr>        Проверка результата</vt:lpstr>
      <vt:lpstr>        Практический медиакейс</vt:lpstr>
      <vt:lpstr>        Итоговая позиция</vt:lpstr>
      <vt:lpstr>        Формализованная схема рассуждения</vt:lpstr>
      <vt:lpstr>        Типичные ошибки</vt:lpstr>
      <vt:lpstr>        Вопросы для самопроверки</vt:lpstr>
      <vt:lpstr>        Краткий вывод</vt:lpstr>
      <vt:lpstr>        Лекция 4. Генеративно-состязательные сети</vt:lpstr>
      <vt:lpstr>        План лекции</vt:lpstr>
      <vt:lpstr>        Постановка проблемы</vt:lpstr>
      <vt:lpstr>        Основные понятия и взаимосвязи</vt:lpstr>
      <vt:lpstr>        Инженерная интерпретация</vt:lpstr>
      <vt:lpstr>        Проверка результата</vt:lpstr>
      <vt:lpstr>        Практический медиакейс</vt:lpstr>
      <vt:lpstr>        Итоговая позиция</vt:lpstr>
      <vt:lpstr>        Формализованная схема рассуждения</vt:lpstr>
      <vt:lpstr>        Типичные ошибки</vt:lpstr>
      <vt:lpstr>        Вопросы для самопроверки</vt:lpstr>
      <vt:lpstr>        Краткий вывод</vt:lpstr>
      <vt:lpstr>        Лекция 5. Диффузионные модели и трансформерные механизмы</vt:lpstr>
      <vt:lpstr>        План лекции</vt:lpstr>
      <vt:lpstr>        Постановка проблемы</vt:lpstr>
      <vt:lpstr>        Основные понятия и взаимосвязи</vt:lpstr>
      <vt:lpstr>        Инженерная интерпретация</vt:lpstr>
      <vt:lpstr>        Проверка результата</vt:lpstr>
      <vt:lpstr>        Практический медиакейс</vt:lpstr>
      <vt:lpstr>        Итоговая позиция</vt:lpstr>
      <vt:lpstr>        Формализованная схема рассуждения</vt:lpstr>
      <vt:lpstr>        Типичные ошибки</vt:lpstr>
      <vt:lpstr>        Вопросы для самопроверки</vt:lpstr>
      <vt:lpstr>        Краткий вывод</vt:lpstr>
      <vt:lpstr>        Лекция 6. Архитектуры компьютерного зрения для медиазадач</vt:lpstr>
      <vt:lpstr>        План лекции</vt:lpstr>
      <vt:lpstr>        Постановка проблемы</vt:lpstr>
      <vt:lpstr>        Основные понятия и взаимосвязи</vt:lpstr>
      <vt:lpstr>        Инженерная интерпретация</vt:lpstr>
      <vt:lpstr>        Проверка результата</vt:lpstr>
      <vt:lpstr>        Практический медиакейс</vt:lpstr>
      <vt:lpstr>        Итоговая позиция</vt:lpstr>
      <vt:lpstr>        Формализованная схема рассуждения</vt:lpstr>
      <vt:lpstr>        Типичные ошибки</vt:lpstr>
      <vt:lpstr>        Вопросы для самопроверки</vt:lpstr>
      <vt:lpstr>        Краткий вывод</vt:lpstr>
      <vt:lpstr>    Лекция 7. Конвейер text-to-image и промпт-инжиниринг</vt:lpstr>
      <vt:lpstr>        План лекции</vt:lpstr>
      <vt:lpstr>        Постановка проблемы</vt:lpstr>
      <vt:lpstr>        Основные понятия и взаимосвязи</vt:lpstr>
      <vt:lpstr>        Инженерная интерпретация</vt:lpstr>
      <vt:lpstr>        Проверка результата</vt:lpstr>
      <vt:lpstr>        Практический медиакейс</vt:lpstr>
      <vt:lpstr>        Итоговая позиция</vt:lpstr>
      <vt:lpstr>        Формализованная схема рассуждения</vt:lpstr>
      <vt:lpstr>        Типичные ошибки</vt:lpstr>
      <vt:lpstr>        Вопросы для самопроверки</vt:lpstr>
      <vt:lpstr>        Краткий вывод</vt:lpstr>
      <vt:lpstr>    Лекция 8. Условная генерация, постобработка и оценка качества</vt:lpstr>
      <vt:lpstr>        План лекции</vt:lpstr>
      <vt:lpstr>        Постановка проблемы</vt:lpstr>
      <vt:lpstr>        Основные понятия и взаимосвязи</vt:lpstr>
      <vt:lpstr>        Инженерная интерпретация</vt:lpstr>
      <vt:lpstr>        Проверка результата</vt:lpstr>
      <vt:lpstr>        Практический медиакейс</vt:lpstr>
      <vt:lpstr>        Итоговая позиция</vt:lpstr>
      <vt:lpstr>        Формализованная схема рассуждения</vt:lpstr>
      <vt:lpstr>        Типичные ошибки</vt:lpstr>
      <vt:lpstr>        Вопросы для самопроверки</vt:lpstr>
      <vt:lpstr/>
    </vt:vector>
  </TitlesOfParts>
  <Manager/>
  <Company/>
  <LinksUpToDate>false</LinksUpToDate>
  <CharactersWithSpaces>82409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Лабораторная работа № 3. Подготовка изображений и визуализация в Engee</dc:title>
  <dc:creator/>
  <cp:keywords/>
  <dcterms:created xsi:type="dcterms:W3CDTF">2026-09-19T08:09:05Z</dcterms:created>
  <dcterms:modified xsi:type="dcterms:W3CDTF">2026-09-19T08:09:05Z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subtitle">
    <vt:lpwstr>Методические указания. Дисциплина «Искусственный интеллект в креативных технологиях», 09.04.02 Информационные системы и технологии, семестр 1</vt:lpwstr>
  </property>
</Properties>
</file>