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rPr>
          <w:lang w:val="ru-RU"/>
        </w:rPr>
      </w:pPr>
      <w:bookmarkStart w:id="0" w:name="_r48y7t2xd8xm" w:colFirst="0" w:colLast="0"/>
      <w:bookmarkEnd w:id="0"/>
      <w:r>
        <w:rPr>
          <w:lang w:val="ru-RU"/>
        </w:rPr>
        <w:t>Проект «Секреты Темнолесья»</w:t>
      </w:r>
    </w:p>
    <w:p w14:paraId="00000002">
      <w:pPr>
        <w:rPr>
          <w:lang w:val="ru-RU"/>
        </w:rPr>
      </w:pPr>
      <w:r>
        <w:rPr>
          <w:b/>
          <w:lang w:val="ru-RU"/>
        </w:rPr>
        <w:t xml:space="preserve">Цель проекта — </w:t>
      </w:r>
      <w:r>
        <w:rPr>
          <w:lang w:val="ru-RU"/>
        </w:rPr>
        <w:t>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14:paraId="00000003">
      <w:pPr>
        <w:rPr>
          <w:lang w:val="ru-RU"/>
        </w:rPr>
      </w:pPr>
      <w:r>
        <w:rPr>
          <w:b/>
          <w:lang w:val="ru-RU"/>
        </w:rPr>
        <w:t xml:space="preserve">Автор: </w:t>
      </w:r>
      <w:r>
        <w:rPr>
          <w:lang w:val="ru-RU"/>
        </w:rPr>
        <w:t xml:space="preserve"> Болохова Ирина</w:t>
      </w:r>
    </w:p>
    <w:p w14:paraId="00000004">
      <w:pPr>
        <w:rPr>
          <w:b/>
          <w:lang w:val="ru-RU"/>
        </w:rPr>
      </w:pPr>
      <w:r>
        <w:rPr>
          <w:b/>
          <w:lang w:val="ru-RU"/>
        </w:rPr>
        <w:t>Дата: 18.03.2025</w:t>
      </w:r>
    </w:p>
    <w:p w14:paraId="00000005">
      <w:pPr>
        <w:rPr>
          <w:b/>
          <w:lang w:val="ru-RU"/>
        </w:rPr>
      </w:pPr>
    </w:p>
    <w:p w14:paraId="00000008">
      <w:pPr>
        <w:pStyle w:val="3"/>
        <w:rPr>
          <w:lang w:val="ru-RU"/>
        </w:rPr>
      </w:pPr>
      <w:bookmarkStart w:id="1" w:name="_vaza1re6x8bo" w:colFirst="0" w:colLast="0"/>
      <w:bookmarkEnd w:id="1"/>
      <w:r>
        <w:rPr>
          <w:lang w:val="ru-RU"/>
        </w:rPr>
        <w:t>Часть 3. Выводы и аналитические комментарии</w:t>
      </w:r>
    </w:p>
    <w:p w14:paraId="00000009">
      <w:pPr>
        <w:rPr>
          <w:lang w:val="ru-RU"/>
        </w:rPr>
      </w:pPr>
      <w:r>
        <w:rPr>
          <w:b/>
          <w:lang w:val="ru-RU"/>
        </w:rPr>
        <w:t xml:space="preserve">Задание. </w:t>
      </w:r>
      <w:r>
        <w:rPr>
          <w:lang w:val="ru-RU"/>
        </w:rPr>
        <w:t>В заключительной части проекта напишите выводы и аналитические комментарии по полученным в проекте результатам.</w:t>
      </w:r>
    </w:p>
    <w:p w14:paraId="0000000A">
      <w:pPr>
        <w:pStyle w:val="4"/>
        <w:rPr>
          <w:lang w:val="ru-RU"/>
        </w:rPr>
      </w:pPr>
      <w:bookmarkStart w:id="2" w:name="_ckh1w4h1tu52" w:colFirst="0" w:colLast="0"/>
      <w:bookmarkEnd w:id="2"/>
      <w:r>
        <w:rPr>
          <w:lang w:val="ru-RU"/>
        </w:rPr>
        <w:t>1. Результаты исследовательского анализа данных:</w:t>
      </w:r>
    </w:p>
    <w:p w14:paraId="0000000B">
      <w:pPr>
        <w:pStyle w:val="5"/>
        <w:rPr>
          <w:lang w:val="ru-RU"/>
        </w:rPr>
      </w:pPr>
      <w:bookmarkStart w:id="3" w:name="_atgqb93e8rwi" w:colFirst="0" w:colLast="0"/>
      <w:bookmarkEnd w:id="3"/>
      <w:r>
        <w:rPr>
          <w:lang w:val="ru-RU"/>
        </w:rPr>
        <w:t>1.1. Какая доля платящих игроков характерна для всей игры и как раса персонажа влияет на изменение этого показателя?</w:t>
      </w:r>
    </w:p>
    <w:p w14:paraId="0000000D">
      <w:pPr>
        <w:spacing w:before="240" w:after="240"/>
        <w:rPr>
          <w:lang w:val="ru-RU"/>
        </w:rPr>
      </w:pPr>
      <w:r>
        <w:rPr>
          <w:lang w:val="ru-RU"/>
        </w:rPr>
        <w:t xml:space="preserve">Доля платящих пользователей по всем данным составляет 17.7%. </w:t>
      </w:r>
    </w:p>
    <w:p w14:paraId="0000000E">
      <w:pPr>
        <w:spacing w:before="240" w:after="240"/>
        <w:rPr>
          <w:lang w:val="ru-RU"/>
        </w:rPr>
      </w:pPr>
      <w:r>
        <w:rPr>
          <w:lang w:val="ru-RU"/>
        </w:rPr>
        <w:t>При исследовании доли платящих пользователей в разрезе рас, видим, что разброс составляет от 17% до 19%, это означает, что раса персонажа не влияет на этот показатель - пользователи одинаково платят вне зависимости от расы персонажа.</w:t>
      </w:r>
    </w:p>
    <w:p w14:paraId="707AC80C">
      <w:pPr>
        <w:spacing w:before="240" w:after="240"/>
        <w:rPr>
          <w:lang w:val="ru-RU"/>
        </w:rPr>
      </w:pPr>
      <w:r>
        <w:rPr>
          <w:lang w:val="ru-RU"/>
        </w:rPr>
        <w:t>Но количество игроков, и платящих в том числе, сильно различается в разрезе рас персонажей – наибольшее количество платящих игроков играют за расу Human, а наименьшее за расу Angel.</w:t>
      </w:r>
    </w:p>
    <w:p w14:paraId="0000000F">
      <w:pPr>
        <w:pStyle w:val="5"/>
        <w:rPr>
          <w:lang w:val="ru-RU"/>
        </w:rPr>
      </w:pPr>
      <w:bookmarkStart w:id="4" w:name="_av9jttpy915y" w:colFirst="0" w:colLast="0"/>
      <w:bookmarkEnd w:id="4"/>
      <w:r>
        <w:rPr>
          <w:lang w:val="ru-RU"/>
        </w:rPr>
        <w:t>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14:paraId="00000011">
      <w:pPr>
        <w:spacing w:before="240" w:after="240"/>
        <w:rPr>
          <w:lang w:val="ru-RU"/>
        </w:rPr>
      </w:pPr>
      <w:r>
        <w:rPr>
          <w:lang w:val="ru-RU"/>
        </w:rPr>
        <w:t>Всего было совершено более 1 млн покупок (1 307 678) на сумму 686 615 040 «райских лепестков».</w:t>
      </w:r>
    </w:p>
    <w:p w14:paraId="00000012">
      <w:pPr>
        <w:spacing w:before="240" w:after="240"/>
        <w:rPr>
          <w:lang w:val="ru-RU"/>
        </w:rPr>
      </w:pPr>
      <w:r>
        <w:rPr>
          <w:lang w:val="ru-RU"/>
        </w:rPr>
        <w:t>Минимальная стоимость покупки равна 0, а максимальная стоимость покупки равна 486 615 “райских лепестков”.</w:t>
      </w:r>
    </w:p>
    <w:p w14:paraId="00000013">
      <w:pPr>
        <w:spacing w:before="240" w:after="240"/>
        <w:rPr>
          <w:lang w:val="ru-RU"/>
        </w:rPr>
      </w:pPr>
      <w:r>
        <w:rPr>
          <w:lang w:val="ru-RU"/>
        </w:rPr>
        <w:t>Средняя стоимость покупок составляет 525,7 «райских лепестков», а медианное значение равно 74,8. Это значит, что преобладает количество покупок с низкой стоимостью с несколькими крупными покупками.</w:t>
      </w:r>
    </w:p>
    <w:p w14:paraId="00000014">
      <w:pPr>
        <w:spacing w:before="240" w:after="240"/>
        <w:rPr>
          <w:lang w:val="ru-RU"/>
        </w:rPr>
      </w:pPr>
      <w:r>
        <w:rPr>
          <w:lang w:val="ru-RU"/>
        </w:rPr>
        <w:t>Разброс по стоимости покупок составляет почти полмиллиона «райских лепестков», в то время как стандартное отклонение равно 2517. Это говорит о том, что большее число покупок с суммой, близкой к средней стоимости, чем с минимальной или максимальной.</w:t>
      </w:r>
    </w:p>
    <w:p w14:paraId="00000015">
      <w:pPr>
        <w:pStyle w:val="5"/>
        <w:rPr>
          <w:lang w:val="ru-RU"/>
        </w:rPr>
      </w:pPr>
      <w:bookmarkStart w:id="5" w:name="_3p7x4lqqfki7" w:colFirst="0" w:colLast="0"/>
      <w:bookmarkEnd w:id="5"/>
      <w:r>
        <w:rPr>
          <w:lang w:val="ru-RU"/>
        </w:rPr>
        <w:t>1.3. Есть ли аномальные покупки по стоимости? Если есть, то сколько их?</w:t>
      </w:r>
    </w:p>
    <w:p w14:paraId="00000017">
      <w:pPr>
        <w:spacing w:before="240" w:after="240"/>
        <w:rPr>
          <w:lang w:val="ru-RU"/>
        </w:rPr>
      </w:pPr>
      <w:r>
        <w:rPr>
          <w:lang w:val="ru-RU"/>
        </w:rPr>
        <w:t>В игре есть аномальные «нулевые» покупки со стоимостью равной 0. Их количество равно 907 и их доля по отношению к общему числу совершенных покупок составляет менее 1% (0,07%).</w:t>
      </w:r>
    </w:p>
    <w:p w14:paraId="00000018">
      <w:pPr>
        <w:pStyle w:val="5"/>
        <w:rPr>
          <w:lang w:val="ru-RU"/>
        </w:rPr>
      </w:pPr>
      <w:bookmarkStart w:id="6" w:name="_zc5c6hb857kr" w:colFirst="0" w:colLast="0"/>
      <w:bookmarkEnd w:id="6"/>
      <w:r>
        <w:rPr>
          <w:lang w:val="ru-RU"/>
        </w:rPr>
        <w:t>1.4. Сколько игроков совершают внутриигровые покупки и насколько активно? Сравните поведение платящих и неплатящих игроков.</w:t>
      </w:r>
    </w:p>
    <w:p w14:paraId="0000001A">
      <w:pPr>
        <w:spacing w:before="240" w:after="240"/>
        <w:rPr>
          <w:lang w:val="ru-RU"/>
        </w:rPr>
      </w:pPr>
      <w:r>
        <w:rPr>
          <w:lang w:val="ru-RU"/>
        </w:rPr>
        <w:t>Количество платящих игроков в 4,6 раз меньше, чем неплатящих - это говорит о том, что подавляющее большинство игроков предпочитает не покупать предметы за внутриигровую валюту, а получать их другими способами.</w:t>
      </w:r>
    </w:p>
    <w:p w14:paraId="0000001B">
      <w:pPr>
        <w:spacing w:before="240" w:after="240"/>
        <w:rPr>
          <w:lang w:val="ru-RU"/>
        </w:rPr>
      </w:pPr>
      <w:r>
        <w:rPr>
          <w:lang w:val="ru-RU"/>
        </w:rPr>
        <w:t>Среднее количество покупок, совершенных платящими игроками, меньше количества покупок, совершенных неплатящими игроками. А средняя суммарная стоимость покупок платящих игроков выше, чем для неплатящих игроков.</w:t>
      </w:r>
    </w:p>
    <w:p w14:paraId="0000001C">
      <w:pPr>
        <w:pStyle w:val="5"/>
        <w:rPr>
          <w:lang w:val="ru-RU"/>
        </w:rPr>
      </w:pPr>
      <w:bookmarkStart w:id="7" w:name="_spjk6khevj6g" w:colFirst="0" w:colLast="0"/>
      <w:bookmarkEnd w:id="7"/>
      <w:r>
        <w:rPr>
          <w:lang w:val="ru-RU"/>
        </w:rPr>
        <w:t xml:space="preserve">1.5. Есть ли среди эпических предметов популярные, которые покупают чаще всего? </w:t>
      </w:r>
    </w:p>
    <w:p w14:paraId="0000001E">
      <w:pPr>
        <w:pBdr>
          <w:top w:val="none" w:color="auto" w:sz="0" w:space="0"/>
          <w:left w:val="none" w:color="auto" w:sz="0" w:space="0"/>
          <w:bottom w:val="none" w:color="auto" w:sz="0" w:space="0"/>
          <w:right w:val="none" w:color="auto" w:sz="0" w:space="0"/>
          <w:between w:val="none" w:color="auto" w:sz="0" w:space="0"/>
        </w:pBdr>
        <w:spacing w:before="240" w:after="240"/>
        <w:rPr>
          <w:lang w:val="ru-RU"/>
        </w:rPr>
      </w:pPr>
      <w:bookmarkStart w:id="8" w:name="_xr5xt4deix0c" w:colFirst="0" w:colLast="0"/>
      <w:bookmarkEnd w:id="8"/>
      <w:r>
        <w:rPr>
          <w:lang w:val="ru-RU"/>
        </w:rPr>
        <w:t xml:space="preserve">При изучении популярности эпических предметов в игре выявлены 2 самых популярных предмета: Book of Legend (доля его покупок составляет примерно 77% от общего числа покупок) и Bag of Holding (доля его покупок составляет 20% от общего числа покупок). Доли покупок остальных эпических предметов составляют </w:t>
      </w:r>
      <w:r>
        <w:rPr>
          <w:rFonts w:ascii="Cambria Math" w:hAnsi="Cambria Math" w:cs="Cambria Math"/>
          <w:lang w:val="ru-RU"/>
        </w:rPr>
        <w:t>⩽</w:t>
      </w:r>
      <w:r>
        <w:rPr>
          <w:lang w:val="ru-RU"/>
        </w:rPr>
        <w:t>1%.</w:t>
      </w:r>
    </w:p>
    <w:p w14:paraId="0000001F">
      <w:pPr>
        <w:pBdr>
          <w:top w:val="none" w:color="auto" w:sz="0" w:space="0"/>
          <w:left w:val="none" w:color="auto" w:sz="0" w:space="0"/>
          <w:bottom w:val="none" w:color="auto" w:sz="0" w:space="0"/>
          <w:right w:val="none" w:color="auto" w:sz="0" w:space="0"/>
          <w:between w:val="none" w:color="auto" w:sz="0" w:space="0"/>
        </w:pBdr>
        <w:spacing w:before="240" w:after="240"/>
        <w:rPr>
          <w:lang w:val="ru-RU"/>
        </w:rPr>
      </w:pPr>
      <w:r>
        <w:rPr>
          <w:lang w:val="ru-RU"/>
        </w:rPr>
        <w:t>Если посмотреть количество игроков, купивших эти предметы хотя бы раз, то они примерно одинаковы: 54,8% и 53,8% соответственно.</w:t>
      </w:r>
    </w:p>
    <w:p w14:paraId="12997E0F">
      <w:pPr>
        <w:pBdr>
          <w:top w:val="none" w:color="auto" w:sz="0" w:space="0"/>
          <w:left w:val="none" w:color="auto" w:sz="0" w:space="0"/>
          <w:bottom w:val="none" w:color="auto" w:sz="0" w:space="0"/>
          <w:right w:val="none" w:color="auto" w:sz="0" w:space="0"/>
          <w:between w:val="none" w:color="auto" w:sz="0" w:space="0"/>
        </w:pBdr>
        <w:spacing w:before="240" w:after="240"/>
        <w:rPr>
          <w:lang w:val="ru-RU"/>
        </w:rPr>
      </w:pPr>
      <w:r>
        <w:rPr>
          <w:lang w:val="ru-RU"/>
        </w:rPr>
        <w:t>Также есть около 20 предметов (около 10% от общего количества видов предметов), покупка которых была совершена по всего по 1 разу. Возникает вопрос в необходимости таких непопулярных предметах.</w:t>
      </w:r>
    </w:p>
    <w:p w14:paraId="00000020">
      <w:pPr>
        <w:pStyle w:val="4"/>
        <w:spacing w:before="240" w:after="240"/>
        <w:rPr>
          <w:lang w:val="ru-RU"/>
        </w:rPr>
      </w:pPr>
      <w:bookmarkStart w:id="9" w:name="_z143u5np220b" w:colFirst="0" w:colLast="0"/>
      <w:bookmarkEnd w:id="9"/>
      <w:r>
        <w:rPr>
          <w:lang w:val="ru-RU"/>
        </w:rPr>
        <w:t xml:space="preserve">2. Результаты решения </w:t>
      </w:r>
      <w:r>
        <w:t>ad</w:t>
      </w:r>
      <w:r>
        <w:rPr>
          <w:lang w:val="ru-RU"/>
        </w:rPr>
        <w:t xml:space="preserve"> </w:t>
      </w:r>
      <w:r>
        <w:t>hoc</w:t>
      </w:r>
      <w:r>
        <w:rPr>
          <w:lang w:val="ru-RU"/>
        </w:rPr>
        <w:t xml:space="preserve"> задач</w:t>
      </w:r>
    </w:p>
    <w:p w14:paraId="00000021">
      <w:pPr>
        <w:spacing w:before="240" w:after="240"/>
        <w:rPr>
          <w:color w:val="666666"/>
          <w:lang w:val="ru-RU"/>
        </w:rPr>
      </w:pPr>
      <w:r>
        <w:rPr>
          <w:color w:val="666666"/>
          <w:lang w:val="ru-RU"/>
        </w:rPr>
        <w:t>2.1. Существует ли зависимость активности игроков по совершению внутриигровых покупок от расы персонажа?</w:t>
      </w:r>
    </w:p>
    <w:p w14:paraId="00000023">
      <w:pPr>
        <w:pBdr>
          <w:top w:val="none" w:color="auto" w:sz="0" w:space="0"/>
          <w:left w:val="none" w:color="auto" w:sz="0" w:space="0"/>
          <w:bottom w:val="none" w:color="auto" w:sz="0" w:space="0"/>
          <w:right w:val="none" w:color="auto" w:sz="0" w:space="0"/>
          <w:between w:val="none" w:color="auto" w:sz="0" w:space="0"/>
        </w:pBdr>
        <w:spacing w:before="240" w:after="240"/>
        <w:rPr>
          <w:lang w:val="en-US"/>
        </w:rPr>
      </w:pPr>
      <w:r>
        <w:rPr>
          <w:lang w:val="ru-RU"/>
        </w:rPr>
        <w:t>При изучении данных по итогам анализа выяснилось, что за разные расы играет разное количество игроков, но доля платящих игроков, купивших эпические предметы за «райские лепестки», примерно одинакова для различных рас персонажей и составляет от 16,7% до 20% по отношению к общему количеству игроков, играющих за данную расу, а доля покупателей также примерно одинакова (варьируется от 60% до 63%). В тоже время количество покупающих игроков для разных рас имеет большой разброс (минимальное и максимальное количество отличается в 5 раз).</w:t>
      </w:r>
    </w:p>
    <w:p w14:paraId="00000024">
      <w:pPr>
        <w:pBdr>
          <w:top w:val="none" w:color="auto" w:sz="0" w:space="0"/>
          <w:left w:val="none" w:color="auto" w:sz="0" w:space="0"/>
          <w:bottom w:val="none" w:color="auto" w:sz="0" w:space="0"/>
          <w:right w:val="none" w:color="auto" w:sz="0" w:space="0"/>
          <w:between w:val="none" w:color="auto" w:sz="0" w:space="0"/>
        </w:pBdr>
        <w:spacing w:before="240" w:after="240"/>
        <w:rPr>
          <w:lang w:val="ru-RU"/>
        </w:rPr>
      </w:pPr>
      <w:r>
        <w:rPr>
          <w:lang w:val="ru-RU"/>
        </w:rPr>
        <w:t>Также по данным анализа видно, что среднее количество покупок эпических предметов на игрока и средняя сумма покупок на игрока для каждой расы персонажа имеет не очень большой разброс. Средняя суммарная стоимость также имеет небольшой разброс в значениях. Это подтверждает гипотезу о том, что прохождение игры за персонажей разных рас требует примерно одинакового количества покупок эпических предметов.</w:t>
      </w:r>
    </w:p>
    <w:p w14:paraId="00000025">
      <w:pPr>
        <w:pStyle w:val="5"/>
        <w:rPr>
          <w:lang w:val="ru-RU"/>
        </w:rPr>
      </w:pPr>
      <w:bookmarkStart w:id="10" w:name="_tj8j34h98j42" w:colFirst="0" w:colLast="0"/>
      <w:bookmarkEnd w:id="10"/>
      <w:r>
        <w:rPr>
          <w:lang w:val="ru-RU"/>
        </w:rPr>
        <w:t xml:space="preserve">2.2. Как часто игроки совершают покупки? </w:t>
      </w:r>
    </w:p>
    <w:p w14:paraId="59391FDE">
      <w:pPr>
        <w:pBdr>
          <w:top w:val="none" w:color="auto" w:sz="0" w:space="0"/>
          <w:left w:val="none" w:color="auto" w:sz="0" w:space="0"/>
          <w:bottom w:val="none" w:color="auto" w:sz="0" w:space="0"/>
          <w:right w:val="none" w:color="auto" w:sz="0" w:space="0"/>
          <w:between w:val="none" w:color="auto" w:sz="0" w:space="0"/>
        </w:pBdr>
        <w:spacing w:before="240" w:after="240"/>
        <w:rPr>
          <w:lang w:val="ru-RU"/>
        </w:rPr>
      </w:pPr>
      <w:r>
        <w:rPr>
          <w:lang w:val="ru-RU"/>
        </w:rPr>
        <w:t xml:space="preserve">Были выделены 3 группы игроков: с высокой (средний интервал между покупками 3 дня), умеренной (средний интервал – 7 дней) и низкой (средний интервал 13 дней) частотой покупок. </w:t>
      </w:r>
    </w:p>
    <w:p w14:paraId="2FE55501">
      <w:pPr>
        <w:pBdr>
          <w:top w:val="none" w:color="auto" w:sz="0" w:space="0"/>
          <w:left w:val="none" w:color="auto" w:sz="0" w:space="0"/>
          <w:bottom w:val="none" w:color="auto" w:sz="0" w:space="0"/>
          <w:right w:val="none" w:color="auto" w:sz="0" w:space="0"/>
          <w:between w:val="none" w:color="auto" w:sz="0" w:space="0"/>
        </w:pBdr>
        <w:spacing w:before="240" w:after="240"/>
        <w:rPr>
          <w:lang w:val="ru-RU"/>
        </w:rPr>
      </w:pPr>
      <w:r>
        <w:rPr>
          <w:lang w:val="ru-RU"/>
        </w:rPr>
        <w:t xml:space="preserve">Среднее количество покупок максимально для группы с высокой частотой покупок и снижается с увеличением интервала. </w:t>
      </w:r>
    </w:p>
    <w:p w14:paraId="00000028">
      <w:pPr>
        <w:pBdr>
          <w:top w:val="none" w:color="auto" w:sz="0" w:space="0"/>
          <w:left w:val="none" w:color="auto" w:sz="0" w:space="0"/>
          <w:bottom w:val="none" w:color="auto" w:sz="0" w:space="0"/>
          <w:right w:val="none" w:color="auto" w:sz="0" w:space="0"/>
          <w:between w:val="none" w:color="auto" w:sz="0" w:space="0"/>
        </w:pBdr>
        <w:spacing w:before="240" w:after="240"/>
        <w:rPr>
          <w:color w:val="FF9900"/>
          <w:lang w:val="ru-RU"/>
        </w:rPr>
      </w:pPr>
      <w:r>
        <w:rPr>
          <w:lang w:val="ru-RU"/>
        </w:rPr>
        <w:t xml:space="preserve">А вот доля платящих игроков практически неизменна для каждой группы. </w:t>
      </w:r>
    </w:p>
    <w:p w14:paraId="00000029">
      <w:pPr>
        <w:pStyle w:val="4"/>
        <w:spacing w:before="240" w:after="240"/>
        <w:rPr>
          <w:lang w:val="ru-RU"/>
        </w:rPr>
      </w:pPr>
      <w:bookmarkStart w:id="11" w:name="_nwm5lzghpmz8" w:colFirst="0" w:colLast="0"/>
      <w:bookmarkEnd w:id="11"/>
      <w:r>
        <w:rPr>
          <w:lang w:val="ru-RU"/>
        </w:rPr>
        <w:t>3. Общие выводы и рекомендации</w:t>
      </w:r>
    </w:p>
    <w:p w14:paraId="0000002B">
      <w:pPr>
        <w:spacing w:before="240" w:after="240"/>
        <w:rPr>
          <w:lang w:val="ru-RU"/>
        </w:rPr>
      </w:pPr>
      <w:bookmarkStart w:id="12" w:name="_GoBack"/>
      <w:bookmarkEnd w:id="12"/>
      <w:r>
        <w:rPr>
          <w:lang w:val="ru-RU"/>
        </w:rPr>
        <w:t>По результатам анализа данных игры «Секреты Темнолесья» можно сделать вывод, что раса персонажа не влияет на долю платящих игроков и количество купленных эпических предметов, а среди 184 видов эпических предметов наибольшую популярность имеют только 2 вида, а около 20 предметов были куплены только 1 раз. Также в игре наблюдаются аномальные «нулевые покупки», хотя их доля и мала.</w:t>
      </w:r>
    </w:p>
    <w:p w14:paraId="0781346E">
      <w:pPr>
        <w:spacing w:before="240" w:after="240"/>
        <w:rPr>
          <w:lang w:val="ru-RU"/>
        </w:rPr>
      </w:pPr>
      <w:r>
        <w:rPr>
          <w:lang w:val="ru-RU"/>
        </w:rPr>
        <w:t>Но доля платящих игроков мала по отношению к общему количеству игроков. Необходимо привлечь большее количество игроков в платящие, например за счет введения скидок на популярные предметы для игроков, совершающих первую покупку за «райские лепестки».</w:t>
      </w:r>
    </w:p>
    <w:p w14:paraId="0000002C">
      <w:pPr>
        <w:rPr>
          <w:lang w:val="ru-RU"/>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ambria Math">
    <w:panose1 w:val="02040503050406030204"/>
    <w:charset w:val="CC"/>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EDF"/>
    <w:rsid w:val="001F288A"/>
    <w:rsid w:val="00351A13"/>
    <w:rsid w:val="004B670A"/>
    <w:rsid w:val="006B4090"/>
    <w:rsid w:val="00824B2A"/>
    <w:rsid w:val="009D7EDF"/>
    <w:rsid w:val="00AD2E80"/>
    <w:rsid w:val="00C27DB8"/>
    <w:rsid w:val="00F125C1"/>
    <w:rsid w:val="223301F2"/>
    <w:rsid w:val="641D27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line="276" w:lineRule="auto"/>
    </w:pPr>
    <w:rPr>
      <w:rFonts w:ascii="Arial" w:hAnsi="Arial" w:eastAsia="Arial" w:cs="Arial"/>
      <w:sz w:val="22"/>
      <w:szCs w:val="22"/>
      <w:lang w:val="en-GB" w:eastAsia="ru-RU"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Title"/>
    <w:basedOn w:val="1"/>
    <w:next w:val="1"/>
    <w:qFormat/>
    <w:uiPriority w:val="10"/>
    <w:pPr>
      <w:keepNext/>
      <w:keepLines/>
      <w:spacing w:after="60"/>
    </w:pPr>
    <w:rPr>
      <w:sz w:val="52"/>
      <w:szCs w:val="52"/>
    </w:rPr>
  </w:style>
  <w:style w:type="paragraph" w:styleId="11">
    <w:name w:val="Subtitle"/>
    <w:basedOn w:val="1"/>
    <w:next w:val="1"/>
    <w:qFormat/>
    <w:uiPriority w:val="11"/>
    <w:pPr>
      <w:keepNext/>
      <w:keepLines/>
      <w:spacing w:after="320"/>
    </w:pPr>
    <w:rPr>
      <w:color w:val="666666"/>
      <w:sz w:val="30"/>
      <w:szCs w:val="30"/>
    </w:rPr>
  </w:style>
  <w:style w:type="table" w:customStyle="1" w:styleId="12">
    <w:name w:val="Table Normal"/>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985</Words>
  <Characters>5619</Characters>
  <Lines>46</Lines>
  <Paragraphs>13</Paragraphs>
  <TotalTime>83</TotalTime>
  <ScaleCrop>false</ScaleCrop>
  <LinksUpToDate>false</LinksUpToDate>
  <CharactersWithSpaces>6591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2025-03-18T19:00:00Z</dcterms:created>
  <dc:creator>bolok</dc:creator>
  <cp:lastModifiedBy>111</cp:lastModifiedBy>
  <dcterms:modified xsi:type="dcterms:W3CDTF">2025-12-04T12:06:01Z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CC82DAA5CA974C7C80293999949FE8F8_13</vt:lpwstr>
  </property>
</Properties>
</file>