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635E7" w14:textId="77777777" w:rsidR="00672EED" w:rsidRPr="00766404" w:rsidRDefault="00672EED" w:rsidP="00672EED">
      <w:pPr>
        <w:spacing w:line="360" w:lineRule="auto"/>
        <w:ind w:firstLine="709"/>
        <w:jc w:val="both"/>
        <w:rPr>
          <w:sz w:val="28"/>
          <w:szCs w:val="28"/>
        </w:rPr>
      </w:pPr>
      <w:r w:rsidRPr="00766404">
        <w:rPr>
          <w:sz w:val="28"/>
          <w:szCs w:val="28"/>
        </w:rPr>
        <w:t xml:space="preserve">В целом можно выделить </w:t>
      </w:r>
      <w:r w:rsidRPr="00766404">
        <w:rPr>
          <w:b/>
          <w:bCs/>
          <w:sz w:val="28"/>
          <w:szCs w:val="28"/>
        </w:rPr>
        <w:t>два основных подхода к учету в цифровой среде</w:t>
      </w:r>
      <w:r w:rsidRPr="00766404">
        <w:rPr>
          <w:sz w:val="28"/>
          <w:szCs w:val="28"/>
        </w:rPr>
        <w:t>:</w:t>
      </w:r>
    </w:p>
    <w:p w14:paraId="722EA1C0" w14:textId="77777777" w:rsidR="00672EED" w:rsidRPr="00766404" w:rsidRDefault="00672EED" w:rsidP="00672EED">
      <w:pPr>
        <w:spacing w:line="360" w:lineRule="auto"/>
        <w:ind w:firstLine="709"/>
        <w:jc w:val="both"/>
        <w:rPr>
          <w:sz w:val="28"/>
          <w:szCs w:val="28"/>
        </w:rPr>
      </w:pPr>
      <w:r w:rsidRPr="00766404">
        <w:rPr>
          <w:b/>
          <w:bCs/>
          <w:sz w:val="28"/>
          <w:szCs w:val="28"/>
        </w:rPr>
        <w:t>Учет в рамках цифровых платформ</w:t>
      </w:r>
      <w:r w:rsidRPr="00766404">
        <w:rPr>
          <w:sz w:val="28"/>
          <w:szCs w:val="28"/>
        </w:rPr>
        <w:t xml:space="preserve">: этот подход предполагает использование цифровых платформ, таких как </w:t>
      </w:r>
      <w:proofErr w:type="spellStart"/>
      <w:r w:rsidRPr="00766404">
        <w:rPr>
          <w:sz w:val="28"/>
          <w:szCs w:val="28"/>
        </w:rPr>
        <w:t>криптобиржи</w:t>
      </w:r>
      <w:proofErr w:type="spellEnd"/>
      <w:r w:rsidRPr="00766404">
        <w:rPr>
          <w:sz w:val="28"/>
          <w:szCs w:val="28"/>
        </w:rPr>
        <w:t xml:space="preserve"> и протоколы </w:t>
      </w:r>
      <w:r>
        <w:rPr>
          <w:sz w:val="28"/>
          <w:szCs w:val="28"/>
        </w:rPr>
        <w:t xml:space="preserve">децентрализованных финансов </w:t>
      </w:r>
      <w:r w:rsidRPr="006D1AB9">
        <w:rPr>
          <w:sz w:val="28"/>
          <w:szCs w:val="28"/>
        </w:rPr>
        <w:t>(</w:t>
      </w:r>
      <w:proofErr w:type="spellStart"/>
      <w:r w:rsidRPr="00766404">
        <w:rPr>
          <w:sz w:val="28"/>
          <w:szCs w:val="28"/>
        </w:rPr>
        <w:t>DeFi</w:t>
      </w:r>
      <w:proofErr w:type="spellEnd"/>
      <w:r w:rsidRPr="006D1AB9">
        <w:rPr>
          <w:sz w:val="28"/>
          <w:szCs w:val="28"/>
        </w:rPr>
        <w:t>)</w:t>
      </w:r>
      <w:r w:rsidRPr="00766404">
        <w:rPr>
          <w:sz w:val="28"/>
          <w:szCs w:val="28"/>
        </w:rPr>
        <w:t xml:space="preserve">, </w:t>
      </w:r>
      <w:r w:rsidRPr="006D4234">
        <w:rPr>
          <w:sz w:val="28"/>
          <w:szCs w:val="28"/>
        </w:rPr>
        <w:t>где контроль за информацией</w:t>
      </w:r>
      <w:r w:rsidRPr="00766404">
        <w:rPr>
          <w:sz w:val="28"/>
          <w:szCs w:val="28"/>
        </w:rPr>
        <w:t xml:space="preserve"> осуществляется </w:t>
      </w:r>
      <w:r w:rsidRPr="006D4234">
        <w:rPr>
          <w:sz w:val="28"/>
          <w:szCs w:val="28"/>
        </w:rPr>
        <w:t>с помощью смарт-контрактов и распределенных реестров</w:t>
      </w:r>
      <w:r>
        <w:rPr>
          <w:sz w:val="28"/>
          <w:szCs w:val="28"/>
        </w:rPr>
        <w:t>, непосредственно интегрированных в инфраструктуру цифровой платформы.</w:t>
      </w:r>
      <w:r w:rsidRPr="006D4234">
        <w:rPr>
          <w:sz w:val="28"/>
          <w:szCs w:val="28"/>
        </w:rPr>
        <w:t xml:space="preserve"> </w:t>
      </w:r>
      <w:r>
        <w:rPr>
          <w:sz w:val="28"/>
          <w:szCs w:val="28"/>
        </w:rPr>
        <w:t xml:space="preserve">Примером указанного способа учета является </w:t>
      </w:r>
      <w:r w:rsidRPr="006D4234">
        <w:rPr>
          <w:b/>
          <w:bCs/>
          <w:i/>
          <w:iCs/>
          <w:sz w:val="28"/>
          <w:szCs w:val="28"/>
        </w:rPr>
        <w:t>учет посредством цифровых прав</w:t>
      </w:r>
      <w:r>
        <w:rPr>
          <w:rStyle w:val="a5"/>
          <w:sz w:val="28"/>
          <w:szCs w:val="28"/>
        </w:rPr>
        <w:footnoteReference w:id="1"/>
      </w:r>
      <w:r>
        <w:rPr>
          <w:sz w:val="28"/>
          <w:szCs w:val="28"/>
        </w:rPr>
        <w:t xml:space="preserve">.  (в действующем регулировании по двум моделям: краудфандинг и по закону о </w:t>
      </w:r>
      <w:proofErr w:type="spellStart"/>
      <w:r>
        <w:rPr>
          <w:sz w:val="28"/>
          <w:szCs w:val="28"/>
        </w:rPr>
        <w:t>цфа</w:t>
      </w:r>
      <w:proofErr w:type="spellEnd"/>
      <w:r>
        <w:rPr>
          <w:sz w:val="28"/>
          <w:szCs w:val="28"/>
        </w:rPr>
        <w:t>)</w:t>
      </w:r>
    </w:p>
    <w:p w14:paraId="020043DB" w14:textId="77777777" w:rsidR="00672EED" w:rsidRPr="00766404" w:rsidRDefault="00672EED" w:rsidP="00672EED">
      <w:pPr>
        <w:spacing w:line="360" w:lineRule="auto"/>
        <w:ind w:firstLine="709"/>
        <w:jc w:val="both"/>
        <w:rPr>
          <w:sz w:val="28"/>
          <w:szCs w:val="28"/>
        </w:rPr>
      </w:pPr>
      <w:proofErr w:type="spellStart"/>
      <w:r w:rsidRPr="00766404">
        <w:rPr>
          <w:b/>
          <w:bCs/>
          <w:sz w:val="28"/>
          <w:szCs w:val="28"/>
        </w:rPr>
        <w:t>Внеплатформенный</w:t>
      </w:r>
      <w:proofErr w:type="spellEnd"/>
      <w:r w:rsidRPr="00766404">
        <w:rPr>
          <w:b/>
          <w:bCs/>
          <w:sz w:val="28"/>
          <w:szCs w:val="28"/>
        </w:rPr>
        <w:t xml:space="preserve"> учет</w:t>
      </w:r>
      <w:r w:rsidRPr="00766404">
        <w:rPr>
          <w:sz w:val="28"/>
          <w:szCs w:val="28"/>
        </w:rPr>
        <w:t xml:space="preserve">: данный подход, примером которого является </w:t>
      </w:r>
      <w:r w:rsidRPr="006D4234">
        <w:rPr>
          <w:b/>
          <w:bCs/>
          <w:i/>
          <w:iCs/>
          <w:sz w:val="28"/>
          <w:szCs w:val="28"/>
        </w:rPr>
        <w:t>майнинг</w:t>
      </w:r>
      <w:r w:rsidRPr="00766404">
        <w:rPr>
          <w:sz w:val="28"/>
          <w:szCs w:val="28"/>
        </w:rPr>
        <w:t xml:space="preserve"> и функционирование независимых узлов сети, характеризуется высокой степенью децентрализации и требует нестандартных регуляторных решений. Особого внимания заслуживает уникальный способ учета посредством майнинга</w:t>
      </w:r>
      <w:r>
        <w:rPr>
          <w:sz w:val="28"/>
          <w:szCs w:val="28"/>
        </w:rPr>
        <w:t xml:space="preserve"> </w:t>
      </w:r>
      <w:proofErr w:type="spellStart"/>
      <w:r>
        <w:rPr>
          <w:sz w:val="28"/>
          <w:szCs w:val="28"/>
        </w:rPr>
        <w:t>PoW</w:t>
      </w:r>
      <w:proofErr w:type="spellEnd"/>
      <w:r>
        <w:rPr>
          <w:rStyle w:val="a5"/>
          <w:sz w:val="28"/>
          <w:szCs w:val="28"/>
        </w:rPr>
        <w:footnoteReference w:id="2"/>
      </w:r>
      <w:r w:rsidRPr="00766404">
        <w:rPr>
          <w:sz w:val="28"/>
          <w:szCs w:val="28"/>
        </w:rPr>
        <w:t>, основанный на использовании электроэнергии</w:t>
      </w:r>
      <w:r>
        <w:rPr>
          <w:rStyle w:val="a5"/>
          <w:sz w:val="28"/>
          <w:szCs w:val="28"/>
        </w:rPr>
        <w:footnoteReference w:id="3"/>
      </w:r>
      <w:r w:rsidRPr="00766404">
        <w:rPr>
          <w:sz w:val="28"/>
          <w:szCs w:val="28"/>
        </w:rPr>
        <w:t>.</w:t>
      </w:r>
    </w:p>
    <w:p w14:paraId="5F37DAD5" w14:textId="77777777" w:rsidR="00672EED" w:rsidRDefault="00672EED" w:rsidP="00672EED">
      <w:pPr>
        <w:spacing w:line="360" w:lineRule="auto"/>
        <w:ind w:firstLine="709"/>
        <w:jc w:val="both"/>
        <w:rPr>
          <w:sz w:val="28"/>
          <w:szCs w:val="28"/>
        </w:rPr>
      </w:pPr>
      <w:r w:rsidRPr="00766404">
        <w:rPr>
          <w:sz w:val="28"/>
          <w:szCs w:val="28"/>
        </w:rPr>
        <w:t xml:space="preserve">Майнинг как инновационный способ учета информации: несмотря на то, что в законодательстве и юридической литературе майнинг часто рассматривается как способ генерации криптовалюты (например, биткоина), ценность майнинга гораздо шире — это инновационный способ учета и хранения информации. </w:t>
      </w:r>
    </w:p>
    <w:p w14:paraId="7CD31902" w14:textId="77777777" w:rsidR="00672EED" w:rsidRDefault="00672EED" w:rsidP="00672EED">
      <w:pPr>
        <w:spacing w:line="360" w:lineRule="auto"/>
        <w:ind w:firstLine="709"/>
        <w:jc w:val="both"/>
        <w:rPr>
          <w:sz w:val="28"/>
          <w:szCs w:val="28"/>
        </w:rPr>
      </w:pPr>
      <w:r>
        <w:rPr>
          <w:sz w:val="28"/>
          <w:szCs w:val="28"/>
        </w:rPr>
        <w:t xml:space="preserve">Оба инновационных способа учета – основания формирования новых объектов правоотношений благодаря наличию цифровой природы. </w:t>
      </w:r>
    </w:p>
    <w:p w14:paraId="49736DB1" w14:textId="77777777" w:rsidR="00672EED" w:rsidRDefault="00672EED" w:rsidP="00672EED">
      <w:pPr>
        <w:spacing w:line="360" w:lineRule="auto"/>
        <w:ind w:firstLine="709"/>
        <w:jc w:val="both"/>
        <w:rPr>
          <w:sz w:val="28"/>
          <w:szCs w:val="28"/>
        </w:rPr>
      </w:pPr>
      <w:r>
        <w:rPr>
          <w:sz w:val="28"/>
          <w:szCs w:val="28"/>
        </w:rPr>
        <w:t xml:space="preserve">Майнинг – не предмет ведения финансовых регуляторов (исключениями могут быть отдельные модели майнинга в составе пулов, для которых предлагалась модель </w:t>
      </w:r>
      <w:proofErr w:type="spellStart"/>
      <w:r>
        <w:rPr>
          <w:sz w:val="28"/>
          <w:szCs w:val="28"/>
        </w:rPr>
        <w:t>неэмиссионной</w:t>
      </w:r>
      <w:proofErr w:type="spellEnd"/>
      <w:r>
        <w:rPr>
          <w:sz w:val="28"/>
          <w:szCs w:val="28"/>
        </w:rPr>
        <w:t xml:space="preserve"> ценной </w:t>
      </w:r>
      <w:proofErr w:type="gramStart"/>
      <w:r>
        <w:rPr>
          <w:sz w:val="28"/>
          <w:szCs w:val="28"/>
        </w:rPr>
        <w:t>бумаги..</w:t>
      </w:r>
      <w:proofErr w:type="gramEnd"/>
      <w:r>
        <w:rPr>
          <w:sz w:val="28"/>
          <w:szCs w:val="28"/>
        </w:rPr>
        <w:t xml:space="preserve"> </w:t>
      </w:r>
    </w:p>
    <w:p w14:paraId="6451AABA" w14:textId="77777777" w:rsidR="00672EED" w:rsidRDefault="00672EED"/>
    <w:sectPr w:rsidR="00672E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201B2" w14:textId="77777777" w:rsidR="007E05BC" w:rsidRDefault="007E05BC" w:rsidP="00672EED">
      <w:r>
        <w:separator/>
      </w:r>
    </w:p>
  </w:endnote>
  <w:endnote w:type="continuationSeparator" w:id="0">
    <w:p w14:paraId="2C98DEE3" w14:textId="77777777" w:rsidR="007E05BC" w:rsidRDefault="007E05BC" w:rsidP="00672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ADBB" w14:textId="77777777" w:rsidR="007E05BC" w:rsidRDefault="007E05BC" w:rsidP="00672EED">
      <w:r>
        <w:separator/>
      </w:r>
    </w:p>
  </w:footnote>
  <w:footnote w:type="continuationSeparator" w:id="0">
    <w:p w14:paraId="2F326C4F" w14:textId="77777777" w:rsidR="007E05BC" w:rsidRDefault="007E05BC" w:rsidP="00672EED">
      <w:r>
        <w:continuationSeparator/>
      </w:r>
    </w:p>
  </w:footnote>
  <w:footnote w:id="1">
    <w:p w14:paraId="6C4404D4" w14:textId="77777777" w:rsidR="00672EED" w:rsidRDefault="00672EED" w:rsidP="00672EED">
      <w:pPr>
        <w:pStyle w:val="a3"/>
      </w:pPr>
      <w:r>
        <w:rPr>
          <w:rStyle w:val="a5"/>
        </w:rPr>
        <w:footnoteRef/>
      </w:r>
      <w:r>
        <w:t xml:space="preserve"> Статья 141.1 </w:t>
      </w:r>
      <w:proofErr w:type="gramStart"/>
      <w:r>
        <w:t>ГК  РФ</w:t>
      </w:r>
      <w:proofErr w:type="gramEnd"/>
    </w:p>
  </w:footnote>
  <w:footnote w:id="2">
    <w:p w14:paraId="087A1794" w14:textId="77777777" w:rsidR="00672EED" w:rsidRPr="003E535D" w:rsidRDefault="00672EED" w:rsidP="00672EED">
      <w:pPr>
        <w:pStyle w:val="a3"/>
      </w:pPr>
      <w:r>
        <w:rPr>
          <w:rStyle w:val="a5"/>
        </w:rPr>
        <w:footnoteRef/>
      </w:r>
      <w:r>
        <w:t xml:space="preserve"> </w:t>
      </w:r>
    </w:p>
  </w:footnote>
  <w:footnote w:id="3">
    <w:p w14:paraId="4EE7453B" w14:textId="77777777" w:rsidR="00672EED" w:rsidRPr="005646B1" w:rsidRDefault="00672EED" w:rsidP="00672EED">
      <w:pPr>
        <w:pStyle w:val="a3"/>
        <w:rPr>
          <w:lang w:val="en-GB"/>
        </w:rPr>
      </w:pPr>
      <w:r>
        <w:rPr>
          <w:rStyle w:val="a5"/>
        </w:rPr>
        <w:footnoteRef/>
      </w:r>
      <w:r>
        <w:t xml:space="preserve"> практически не регулируется ни в одном правопорядке. Исключение</w:t>
      </w:r>
      <w:r w:rsidRPr="005646B1">
        <w:rPr>
          <w:lang w:val="en-GB"/>
        </w:rPr>
        <w:t xml:space="preserve"> – </w:t>
      </w:r>
      <w:r>
        <w:t>законодательства</w:t>
      </w:r>
      <w:r w:rsidRPr="005646B1">
        <w:rPr>
          <w:lang w:val="en-GB"/>
        </w:rPr>
        <w:t xml:space="preserve"> </w:t>
      </w:r>
      <w:r>
        <w:t>государств</w:t>
      </w:r>
      <w:r w:rsidRPr="005646B1">
        <w:rPr>
          <w:lang w:val="en-GB"/>
        </w:rPr>
        <w:t xml:space="preserve"> </w:t>
      </w:r>
      <w:r>
        <w:t>СНГ</w:t>
      </w:r>
      <w:r w:rsidRPr="005646B1">
        <w:rPr>
          <w:lang w:val="en-GB"/>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ED"/>
    <w:rsid w:val="00672EED"/>
    <w:rsid w:val="007E05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C601B"/>
  <w15:chartTrackingRefBased/>
  <w15:docId w15:val="{03A064C7-6A99-4014-BAC2-26127896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672EED"/>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4"/>
    <w:uiPriority w:val="99"/>
    <w:unhideWhenUsed/>
    <w:rsid w:val="00672EED"/>
    <w:rPr>
      <w:rFonts w:eastAsiaTheme="minorHAnsi"/>
      <w:sz w:val="20"/>
      <w:szCs w:val="20"/>
    </w:rPr>
  </w:style>
  <w:style w:type="character" w:customStyle="1" w:styleId="a4">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3"/>
    <w:uiPriority w:val="99"/>
    <w:rsid w:val="00672EED"/>
    <w:rPr>
      <w:rFonts w:ascii="Times New Roman" w:hAnsi="Times New Roman" w:cs="Times New Roman"/>
      <w:sz w:val="20"/>
      <w:szCs w:val="20"/>
      <w:lang w:val="ru-RU" w:eastAsia="ru-RU"/>
    </w:rPr>
  </w:style>
  <w:style w:type="character" w:styleId="a5">
    <w:name w:val="footnote reference"/>
    <w:basedOn w:val="a0"/>
    <w:link w:val="1"/>
    <w:uiPriority w:val="99"/>
    <w:unhideWhenUsed/>
    <w:rsid w:val="00672EED"/>
    <w:rPr>
      <w:vertAlign w:val="superscript"/>
    </w:rPr>
  </w:style>
  <w:style w:type="paragraph" w:customStyle="1" w:styleId="1">
    <w:name w:val="Знак сноски1"/>
    <w:basedOn w:val="a"/>
    <w:link w:val="a5"/>
    <w:uiPriority w:val="99"/>
    <w:rsid w:val="00672EED"/>
    <w:pPr>
      <w:spacing w:after="160" w:line="264" w:lineRule="auto"/>
    </w:pPr>
    <w:rPr>
      <w:rFonts w:asciiTheme="minorHAnsi" w:eastAsiaTheme="minorHAnsi" w:hAnsiTheme="minorHAnsi" w:cstheme="minorBidi"/>
      <w:sz w:val="22"/>
      <w:szCs w:val="22"/>
      <w:vertAlign w:val="superscript"/>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1264</Characters>
  <Application>Microsoft Office Word</Application>
  <DocSecurity>0</DocSecurity>
  <Lines>10</Lines>
  <Paragraphs>2</Paragraphs>
  <ScaleCrop>false</ScaleCrop>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2026-04-19T06:10:00Z</dcterms:created>
  <dcterms:modified xsi:type="dcterms:W3CDTF">2026-04-19T06:11:00Z</dcterms:modified>
</cp:coreProperties>
</file>