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left"/>
      </w:pPr>
      <w:r>
        <w:rPr>
          <w:rFonts w:ascii="Calibri" w:hAnsi="Calibri" w:eastAsia="Calibri"/>
          <w:b/>
          <w:color w:val="000000"/>
          <w:sz w:val="28"/>
        </w:rPr>
        <w:t>3.2 Analysis of liquidity ratios</w:t>
      </w:r>
    </w:p>
    <w:p>
      <w:pPr>
        <w:spacing w:after="300"/>
        <w:jc w:val="both"/>
      </w:pPr>
      <w:r>
        <w:t>Liquidity ratios assess a company’s ability to meet its short‑term financial obligations using readily available assets. These measures indicate whether the company can comfortably manage its short‑term liabilities with its existing resources. Table 3.2.1 summarises Integra LLC’s key liquidity ratios for 2021–2023.</w:t>
      </w:r>
    </w:p>
    <w:p>
      <w:pPr>
        <w:jc w:val="left"/>
      </w:pPr>
      <w:r>
        <w:rPr>
          <w:rFonts w:ascii="Calibri" w:hAnsi="Calibri" w:eastAsia="Calibri"/>
          <w:b/>
          <w:sz w:val="22"/>
        </w:rPr>
        <w:t>Table 3.2.1: Integra LLC liquidity ratios, 2021–2023</w:t>
      </w:r>
    </w:p>
    <w:tbl>
      <w:tblPr>
        <w:tblW w:type="auto" w:w="0"/>
        <w:jc w:val="center"/>
        <w:tblLook w:firstColumn="1" w:firstRow="1" w:lastColumn="0" w:lastRow="0" w:noHBand="0" w:noVBand="1" w:val="04A0"/>
        <w:tblCellMar>
          <w:top w:w="0" w:type="dxa"/>
          <w:left w:w="0" w:type="dxa"/>
          <w:bottom w:w="0" w:type="dxa"/>
          <w:right w:w="0" w:type="dxa"/>
        </w:tblCellMar>
      </w:tblPr>
      <w:tblGrid>
        <w:gridCol w:w="1384"/>
        <w:gridCol w:w="1384"/>
        <w:gridCol w:w="1384"/>
        <w:gridCol w:w="1384"/>
        <w:gridCol w:w="1384"/>
        <w:gridCol w:w="1384"/>
        <w:gridCol w:w="1384"/>
      </w:tblGrid>
      <w:tr>
        <w:trPr>
          <w:trHeight w:val="567"/>
        </w:trPr>
        <w:tc>
          <w:tcPr>
            <w:tcW w:type="dxa" w:w="2098"/>
            <w:shd w:fill="E5E5E5"/>
            <w:vAlign w:val="center"/>
          </w:tcPr>
          <w:p>
            <w:pPr>
              <w:spacing w:line="240" w:lineRule="auto" w:after="0" w:before="0"/>
              <w:jc w:val="center"/>
            </w:pPr>
            <w:r>
              <w:rPr>
                <w:rFonts w:ascii="Calibri" w:hAnsi="Calibri"/>
                <w:b/>
                <w:sz w:val="22"/>
              </w:rPr>
              <w:t>Metric</w:t>
            </w:r>
          </w:p>
        </w:tc>
        <w:tc>
          <w:tcPr>
            <w:tcW w:type="dxa" w:w="1417"/>
            <w:shd w:fill="E5E5E5"/>
            <w:vAlign w:val="center"/>
          </w:tcPr>
          <w:p>
            <w:pPr>
              <w:spacing w:line="240" w:lineRule="auto" w:after="0" w:before="0"/>
              <w:jc w:val="center"/>
            </w:pPr>
            <w:r>
              <w:rPr>
                <w:rFonts w:ascii="Calibri" w:hAnsi="Calibri"/>
                <w:b/>
                <w:sz w:val="22"/>
              </w:rPr>
              <w:t>Benchmark</w:t>
            </w:r>
          </w:p>
        </w:tc>
        <w:tc>
          <w:tcPr>
            <w:tcW w:type="dxa" w:w="1332"/>
            <w:shd w:fill="E5E5E5"/>
            <w:vAlign w:val="center"/>
          </w:tcPr>
          <w:p>
            <w:pPr>
              <w:spacing w:line="240" w:lineRule="auto" w:after="0" w:before="0"/>
              <w:jc w:val="center"/>
            </w:pPr>
            <w:r>
              <w:rPr>
                <w:rFonts w:ascii="Calibri" w:hAnsi="Calibri"/>
                <w:b/>
                <w:sz w:val="22"/>
              </w:rPr>
              <w:t>2021</w:t>
            </w:r>
          </w:p>
        </w:tc>
        <w:tc>
          <w:tcPr>
            <w:tcW w:type="dxa" w:w="1332"/>
            <w:shd w:fill="E5E5E5"/>
            <w:vAlign w:val="center"/>
          </w:tcPr>
          <w:p>
            <w:pPr>
              <w:spacing w:line="240" w:lineRule="auto" w:after="0" w:before="0"/>
              <w:jc w:val="center"/>
            </w:pPr>
            <w:r>
              <w:rPr>
                <w:rFonts w:ascii="Calibri" w:hAnsi="Calibri"/>
                <w:b/>
                <w:sz w:val="22"/>
              </w:rPr>
              <w:t>2022</w:t>
            </w:r>
          </w:p>
        </w:tc>
        <w:tc>
          <w:tcPr>
            <w:tcW w:type="dxa" w:w="1332"/>
            <w:shd w:fill="E5E5E5"/>
            <w:vAlign w:val="center"/>
          </w:tcPr>
          <w:p>
            <w:pPr>
              <w:spacing w:line="240" w:lineRule="auto" w:after="0" w:before="0"/>
              <w:jc w:val="center"/>
            </w:pPr>
            <w:r>
              <w:rPr>
                <w:rFonts w:ascii="Calibri" w:hAnsi="Calibri"/>
                <w:b/>
                <w:sz w:val="22"/>
              </w:rPr>
              <w:t>2023</w:t>
            </w:r>
          </w:p>
        </w:tc>
        <w:tc>
          <w:tcPr>
            <w:tcW w:type="dxa" w:w="964"/>
            <w:shd w:fill="E5E5E5"/>
            <w:vAlign w:val="center"/>
          </w:tcPr>
          <w:p>
            <w:pPr>
              <w:spacing w:line="240" w:lineRule="auto" w:after="0" w:before="0"/>
              <w:jc w:val="center"/>
            </w:pPr>
            <w:r>
              <w:rPr>
                <w:rFonts w:ascii="Calibri" w:hAnsi="Calibri"/>
                <w:b/>
                <w:sz w:val="22"/>
              </w:rPr>
              <w:t>Trend</w:t>
            </w:r>
          </w:p>
        </w:tc>
        <w:tc>
          <w:tcPr>
            <w:tcW w:type="dxa" w:w="1191"/>
            <w:shd w:fill="E5E5E5"/>
            <w:vAlign w:val="center"/>
          </w:tcPr>
          <w:p>
            <w:pPr>
              <w:spacing w:line="240" w:lineRule="auto" w:after="0" w:before="0"/>
              <w:jc w:val="center"/>
            </w:pPr>
            <w:r>
              <w:rPr>
                <w:rFonts w:ascii="Calibri" w:hAnsi="Calibri"/>
                <w:b/>
                <w:sz w:val="22"/>
              </w:rPr>
              <w:t>Change</w:t>
            </w:r>
          </w:p>
        </w:tc>
      </w:tr>
      <w:tr>
        <w:trPr>
          <w:trHeight w:val="340"/>
        </w:trPr>
        <w:tc>
          <w:tcPr>
            <w:tcW w:type="dxa" w:w="2098"/>
            <w:tcMar>
              <w:left w:w="0" w:type="dxa"/>
              <w:right w:w="0" w:type="dxa"/>
            </w:tcMar>
            <w:shd w:fill="FFFFFF"/>
            <w:tcBorders>
              <w:bottom w:val="single" w:sz="8" w:color="CCCCCC"/>
            </w:tcBorders>
            <w:vAlign w:val="center"/>
            <w:marL w:w="141" w:type="dxa"/>
          </w:tcPr>
          <w:p>
            <w:pPr>
              <w:ind w:left="0" w:firstLine="0"/>
              <w:spacing w:line="240" w:lineRule="auto" w:after="0" w:before="0"/>
              <w:jc w:val="left"/>
            </w:pPr>
            <w:r>
              <w:rPr>
                <w:rFonts w:ascii="Calibri" w:hAnsi="Calibri"/>
                <w:b w:val="0"/>
                <w:sz w:val="22"/>
              </w:rPr>
              <w:t>Cash ratio</w:t>
            </w:r>
          </w:p>
        </w:tc>
        <w:tc>
          <w:tcPr>
            <w:tcW w:type="dxa" w:w="1417"/>
            <w:shd w:fill="FFFFFF"/>
            <w:tcBorders>
              <w:bottom w:val="single" w:sz="8" w:color="CCCCCC"/>
            </w:tcBorders>
            <w:vAlign w:val="center"/>
          </w:tcPr>
          <w:p>
            <w:pPr>
              <w:spacing w:line="240" w:lineRule="auto" w:after="0" w:before="0"/>
              <w:jc w:val="center"/>
            </w:pPr>
            <w:r>
              <w:rPr>
                <w:rFonts w:ascii="Calibri" w:hAnsi="Calibri"/>
                <w:b w:val="0"/>
                <w:sz w:val="22"/>
              </w:rPr>
              <w:t>0.2–0.5</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0.00</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0.11</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0.03</w:t>
            </w:r>
          </w:p>
        </w:tc>
        <w:tc>
          <w:tcPr>
            <w:tcW w:type="dxa" w:w="964"/>
            <w:shd w:fill="FFFFFF"/>
            <w:tcBorders>
              <w:bottom w:val="single" w:sz="8" w:color="CCCCCC"/>
            </w:tcBorders>
            <w:vAlign w:val="center"/>
          </w:tcPr>
          <w:p>
            <w:pPr>
              <w:spacing w:line="240" w:lineRule="auto" w:after="0" w:before="0"/>
              <w:jc w:val="center"/>
            </w:pPr>
            <w:r>
              <w:rPr>
                <w:rFonts w:ascii="Calibri" w:hAnsi="Calibri"/>
                <w:b w:val="0"/>
                <w:sz w:val="22"/>
              </w:rPr>
              <w:t>↑</w:t>
            </w:r>
          </w:p>
        </w:tc>
        <w:tc>
          <w:tcPr>
            <w:tcW w:type="dxa" w:w="1191"/>
            <w:shd w:fill="FFFFFF"/>
            <w:tcBorders>
              <w:bottom w:val="single" w:sz="8" w:color="CCCCCC"/>
            </w:tcBorders>
            <w:vAlign w:val="center"/>
          </w:tcPr>
          <w:p>
            <w:pPr>
              <w:spacing w:line="240" w:lineRule="auto" w:after="0" w:before="0"/>
              <w:jc w:val="center"/>
            </w:pPr>
            <w:r>
              <w:rPr>
                <w:rFonts w:ascii="Calibri" w:hAnsi="Calibri"/>
                <w:b w:val="0"/>
                <w:sz w:val="22"/>
              </w:rPr>
              <w:t>+0.03</w:t>
            </w:r>
          </w:p>
        </w:tc>
      </w:tr>
      <w:tr>
        <w:trPr>
          <w:trHeight w:val="340"/>
        </w:trPr>
        <w:tc>
          <w:tcPr>
            <w:tcW w:type="dxa" w:w="2098"/>
            <w:tcMar>
              <w:left w:w="0" w:type="dxa"/>
              <w:right w:w="0" w:type="dxa"/>
            </w:tcMar>
            <w:shd w:fill="FFFFFF"/>
            <w:tcBorders>
              <w:bottom w:val="single" w:sz="8" w:color="CCCCCC"/>
            </w:tcBorders>
            <w:vAlign w:val="center"/>
            <w:marL w:w="141" w:type="dxa"/>
          </w:tcPr>
          <w:p>
            <w:pPr>
              <w:ind w:left="0" w:firstLine="0"/>
              <w:spacing w:line="240" w:lineRule="auto" w:after="0" w:before="0"/>
              <w:jc w:val="left"/>
            </w:pPr>
            <w:r>
              <w:rPr>
                <w:rFonts w:ascii="Calibri" w:hAnsi="Calibri"/>
                <w:b w:val="0"/>
                <w:sz w:val="22"/>
              </w:rPr>
              <w:t>Current ratio</w:t>
            </w:r>
          </w:p>
        </w:tc>
        <w:tc>
          <w:tcPr>
            <w:tcW w:type="dxa" w:w="1417"/>
            <w:shd w:fill="FFFFFF"/>
            <w:tcBorders>
              <w:bottom w:val="single" w:sz="8" w:color="CCCCCC"/>
            </w:tcBorders>
            <w:vAlign w:val="center"/>
          </w:tcPr>
          <w:p>
            <w:pPr>
              <w:spacing w:line="240" w:lineRule="auto" w:after="0" w:before="0"/>
              <w:jc w:val="center"/>
            </w:pPr>
            <w:r>
              <w:rPr>
                <w:rFonts w:ascii="Calibri" w:hAnsi="Calibri"/>
                <w:b w:val="0"/>
                <w:sz w:val="22"/>
              </w:rPr>
              <w:t>1–2</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2.73</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2.67</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0.65</w:t>
            </w:r>
          </w:p>
        </w:tc>
        <w:tc>
          <w:tcPr>
            <w:tcW w:type="dxa" w:w="964"/>
            <w:shd w:fill="FFFFFF"/>
            <w:tcBorders>
              <w:bottom w:val="single" w:sz="8" w:color="CCCCCC"/>
            </w:tcBorders>
            <w:vAlign w:val="center"/>
          </w:tcPr>
          <w:p>
            <w:pPr>
              <w:spacing w:line="240" w:lineRule="auto" w:after="0" w:before="0"/>
              <w:jc w:val="center"/>
            </w:pPr>
            <w:r>
              <w:rPr>
                <w:rFonts w:ascii="Calibri" w:hAnsi="Calibri"/>
                <w:b w:val="0"/>
                <w:sz w:val="22"/>
              </w:rPr>
              <w:t>↓</w:t>
            </w:r>
          </w:p>
        </w:tc>
        <w:tc>
          <w:tcPr>
            <w:tcW w:type="dxa" w:w="1191"/>
            <w:shd w:fill="FFFFFF"/>
            <w:tcBorders>
              <w:bottom w:val="single" w:sz="8" w:color="CCCCCC"/>
            </w:tcBorders>
            <w:vAlign w:val="center"/>
          </w:tcPr>
          <w:p>
            <w:pPr>
              <w:spacing w:line="240" w:lineRule="auto" w:after="0" w:before="0"/>
              <w:jc w:val="center"/>
            </w:pPr>
            <w:r>
              <w:rPr>
                <w:rFonts w:ascii="Calibri" w:hAnsi="Calibri"/>
                <w:b w:val="0"/>
                <w:sz w:val="22"/>
              </w:rPr>
              <w:t>-2.08</w:t>
            </w:r>
          </w:p>
        </w:tc>
      </w:tr>
      <w:tr>
        <w:trPr>
          <w:trHeight w:val="340"/>
        </w:trPr>
        <w:tc>
          <w:tcPr>
            <w:tcW w:type="dxa" w:w="2098"/>
            <w:tcMar>
              <w:left w:w="0" w:type="dxa"/>
              <w:right w:w="0" w:type="dxa"/>
            </w:tcMar>
            <w:shd w:fill="FFFFFF"/>
            <w:tcBorders>
              <w:bottom w:val="single" w:sz="8" w:color="CCCCCC"/>
            </w:tcBorders>
            <w:vAlign w:val="center"/>
            <w:marL w:w="141" w:type="dxa"/>
          </w:tcPr>
          <w:p>
            <w:pPr>
              <w:ind w:left="0" w:firstLine="0"/>
              <w:spacing w:line="240" w:lineRule="auto" w:after="0" w:before="0"/>
              <w:jc w:val="left"/>
            </w:pPr>
            <w:r>
              <w:rPr>
                <w:rFonts w:ascii="Calibri" w:hAnsi="Calibri"/>
                <w:b w:val="0"/>
                <w:sz w:val="22"/>
              </w:rPr>
              <w:t>Quick ratio</w:t>
            </w:r>
          </w:p>
        </w:tc>
        <w:tc>
          <w:tcPr>
            <w:tcW w:type="dxa" w:w="1417"/>
            <w:shd w:fill="FFFFFF"/>
            <w:tcBorders>
              <w:bottom w:val="single" w:sz="8" w:color="CCCCCC"/>
            </w:tcBorders>
            <w:vAlign w:val="center"/>
          </w:tcPr>
          <w:p>
            <w:pPr>
              <w:spacing w:line="240" w:lineRule="auto" w:after="0" w:before="0"/>
              <w:jc w:val="center"/>
            </w:pPr>
            <w:r>
              <w:rPr>
                <w:rFonts w:ascii="Calibri" w:hAnsi="Calibri"/>
                <w:b w:val="0"/>
                <w:sz w:val="22"/>
              </w:rPr>
              <w:t>≥0.8</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0.29</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1.56</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0.57</w:t>
            </w:r>
          </w:p>
        </w:tc>
        <w:tc>
          <w:tcPr>
            <w:tcW w:type="dxa" w:w="964"/>
            <w:shd w:fill="FFFFFF"/>
            <w:tcBorders>
              <w:bottom w:val="single" w:sz="8" w:color="CCCCCC"/>
            </w:tcBorders>
            <w:vAlign w:val="center"/>
          </w:tcPr>
          <w:p>
            <w:pPr>
              <w:spacing w:line="240" w:lineRule="auto" w:after="0" w:before="0"/>
              <w:jc w:val="center"/>
            </w:pPr>
            <w:r>
              <w:rPr>
                <w:rFonts w:ascii="Calibri" w:hAnsi="Calibri"/>
                <w:b w:val="0"/>
                <w:sz w:val="22"/>
              </w:rPr>
              <w:t>↑</w:t>
            </w:r>
          </w:p>
        </w:tc>
        <w:tc>
          <w:tcPr>
            <w:tcW w:type="dxa" w:w="1191"/>
            <w:shd w:fill="FFFFFF"/>
            <w:tcBorders>
              <w:bottom w:val="single" w:sz="8" w:color="CCCCCC"/>
            </w:tcBorders>
            <w:vAlign w:val="center"/>
          </w:tcPr>
          <w:p>
            <w:pPr>
              <w:spacing w:line="240" w:lineRule="auto" w:after="0" w:before="0"/>
              <w:jc w:val="center"/>
            </w:pPr>
            <w:r>
              <w:rPr>
                <w:rFonts w:ascii="Calibri" w:hAnsi="Calibri"/>
                <w:b w:val="0"/>
                <w:sz w:val="22"/>
              </w:rPr>
              <w:t>+0.28</w:t>
            </w:r>
          </w:p>
        </w:tc>
      </w:tr>
      <w:tr>
        <w:trPr>
          <w:trHeight w:val="340"/>
        </w:trPr>
        <w:tc>
          <w:tcPr>
            <w:tcW w:type="dxa" w:w="2098"/>
            <w:tcMar>
              <w:left w:w="0" w:type="dxa"/>
              <w:right w:w="0" w:type="dxa"/>
            </w:tcMar>
            <w:shd w:fill="FFFFFF"/>
            <w:tcBorders>
              <w:bottom w:val="single" w:sz="8" w:color="CCCCCC"/>
            </w:tcBorders>
            <w:vAlign w:val="center"/>
            <w:marL w:w="141" w:type="dxa"/>
          </w:tcPr>
          <w:p>
            <w:pPr>
              <w:ind w:left="0" w:firstLine="0"/>
              <w:spacing w:line="240" w:lineRule="auto" w:after="0" w:before="0"/>
              <w:jc w:val="left"/>
            </w:pPr>
            <w:r>
              <w:rPr>
                <w:rFonts w:ascii="Calibri" w:hAnsi="Calibri"/>
                <w:b w:val="0"/>
                <w:sz w:val="22"/>
              </w:rPr>
              <w:t>Months to repay</w:t>
            </w:r>
          </w:p>
        </w:tc>
        <w:tc>
          <w:tcPr>
            <w:tcW w:type="dxa" w:w="1417"/>
            <w:shd w:fill="FFFFFF"/>
            <w:tcBorders>
              <w:bottom w:val="single" w:sz="8" w:color="CCCCCC"/>
            </w:tcBorders>
            <w:vAlign w:val="center"/>
          </w:tcPr>
          <w:p>
            <w:pPr>
              <w:spacing w:line="240" w:lineRule="auto" w:after="0" w:before="0"/>
              <w:jc w:val="center"/>
            </w:pPr>
            <w:r>
              <w:rPr>
                <w:rFonts w:ascii="Calibri" w:hAnsi="Calibri"/>
                <w:b w:val="0"/>
                <w:sz w:val="22"/>
              </w:rPr>
              <w:t>≤3 months</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0.33</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0.57</w:t>
            </w:r>
          </w:p>
        </w:tc>
        <w:tc>
          <w:tcPr>
            <w:tcW w:type="dxa" w:w="1332"/>
            <w:shd w:fill="FFFFFF"/>
            <w:tcBorders>
              <w:bottom w:val="single" w:sz="8" w:color="CCCCCC"/>
            </w:tcBorders>
            <w:vAlign w:val="center"/>
          </w:tcPr>
          <w:p>
            <w:pPr>
              <w:spacing w:line="240" w:lineRule="auto" w:after="0" w:before="0"/>
              <w:jc w:val="center"/>
            </w:pPr>
            <w:r>
              <w:rPr>
                <w:rFonts w:ascii="Calibri" w:hAnsi="Calibri"/>
                <w:b w:val="0"/>
                <w:sz w:val="22"/>
              </w:rPr>
              <w:t>1.85</w:t>
            </w:r>
          </w:p>
        </w:tc>
        <w:tc>
          <w:tcPr>
            <w:tcW w:type="dxa" w:w="964"/>
            <w:shd w:fill="FFFFFF"/>
            <w:tcBorders>
              <w:bottom w:val="single" w:sz="8" w:color="CCCCCC"/>
            </w:tcBorders>
            <w:vAlign w:val="center"/>
          </w:tcPr>
          <w:p>
            <w:pPr>
              <w:spacing w:line="240" w:lineRule="auto" w:after="0" w:before="0"/>
              <w:jc w:val="center"/>
            </w:pPr>
            <w:r>
              <w:rPr>
                <w:rFonts w:ascii="Calibri" w:hAnsi="Calibri"/>
                <w:b w:val="0"/>
                <w:sz w:val="22"/>
              </w:rPr>
              <w:t>↑</w:t>
            </w:r>
          </w:p>
        </w:tc>
        <w:tc>
          <w:tcPr>
            <w:tcW w:type="dxa" w:w="1191"/>
            <w:shd w:fill="FFFFFF"/>
            <w:tcBorders>
              <w:bottom w:val="single" w:sz="8" w:color="CCCCCC"/>
            </w:tcBorders>
            <w:vAlign w:val="center"/>
          </w:tcPr>
          <w:p>
            <w:pPr>
              <w:spacing w:line="240" w:lineRule="auto" w:after="0" w:before="0"/>
              <w:jc w:val="center"/>
            </w:pPr>
            <w:r>
              <w:rPr>
                <w:rFonts w:ascii="Calibri" w:hAnsi="Calibri"/>
                <w:b w:val="0"/>
                <w:sz w:val="22"/>
              </w:rPr>
              <w:t>+1.52</w:t>
            </w:r>
          </w:p>
        </w:tc>
      </w:tr>
    </w:tbl>
    <w:p>
      <w:pPr>
        <w:spacing w:after="120"/>
      </w:pPr>
    </w:p>
    <w:p>
      <w:pPr>
        <w:spacing w:after="120"/>
        <w:jc w:val="both"/>
      </w:pPr>
      <w:r>
        <w:rPr>
          <w:b/>
        </w:rPr>
        <w:t xml:space="preserve">Cash ratio </w:t>
      </w:r>
      <w:r>
        <w:t>indicates the extent to which current liabilities can be settled immediately using cash on hand. A commonly referenced range is 0.2–0.5. Across 2021–2023 the ratio remained below this range, peaking at 0.11 in 2022.</w:t>
      </w:r>
    </w:p>
    <w:p>
      <w:pPr>
        <w:spacing w:after="120"/>
        <w:jc w:val="both"/>
      </w:pPr>
      <w:r>
        <w:rPr>
          <w:b/>
        </w:rPr>
        <w:t xml:space="preserve">Current ratio </w:t>
      </w:r>
      <w:r>
        <w:t>assesses the ability to cover short-term obligations with current assets. A prudent range is 1-2. The indicator was above the benchmark in 2021–2022 (2.73 → 2.67) and then fell sharply below the benchmark, reaching 0.65 in 2023.</w:t>
      </w:r>
    </w:p>
    <w:p>
      <w:pPr>
        <w:spacing w:after="120"/>
        <w:jc w:val="both"/>
      </w:pPr>
      <w:r>
        <w:rPr>
          <w:b/>
        </w:rPr>
        <w:t xml:space="preserve">Quick ratio </w:t>
      </w:r>
      <w:r>
        <w:t>captures the ability to meet short-term obligations from the most liquid current assets (cash and trade receivables), excluding inventories. A prudent minimum is 0.8. After touching 1.56 in 2022, the indicator finished below the prudent minimum at 0.57 in 2023.</w:t>
      </w:r>
    </w:p>
    <w:p>
      <w:pPr>
        <w:spacing w:after="240"/>
        <w:jc w:val="both"/>
      </w:pPr>
      <w:r>
        <w:rPr>
          <w:b/>
        </w:rPr>
        <w:t xml:space="preserve">Months to repay current liabilities </w:t>
      </w:r>
      <w:r>
        <w:t>shows how many months of average monthly revenue are required to repay current obligations in full. In practice, a sound position is to keep it under three months. Over the period, the indicator remained within this benchmark, moving from 0.33 months in 2021 to 0.57 in 2022 and 1.85 in 2023.</w:t>
      </w:r>
    </w:p>
    <w:p>
      <w:pPr>
        <w:spacing w:after="120"/>
        <w:jc w:val="both"/>
      </w:pPr>
      <w:r>
        <w:rPr>
          <w:b/>
        </w:rPr>
        <w:t xml:space="preserve">Overall assessment: </w:t>
      </w:r>
      <w:r>
        <w:t>Taken together, Integra LLC’s short-term liquidity appears constrained: cash ratio persistently below the reference range, current ratio dropping below 1 in the final year, quick ratio below 0.8 in the final year. The time-to-repay metric remained within prudent limits, which partly mitigates near-term risk. Strengthening cash buffers, tightening receivables and inventory management, and aligning the maturity profile of obligations would enhance resilience.</w:t>
      </w:r>
    </w:p>
    <w:p>
      <w:pPr>
        <w:spacing w:before="120" w:after="60"/>
        <w:jc w:val="left"/>
      </w:pPr>
      <w:r>
        <w:rPr>
          <w:b/>
        </w:rPr>
        <w:t>Key observations:</w:t>
      </w:r>
    </w:p>
    <w:p>
      <w:pPr>
        <w:pStyle w:val="ListBullet"/>
        <w:spacing w:after="0"/>
      </w:pPr>
      <w:r>
        <w:t xml:space="preserve">Cash ratio persistently below the </w:t>
      </w:r>
      <w:r>
        <w:rPr>
          <w:b/>
        </w:rPr>
        <w:t>0.2–0.5</w:t>
      </w:r>
      <w:r>
        <w:t xml:space="preserve"> reference range.</w:t>
      </w:r>
    </w:p>
    <w:p>
      <w:pPr>
        <w:pStyle w:val="ListBullet"/>
        <w:spacing w:after="0"/>
      </w:pPr>
      <w:r>
        <w:t xml:space="preserve">Current ratio dropping below </w:t>
      </w:r>
      <w:r>
        <w:rPr>
          <w:b/>
        </w:rPr>
        <w:t>1</w:t>
      </w:r>
      <w:r>
        <w:t xml:space="preserve"> in the final year.</w:t>
      </w:r>
    </w:p>
    <w:p>
      <w:pPr>
        <w:pStyle w:val="ListBullet"/>
        <w:spacing w:after="0"/>
      </w:pPr>
      <w:r>
        <w:t xml:space="preserve">Quick ratio below </w:t>
      </w:r>
      <w:r>
        <w:rPr>
          <w:b/>
        </w:rPr>
        <w:t>0.8</w:t>
      </w:r>
      <w:r>
        <w:t xml:space="preserve"> in the final year.</w:t>
      </w:r>
    </w:p>
    <w:p>
      <w:pPr>
        <w:spacing w:before="120" w:after="60"/>
        <w:jc w:val="left"/>
      </w:pPr>
      <w:r>
        <w:rPr>
          <w:b/>
        </w:rPr>
        <w:t>Mitigant:</w:t>
      </w:r>
    </w:p>
    <w:p>
      <w:pPr>
        <w:pStyle w:val="ListBullet"/>
        <w:spacing w:after="0"/>
      </w:pPr>
      <w:r>
        <w:t xml:space="preserve">Months to repay remained within the </w:t>
      </w:r>
      <w:r>
        <w:rPr>
          <w:b/>
        </w:rPr>
        <w:t>3 months</w:t>
      </w:r>
      <w:r>
        <w:t xml:space="preserve"> threshold over the period.</w:t>
      </w:r>
    </w:p>
    <w:p>
      <w:pPr>
        <w:spacing w:before="120" w:after="60"/>
        <w:jc w:val="left"/>
      </w:pPr>
      <w:r>
        <w:rPr>
          <w:b/>
        </w:rPr>
        <w:t>Recommended actions:</w:t>
      </w:r>
    </w:p>
    <w:p>
      <w:pPr>
        <w:pStyle w:val="ListBullet"/>
        <w:spacing w:after="0"/>
      </w:pPr>
      <w:r>
        <w:t>Strengthen cash buffers.</w:t>
      </w:r>
    </w:p>
    <w:p>
      <w:pPr>
        <w:pStyle w:val="ListBullet"/>
        <w:spacing w:after="0"/>
      </w:pPr>
      <w:r>
        <w:t>Tighten receivables and inventory management discipline.</w:t>
      </w:r>
    </w:p>
    <w:p>
      <w:pPr>
        <w:pStyle w:val="ListBullet"/>
        <w:spacing w:after="0"/>
      </w:pPr>
      <w:r>
        <w:t>Align the maturity profile of obligations with projected cash flows.</w:t>
      </w:r>
    </w:p>
    <w:p>
      <w:pPr>
        <w:spacing w:after="120"/>
      </w:pPr>
    </w:p>
    <w:sectPr w:rsidR="00FC693F" w:rsidRPr="0006063C" w:rsidSect="0003461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