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450679">
      <w:pPr>
        <w:pStyle w:val="991"/>
        <w:keepNext w:val="true"/>
        <w:keepLines w:val="true"/>
        <w:widowControl w:val="true"/>
        <w:spacing w:after="170" w:before="0" w:line="56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eastAsia="宋体" w:cs="Times New Roman"/>
          <w:b/>
          <w:bCs/>
          <w:color w:val="000000"/>
          <w:sz w:val="36"/>
          <w:szCs w:val="36"/>
        </w:rPr>
        <w:t xml:space="preserve">Iris</w:t>
      </w:r>
      <w:r>
        <w:rPr>
          <w:rFonts w:ascii="Times New Roman" w:hAnsi="Times New Roman" w:eastAsia="宋体" w:cs="Times New Roman"/>
          <w:b/>
          <w:bCs/>
          <w:color w:val="000000"/>
          <w:sz w:val="36"/>
          <w:szCs w:val="36"/>
        </w:rPr>
      </w:r>
      <w:r>
        <w:rPr>
          <w:rFonts w:ascii="Times New Roman" w:hAnsi="Times New Roman" w:eastAsia="宋体" w:cs="Times New Roman"/>
          <w:b/>
          <w:bCs/>
          <w:color w:val="000000"/>
          <w:sz w:val="36"/>
          <w:szCs w:val="36"/>
        </w:rPr>
      </w:r>
    </w:p>
    <w:p w14:paraId="3A655E1E">
      <w:pPr>
        <w:keepNext w:val="true"/>
        <w:keepLines w:val="true"/>
        <w:widowControl w:val="true"/>
        <w:spacing w:after="60" w:before="140" w:line="468" w:lineRule="exact"/>
        <w:ind w:right="0" w:firstLine="0" w:left="0"/>
        <w:jc w:val="left"/>
        <w:outlineLvl w:val="0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 xml:space="preserve">摘 要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</w:p>
    <w:p w14:paraId="13DD0112">
      <w:pPr>
        <w:pStyle w:val="988"/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Iris 是基于 Ti60F225I3 FPGA 与 Sapphire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RISC-V 软核的实时风格化视频处理系统。系统通过 MIPI CSI-2 接入 SC431HAI 摄像头，在 FPGA 内完成视频解包、帧缓存、去马赛克、降噪、颜色校正和神经网络推理，并以 HDMI 输出原图与风格图对比画面。针对通用逐层推理中的访存与调度开销，主工程采用三层 INT8 行流水学生网络，将批归一化折叠至卷积参数，利用片上行缓存传递中间特征；处理器负责参数部署、缓冲区所有权管理和完成中断处理。显示端在垂直同步边界提交完整结果，独立统计摄像头采集、帧缓存写入、HDMI 刷新及 AI 新帧速率。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13DD0112">
      <w:pPr>
        <w:pStyle w:val="988"/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测试结果表明，640×480 学生网络基线在 600 秒窗口内达到约 15.025 个新风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格帧每秒，原生降噪版本在约 120 秒窗口内达到约 30.049 帧每秒。独立的完整 Rain Princess 后端在原生 128×128 输入输出下达到约 30.048 帧每秒，连续 3600 帧测试中总线及缓冲区错误计数均为 0，导出结果与整数参考逐字节一致。两类网络按各自输入分辨率独立评价。彩色显示在神经输出之后融合源图颜色与平滑轮廓，已完成仿真和构建验证；现场照片记录了轮廓对比及彩色轮廓显示效果，标准化画质评价和当前镜像的断电启动测试仍需完善。本报告介绍系统组成、关键实现、性能测试及后续扩展方案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38BE0F7">
      <w:pPr>
        <w:pStyle w:val="988"/>
        <w:widowControl w:val="true"/>
        <w:spacing w:after="0" w:before="0" w:line="468" w:lineRule="exact"/>
        <w:ind w:right="0" w:firstLine="0" w:left="0"/>
        <w:jc w:val="left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宋体" w:cs="Times New Roman"/>
          <w:b/>
          <w:bCs w:val="0"/>
          <w:color w:val="000000"/>
          <w:sz w:val="24"/>
          <w:szCs w:val="24"/>
        </w:rPr>
        <w:t xml:space="preserve">关键词：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FPGA；神经风格迁移；INT8 量化；行流水；软硬件协同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7300B70B">
      <w:pPr>
        <w:pStyle w:val="988"/>
        <w:widowControl w:val="true"/>
        <w:spacing w:after="0" w:before="0" w:line="468" w:lineRule="exact"/>
        <w:ind w:right="0" w:firstLine="0" w:left="0"/>
        <w:jc w:val="left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</w:rPr>
        <w:t xml:space="preserve">项目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</w:rPr>
        <w:t xml:space="preserve">仓库：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</w:rPr>
        <w:t xml:space="preserve">https://github.com/Iris-FPGA/Iris.git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A655E1E">
      <w:pPr>
        <w:keepNext w:val="true"/>
        <w:keepLines w:val="true"/>
        <w:widowControl w:val="true"/>
        <w:spacing w:after="60" w:before="140" w:line="468" w:lineRule="exact"/>
        <w:ind w:right="0" w:firstLine="0" w:left="0"/>
        <w:jc w:val="left"/>
        <w:outlineLvl w:val="0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 xml:space="preserve">第一部分 作品概述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1.1 功能与特性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系统实现摄像头视频采集、神经风格化处理、原图与处理结果对比以及运行状态叠加。SC431HAI 采用原生 1920×1080 RAW10 输出，主工程从校正后的 RGB 流提取 640×480 输入，通过三层 INT8 CNN 生成风格图。原图侧保留实时相机细节，风格侧显示最近完成的结果。串口可选择原始 CNN、对比度增强、彩色轮廓及加重轮廓四种显示模式；这些选项属于同一模型的显示方式。发生采集、访存或缓冲区所有权异常时，系统停止发布新结果并保存错误状态。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1.2 应用领域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作品面向交互式艺术展示、嵌入式视觉教学和边缘视频处理原型验证。用于展陈时，可在同一画面中观察原始场景与风格化结果；用于教学时，可展示视频时序、外部存储、定点卷积及软硬件协同的完整实现。系统的采集、推理和显示模块具有明确接口，可为其他轻量视觉网络提供集成参考。本作品采用开发板级原型形式，用于功能演示及实现方法验证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1.3 主要技术特点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主工程将 3×3 步长卷积、空洞卷积、1×1 卷积、ReLU 和逐通道定点量化组织为行流水，权重驻留片上，中间特征不写回整帧 DDR。输入输出采用三组缓冲区，由固件分别维护采集、推理和显示所有权，允许不同帧并行推进。视频链路在双像素时钟域完成原生降噪、颜色处理及合成，使用完整写响应和 VS 回执作为帧发布条件。模型量化参数、生成配置与固件通过身份检查保持一致；完整模型扩展后端另行实现残差 Add 和最近邻上采样。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1.4 主要性能指标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538BE0F7">
      <w:pPr>
        <w:pStyle w:val="988"/>
        <w:keepNext w:val="true"/>
        <w:keepLines w:val="true"/>
        <w:widowControl w:val="true"/>
        <w:spacing w:after="6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表1-1  主要性能指标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tbl>
      <w:tblPr>
        <w:jc w:val="center"/>
        <w:tblW w:w="0" w:type="auto"/>
        <w:tblCellMar>
          <w:left w:w="75" w:type="dxa"/>
          <w:top w:w="65" w:type="dxa"/>
          <w:right w:w="75" w:type="dxa"/>
          <w:bottom w:w="65" w:type="dxa"/>
        </w:tblCellMar>
        <w:tblBorders>
          <w:top w:val="single" w:color="444444" w:sz="8" w:space="0"/>
          <w:left w:val="none" w:color="d9d9d9" w:sz="4" w:space="0"/>
          <w:bottom w:val="single" w:color="444444" w:sz="8" w:space="0"/>
          <w:right w:val="none" w:color="d9d9d9" w:sz="4" w:space="0"/>
          <w:insideH w:val="single" w:color="d9d9d9" w:sz="4" w:space="0"/>
          <w:insideV w:val="non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6180"/>
      </w:tblGrid>
      <w:tr>
        <w:trPr>
          <w:cantSplit/>
          <w:tblHeader/>
        </w:trPr>
        <w:tc>
          <w:tcPr>
            <w:shd w:val="clear" w:color="auto" w:fill="f2f3f5"/>
            <w:tcBorders/>
            <w:tcW w:w="2041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6180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实测结果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摄像头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1920×1080，约 60.044 FPS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主网络张量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640×480×4，INT8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AI 新帧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基线 15.025 FPS；降噪版 30.049 FPS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HDMI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1920×1080，约 60 Hz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核心时钟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100 MHz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模型文件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学生网络 2968 B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</w:tbl>
    <w:p>
      <w:pPr>
        <w:spacing w:after="0" w:before="0" w:line="70" w:lineRule="exact"/>
        <w:ind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1.5 主要创新点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538BE0F7">
      <w:pPr>
        <w:pStyle w:val="988"/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（1）面向视频流组织轻量 CNN，将定点卷积与行缓存结合，减少中间特征搬运。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38BE0F7">
      <w:pPr>
        <w:pStyle w:val="988"/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（2）以独立缓冲区所有权及 VS 回执协调采集、推理和显示，避免未完成帧被发布。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38BE0F7">
      <w:pPr>
        <w:pStyle w:val="988"/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（3）将原始神经结果与颜色、轮廓显示处理分别验证，支持同帧数值对照与效果分析。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1.6 设计流程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首先依据任务要求确定采集、推理和显示指标，建立相机至 HDMI 基础链路；随后固定教师模型及数据划分，完成学生网络训练、量化和硬件参数导出；在独立整数参考下验证各计算与传输模块，再进行整机综合和时序检查；最后通过板端输入输出导出、连续新帧统计与现场显示分别评价数值、吞吐和画质，并保留各版本测试记录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3A655E1E">
      <w:pPr>
        <w:keepNext w:val="true"/>
        <w:keepLines w:val="true"/>
        <w:widowControl w:val="true"/>
        <w:spacing w:after="60" w:before="140" w:line="468" w:lineRule="exact"/>
        <w:ind w:right="0" w:firstLine="0" w:left="0"/>
        <w:jc w:val="left"/>
        <w:outlineLvl w:val="0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 xml:space="preserve">第二部分 系统组成及功能说明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2.1 整体介绍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系统由视频采集、原生图像处理、张量预处理、神经推理、存储管理、显示输出和处理器控制组成，整体关系如图2-1 所示。图像数据在 FPGA 内部及 DDR3 之间传输，处理器通过存储映射寄存器、自定义指令和中断控制任务，不逐像素执行主网络计算。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>
      <w:pPr>
        <w:keepNext w:val="true"/>
        <w:spacing w:after="0" w:before="80" w:line="240" w:lineRule="auto"/>
        <w:ind w:firstLine="0"/>
        <w:jc w:val="center"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3364000"/>
                <wp:effectExtent l="0" t="0" r="0" b="0"/>
                <wp:docPr id="2" name="Picture 1" descr="图2-1  Iris 主工程系统框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rchitectur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20000" cy="336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1.02pt;height:264.88pt;mso-wrap-distance-left:0.00pt;mso-wrap-distance-top:0.00pt;mso-wrap-distance-right:0.00pt;mso-wrap-distance-bottom:0.00pt;z-index:1;" alt="图2-1  Iris 主工程系统框图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538BE0F7">
      <w:pPr>
        <w:pStyle w:val="988"/>
        <w:keepLines w:val="true"/>
        <w:widowControl w:val="true"/>
        <w:spacing w:after="9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图2-1  Iris 主工程系统框图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摄像头数据经 CSI-2 解包后以 RAW8 保存于原生三帧缓存，再读出至降噪、去马赛克和颜色校正流水线。校正后的 RGB 一路用于原图显示，另一路裁切采样后写入 AI 输入缓冲区。CNN 读取完整输入、写出完整结果，显示控制器收到成功提交并在 VS 边界切换后，才将新缓冲区用于风格画面。相机与显示的连续时序不等待处理器或神经网络。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系统采用学生网络作为主处理方案，启用行流水 CNN、彩色轮廓和显示增强。完整 Rain Princess 网络作为独立扩展配置，用于验证较复杂网络的算子加速与调度方法。两种配置分别构建和部署，其输入尺寸、资源占用与测试结果在后文分别说明。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2.2 硬件系统介绍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2.2.1 硬件整体介绍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硬件采用 Ti60F225_DemoBoard_v4、SC431HAI 摄像头模组和外接 HDMI 显示器，模块连接如图2-2 所示。主板提供 FPGA、16 位 DDR3、SPI NOR Flash、时钟、电源及 USB 调试桥。系统基于现有开发板完成外设连接、FPGA 逻辑设计与控制固件实现，板载 USB 桥承担 JTAG 下载和 UART 调试。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>
      <w:pPr>
        <w:keepNext w:val="true"/>
        <w:spacing w:after="0" w:before="80" w:line="240" w:lineRule="auto"/>
        <w:ind w:firstLine="0"/>
        <w:jc w:val="center"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2900000"/>
                <wp:effectExtent l="0" t="0" r="0" b="0"/>
                <wp:docPr id="3" name="Picture 103" descr="图2-2  硬件接口连接示意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irin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20000" cy="2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1.02pt;height:228.35pt;mso-wrap-distance-left:0.00pt;mso-wrap-distance-top:0.00pt;mso-wrap-distance-right:0.00pt;mso-wrap-distance-bottom:0.00pt;z-index:1;" alt="图2-2  硬件接口连接示意图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538BE0F7">
      <w:pPr>
        <w:pStyle w:val="988"/>
        <w:keepLines w:val="true"/>
        <w:widowControl w:val="true"/>
        <w:spacing w:after="9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图2-2  硬件接口连接示意图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核心处理与 AXI 时钟为 100 MHz，DDR 控制器核心时钟为 200 MHz，PHY 相关时钟为 400 MHz。1080p 输出采用 148.75 MHz 像素时钟与 74.375 MHz 双像素时钟。模块在各自时钟域内处理数据，通过异步 FIFO 或同步握手跨域传递；复位释放受相关 PLL 锁定和存储器初始化状态约束。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2.2.2 机械设计介绍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系统采用显示终端与采集处理模块组合安装的结构。显示端配置边框防护，采集处理端通过防护壳固定主板与摄像头，两部分由连接支架组成整体。支架连接处采用螺钉固定，摄像头镜头和外部接口保持可达，HDMI 线缆连接处理模块与显示终端。结构布置兼顾器件保护、采集视角调整和手持演示，整机安装关系见图3-1。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2.2.3 电路各模块介绍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视频采集模块采用四通道 MIPI CSI-2 接口。sc431hai_init 在复位等待后通过 I²C 配置传感器，sc431hai_i2c_rom 保存工作窗口及寄存器序列；ae_ctrl 负责曝光调节。传感器当前配置为 1920×1080 RAW10、HTS=1622、VTS=1150。初始化和曝光配置由 RTL 状态机完成，主工程处理器负责神经网络任务调度与显示控制。主要外部信号见表2-1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  <w:vertAlign w:val="superscript"/>
        </w:rPr>
        <w:t xml:space="preserve">[3]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38BE0F7">
      <w:pPr>
        <w:pStyle w:val="988"/>
        <w:keepNext w:val="true"/>
        <w:keepLines w:val="true"/>
        <w:widowControl w:val="true"/>
        <w:spacing w:after="6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表2-1  电路模块与关键信号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tbl>
      <w:tblPr>
        <w:jc w:val="center"/>
        <w:tblW w:w="0" w:type="auto"/>
        <w:tblCellMar>
          <w:left w:w="75" w:type="dxa"/>
          <w:top w:w="65" w:type="dxa"/>
          <w:right w:w="75" w:type="dxa"/>
          <w:bottom w:w="65" w:type="dxa"/>
        </w:tblCellMar>
        <w:tblBorders>
          <w:top w:val="single" w:color="444444" w:sz="8" w:space="0"/>
          <w:left w:val="none" w:color="d9d9d9" w:sz="4" w:space="0"/>
          <w:bottom w:val="single" w:color="444444" w:sz="8" w:space="0"/>
          <w:right w:val="none" w:color="d9d9d9" w:sz="4" w:space="0"/>
          <w:insideH w:val="single" w:color="d9d9d9" w:sz="4" w:space="0"/>
          <w:insideV w:val="non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345"/>
        <w:gridCol w:w="3402"/>
      </w:tblGrid>
      <w:tr>
        <w:trPr>
          <w:cantSplit/>
          <w:tblHeader/>
        </w:trPr>
        <w:tc>
          <w:tcPr>
            <w:shd w:val="clear" w:color="auto" w:fill="f2f3f5"/>
            <w:tcBorders/>
            <w:tcW w:w="1474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接口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3345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关键输入与输出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3402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实现及连接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147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相机高速数据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345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MIPI_CLK±；DATA0± 至 DATA3±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J4；CSI-2 RX，四通道 RAW10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147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相机控制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345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SCL、SDA、XSHUTDN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GPIOR_20、18、16；I²C 及复位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147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DDR3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345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DQ[15:0]、DQS、地址及控制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16 位器件；内部 128 位 AXI 数据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147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显示输出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345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TMDS DATA0± 至 DATA2±、CLK±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HDMI 编码及高速输出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147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调试控制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345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JTAG、RXD、TXD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FT4232HL 至下载与 UART 通路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147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配置与交互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345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SPI Flash；KEY[3:0]；LED[3:0]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配置存储、曝光及状态指示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</w:tbl>
    <w:p>
      <w:pPr>
        <w:spacing w:after="0" w:before="0" w:line="70" w:lineRule="exact"/>
        <w:ind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接口电平依据板卡手册和工程约束配置：MIPI 相关 Bank 为 1.2 V、DDR3 为 1.5 V、HDMI 为 1.8 V。相机 DOVDD 为 1.8 V，J4 的控制引脚属于 3.3 V 域，相机模组与主板之间的控制连接需满足电平转换及上拉要求。图2-2 给出系统级接口关系，详细引脚约束由 iris_ws.peri.xml 确定。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视频与图像处理模块由 mip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i_rx、sensor_clipper、frame_buffer 及原生图像流水线构成。RAW10 解包后按扫描顺序截取高 8 位存储；显示域先进行 Bayer 同色邻域脉冲抑制及截限平均，再完成 BGGR 双线性去马赛克和 3×3 RGB 高斯滤波。该流程使用片上行缓存，不增加滤波中间帧的 DDR 往返。固定颜色参数执行黑位处理、白平衡及显示变换，RGB 三通道 Q8 增益为 470、305、731，显示黑位为 21、23、20。上述参数来自参考照明下的棋盘测量，不等同于完整色卡标定或传感器物理暗场标定。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张量预处理模块在 OSD 叠加前取样，居中裁出 1440×1080 区域，以 9∶4 比例采样为 640×480，保持 4∶3 构图。RGB 采用 INT8 表达，第四通道固定填零对应的量化值，以适配 32 位像素和 128 位 AXI 搬运。该配置采用点采样，张量级高斯及中值滤波分支关闭。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神经计算模块如图2-3 所示。导出后的 micro4_d2 网络包含三层物理 C4 卷积和最终 NN2x 上采样：第一层以步长 2 将图像变为 320×240，第二层使用空洞率 2 扩展感受野，第三层通过 1×1 卷积得到输出通道；导出图将 ReLU 融合至各卷积。第四通道的权重和结果受零填充约束，RGB 为可见输出。该物理计算图每帧约 23.3472 M 次乘加，模型文件为 2968 字节。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>
      <w:pPr>
        <w:keepNext w:val="true"/>
        <w:spacing w:after="0" w:before="80" w:line="240" w:lineRule="auto"/>
        <w:ind w:firstLine="0"/>
        <w:jc w:val="center"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1943000"/>
                <wp:effectExtent l="0" t="0" r="0" b="0"/>
                <wp:docPr id="4" name="Picture 104" descr="图2-3  640×480 行流水网络与数据尺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twork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20000" cy="19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1.02pt;height:152.99pt;mso-wrap-distance-left:0.00pt;mso-wrap-distance-top:0.00pt;mso-wrap-distance-right:0.00pt;mso-wrap-distance-bottom:0.00pt;z-index:1;" alt="图2-3  640×480 行流水网络与数据尺寸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538BE0F7">
      <w:pPr>
        <w:pStyle w:val="988"/>
        <w:keepLines w:val="true"/>
        <w:widowControl w:val="true"/>
        <w:spacing w:after="9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图2-3  640×480 行流水网络与数据尺寸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训练阶段的批归一化在导出时折叠进卷积权重及偏置。每个卷积核使用 INT8 权重、宽位累加、逐输出通道乘数和移位参数完成重定量化，依照整数参考保留双重舍入、零点、饱和截断及 ReLU 边界。iris_stream_conv 通过窗口缓存和有效就绪握手连接各层，iris_stream_cnn 管理输入突发、输出行重复和写响应。网络运行期间不保存 DDR 中间整帧特征，像素计算由硬件完成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  <w:vertAlign w:val="superscript"/>
        </w:rPr>
        <w:t xml:space="preserve">[1‑2]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存储模块分为原生 RAW 帧缓存和 AI 输入输出缓冲区。RAW 单帧为 2073600 字节，缓冲区间距按 4 KiB 对齐并增加保护空间，取 2080768 字节。AI 的每个 C4 张量为 1228800 字节，三对缓冲区如表2-2 所示。硬件只在最后数据传输及对应写响应完成后发布有效帧；固件禁止显示缓冲区被采集或推理覆盖。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38BE0F7">
      <w:pPr>
        <w:pStyle w:val="988"/>
        <w:keepNext w:val="true"/>
        <w:keepLines w:val="true"/>
        <w:widowControl w:val="true"/>
        <w:spacing w:after="6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表2-2  主工程 AI 输入与输出缓冲区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tbl>
      <w:tblPr>
        <w:jc w:val="center"/>
        <w:tblW w:w="0" w:type="auto"/>
        <w:tblCellMar>
          <w:left w:w="75" w:type="dxa"/>
          <w:top w:w="65" w:type="dxa"/>
          <w:right w:w="75" w:type="dxa"/>
          <w:bottom w:w="65" w:type="dxa"/>
        </w:tblCellMar>
        <w:tblBorders>
          <w:top w:val="single" w:color="444444" w:sz="8" w:space="0"/>
          <w:left w:val="none" w:color="d9d9d9" w:sz="4" w:space="0"/>
          <w:bottom w:val="single" w:color="444444" w:sz="8" w:space="0"/>
          <w:right w:val="none" w:color="d9d9d9" w:sz="4" w:space="0"/>
          <w:insideH w:val="single" w:color="d9d9d9" w:sz="4" w:space="0"/>
          <w:insideV w:val="non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494"/>
        <w:gridCol w:w="2494"/>
        <w:gridCol w:w="2324"/>
      </w:tblGrid>
      <w:tr>
        <w:trPr>
          <w:cantSplit/>
          <w:tblHeader/>
        </w:trPr>
        <w:tc>
          <w:tcPr>
            <w:shd w:val="clear" w:color="auto" w:fill="f2f3f5"/>
            <w:tcBorders/>
            <w:tcW w:w="907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缓冲区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2494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输入起始地址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2494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输出起始地址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2324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每张量字节数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907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49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0x03000000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49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0x03400000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32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1228800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907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49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0x03200000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49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0x03600000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32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1228800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907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49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0x03800000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49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0x03A00000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32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1228800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</w:tbl>
    <w:p>
      <w:pPr>
        <w:spacing w:after="0" w:before="0" w:line="70" w:lineRule="exact"/>
        <w:ind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显示模块从输出缓冲区读取最近完成的风格图，并根据当前模式叠加颜色与主轮廓。640×480 构图按 9∶4 最近邻放大为 1440×1080，放置在 x=240 至 1679，两侧各留 240 像素黑边；中线 x=960 左侧取原生相机像素，右侧使用 AI 结果。左右显示来源存在处理时间差，在线对比不保证同一采集时刻。反量化比例依据模型输出尺度生成，当前 STYLE_SCALE_Q24=20596120。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默认彩色轮廓模式使用同一缓存帧中的源图 RGB 与神经 RGB，按 75% 与 25% 混合后执行 1.25 倍色度调节和每通道 32 级色阶化，再叠加 5×5 平滑梯度主轮廓。普通轮廓阈值为 20，增益为 2，最大压暗量为 128；加强模式采用阈值 40、增益 4、上限 160。上述显示处理位于神经推理之后，原始 CNN 张量独立保留，用于数值一致性验证。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完整模型扩展后端采用 iris_rain_conv、iris_rain_add 和 iris_rain_backend，支持原始 Rain Princess 的 16 个 Conv、5 个残差 Add 与 2 个 Resize 节点。卷积采用每周期 64 个流水 INT8 乘积、四组输入行缓存及层内权重存储；Add 使用四通道并行精确量化。两组输出行缓冲区使计算与上一行 DDR 写回重叠，较宽行保留串行路径。该配置的网络输入与输出均为 128×128 RGB，HDMI 画面通过独立放大形成。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2.3 软件系统介绍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2.3.1 软件整体介绍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软件包含主机端模型与工程工具、RISC-V 运行固件以及测试采集工具。主机端完成固定数据划分、蒸馏训练、量化导出、参数编译、逻辑构建和数值验证；板端固件负责参数检查、任务调度、缓冲区管理和串口交互。主工程运行时不依赖云端推理服务。软件各层的职责如表2-3 所示，主机处理流程如图2-4 所示。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38BE0F7">
      <w:pPr>
        <w:pStyle w:val="988"/>
        <w:keepNext w:val="true"/>
        <w:keepLines w:val="true"/>
        <w:widowControl w:val="true"/>
        <w:spacing w:after="6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表2-3  软件系统层次与职责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tbl>
      <w:tblPr>
        <w:jc w:val="center"/>
        <w:tblW w:w="0" w:type="auto"/>
        <w:tblCellMar>
          <w:left w:w="75" w:type="dxa"/>
          <w:top w:w="65" w:type="dxa"/>
          <w:right w:w="75" w:type="dxa"/>
          <w:bottom w:w="65" w:type="dxa"/>
        </w:tblCellMar>
        <w:tblBorders>
          <w:top w:val="single" w:color="444444" w:sz="8" w:space="0"/>
          <w:left w:val="none" w:color="d9d9d9" w:sz="4" w:space="0"/>
          <w:bottom w:val="single" w:color="444444" w:sz="8" w:space="0"/>
          <w:right w:val="none" w:color="d9d9d9" w:sz="4" w:space="0"/>
          <w:insideH w:val="single" w:color="d9d9d9" w:sz="4" w:space="0"/>
          <w:insideV w:val="non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6180"/>
      </w:tblGrid>
      <w:tr>
        <w:trPr>
          <w:cantSplit/>
          <w:tblHeader/>
        </w:trPr>
        <w:tc>
          <w:tcPr>
            <w:shd w:val="clear" w:color="auto" w:fill="f2f3f5"/>
            <w:tcBorders/>
            <w:tcW w:w="2041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软件层次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6180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主要内容与职责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相机接口与控制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CSI-2 接入、传感器初始化及曝光配置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视频与存储链路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原生图像处理、帧缓存、AXI 仲裁和显示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神经网络加速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学生行流水及完整模型可选后端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学生网络固件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主网络 C 固件、启动汇编与参数头文件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完整模型固件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完整模型解释器与专用后端调度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模型开发工具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教师模型、蒸馏、量化和导出工具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工程工具链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构建、部署、数据导出与身份核对工具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测试与验证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6180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RTL 回归及按版本归档的测试证据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</w:tbl>
    <w:p>
      <w:pPr>
        <w:spacing w:after="0" w:before="0" w:line="70" w:lineRule="exact"/>
        <w:ind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>
      <w:pPr>
        <w:keepNext w:val="true"/>
        <w:spacing w:after="0" w:before="80" w:line="240" w:lineRule="auto"/>
        <w:ind w:firstLine="0"/>
        <w:jc w:val="center"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2407000"/>
                <wp:effectExtent l="0" t="0" r="0" b="0"/>
                <wp:docPr id="5" name="Picture 105" descr="图2-4  模型部署与系统验证流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ost-flo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220000" cy="240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1.02pt;height:189.53pt;mso-wrap-distance-left:0.00pt;mso-wrap-distance-top:0.00pt;mso-wrap-distance-right:0.00pt;mso-wrap-distance-bottom:0.00pt;z-index:1;" alt="图2-4  模型部署与系统验证流程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538BE0F7">
      <w:pPr>
        <w:pStyle w:val="988"/>
        <w:keepLines w:val="true"/>
        <w:widowControl w:val="true"/>
        <w:spacing w:after="9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图2-4  模型部署与系统验证流程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2.3.2 软件各模块介绍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模型准备模块以现有 One Last Kiss 量化模型为教师，固定 80 张训练、16 张校准和 32 张验证图像；三个集合的文件哈希独立记录。stream_student.py 训练浅层学生模型，export_stream.py 完成批归一化折叠、零通道填充和 INT8 导出，compile-stream-model.py 检查卷积尺寸、激活、量化零点及移位范围，并生成三组各 52 字的硬件配置与独立整数参考。模型数据和生成配置必须匹配后才能部署。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主程序 main 首先检查 CNN 与相机显示寄存器接口，完成模型参数装载、中断控制器初始化及外部中断配置，再进入 run_pipeline 调度循环。调度器维护 FREE、CAPTURING、CAPTURED、INFERENCING、COMPLETE、PENDING、DISPLAYED 七种缓冲区状态。不同缓冲区可分别承载下一帧采集、当前帧推理和上一帧显示，状态变化及关键函数关系如图2-5 所示。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>
      <w:pPr>
        <w:keepNext w:val="true"/>
        <w:spacing w:after="0" w:before="80" w:line="240" w:lineRule="auto"/>
        <w:ind w:firstLine="0"/>
        <w:jc w:val="center"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3480000"/>
                <wp:effectExtent l="0" t="0" r="0" b="0"/>
                <wp:docPr id="6" name="Picture 106" descr="图2-5  主固件函数关系与缓冲区状态推进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rmware-flo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20000" cy="34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1.02pt;height:274.02pt;mso-wrap-distance-left:0.00pt;mso-wrap-distance-top:0.00pt;mso-wrap-distance-right:0.00pt;mso-wrap-distance-bottom:0.00pt;z-index:1;" alt="图2-5  主固件函数关系与缓冲区状态推进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538BE0F7">
      <w:pPr>
        <w:pStyle w:val="988"/>
        <w:keepLines w:val="true"/>
        <w:widowControl w:val="true"/>
        <w:spacing w:after="9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图2-5  主固件函数关系与缓冲区状态推进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run_pipeline 的采集分支选择 FREE 缓冲区并写入启动命令；硬件有效位与完成缓冲区一致后标记 CAPTURED。推理分支取得推理所有权，配置源地址和目标地址，清除旧中断状态后启动 CNN。trap 读取并核验完成状态，确认真实完成中断，再设置 irq_seen 和 irq_status。调度器随后检查各层像素数与完整 AXI 读写数量，满足条件才释放推理所有权并标记 COMPLETE。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显示分支将 COMPLETE 缓冲区变为 PENDING，向显示模块发出提交；确认 VS 回执中的缓冲区编号及帧序号后，将其标记为 DISPLAYED，并释放旧显示缓冲区。每轮调度还检查错误计数和超时。故障由 stop 关闭中断、写入诊断标志并停止执行，避免错误结果继续发布。关键函数输入输出见表2-4。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38BE0F7">
      <w:pPr>
        <w:pStyle w:val="988"/>
        <w:keepNext w:val="true"/>
        <w:keepLines w:val="true"/>
        <w:widowControl w:val="true"/>
        <w:spacing w:after="6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表2-4  运行固件关键函数输入输出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tbl>
      <w:tblPr>
        <w:jc w:val="center"/>
        <w:tblW w:w="0" w:type="auto"/>
        <w:tblCellMar>
          <w:left w:w="75" w:type="dxa"/>
          <w:top w:w="65" w:type="dxa"/>
          <w:right w:w="75" w:type="dxa"/>
          <w:bottom w:w="65" w:type="dxa"/>
        </w:tblCellMar>
        <w:tblBorders>
          <w:top w:val="single" w:color="444444" w:sz="8" w:space="0"/>
          <w:left w:val="none" w:color="d9d9d9" w:sz="4" w:space="0"/>
          <w:bottom w:val="single" w:color="444444" w:sz="8" w:space="0"/>
          <w:right w:val="none" w:color="d9d9d9" w:sz="4" w:space="0"/>
          <w:insideH w:val="single" w:color="d9d9d9" w:sz="4" w:space="0"/>
          <w:insideV w:val="non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118"/>
        <w:gridCol w:w="3402"/>
      </w:tblGrid>
      <w:tr>
        <w:trPr>
          <w:cantSplit/>
          <w:tblHeader/>
        </w:trPr>
        <w:tc>
          <w:tcPr>
            <w:shd w:val="clear" w:color="auto" w:fill="f2f3f5"/>
            <w:tcBorders/>
            <w:tcW w:w="1701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函数或模块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3118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关键输入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3402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关键输出或动作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170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main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118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参数表；CNN 及显示 ABI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配置部署；PLIC；进入调度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170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run_pipeline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118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demo 状态；state[3]；时间计数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采集、推理、提交命令；缓冲区状态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170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trap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118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mcause；PLIC ID；CNN 状态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irq_seen；irq_status；确认中断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170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cnn_status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118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自定义指令状态查询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忙、完成、错误及参数状态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170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log_pump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118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日志缓冲；UART FIFO 可用量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分批非阻塞发送日志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170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export_frame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118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src；kind；帧字节数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DMA 导出同帧张量供数值比对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170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stop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118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故障原因与相关寄存器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3402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故障标志；停止提交及执行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</w:tbl>
    <w:p>
      <w:pPr>
        <w:spacing w:after="0" w:before="0" w:line="70" w:lineRule="exact"/>
        <w:ind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诊断输出使用 log_pump 在 UART FIFO 有空间时逐步发送，避免阻塞采集启动或错过显示提交。n、c、h、s 分别请求原始 CNN、对比度增强、普通彩色轮廓和加重轮廓，模式在 VS 边界应用。导出模式通过硬件 DMA 将缓冲区内容读入诊断通路，由 export_frame 按固定字节数发送至主机，主机以同一输入计算参考结果。诊断传输不计入持续吞吐测试。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启动模块将小型固件与权重嵌入现有 16 KiB 片上 RAM 初值。boot.S 将载荷复制至 DDR 地址 0x00800000，核验 FNV 校验值，完成等待与指令同步后跳转至程序入口；校验失败则记录故障并停机。该路径已有自动启动及 Flash 回读测试记录，当前镜像的物理断电启动尚未完成独立验证。完整模型扩展版本采用配套 ELF 与 SRAM 位流加载，两类配置的启动测试分别记录。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完整模型软件使用原始 FlatBuffer 保留网络和量化契约，以 TFLM 执行图调度，自定义后端承担像素算子。严格分派检查不支持的算子及配置，拒绝 CPU 像素回退。输入与最终输出绑定已取得所有权的缓冲区，中间张量保持解释器内存规划；CPU 对算子边界执行必要的缓存维护。该路径与主工程的直接三层调度分别构建。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2.3.3 后续 YOLO 交互方案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后续将采用 YOLO 手势检测实现赛题的创意交互展示，并联动多风格动态切换。识别对象先限定为张掌、握拳等静态手势，分别映射为风格选择指令；检测结果在 HDMI 画面叠加类别与边框。该交互功能为后续扩展内容，实施流程如图2-6 所示。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（1）数据与模型准备。以 YOLOv8n 为主机端基线，采集不同人员、距离、照明和背景的手势图像，标注边框与类别，加入无手势负样本。按人员和场景划分训练、验证、校准及测试集，避免相邻帧跨集合。经训练、通道剪枝和微调压缩模型，以代表性图像完成 INT8 校准；结构及输入尺寸依据精度、算子和资源预算确定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  <w:vertAlign w:val="superscript"/>
        </w:rPr>
        <w:t xml:space="preserve">[4‑6]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>
      <w:pPr>
        <w:keepNext w:val="true"/>
        <w:spacing w:after="0" w:before="80" w:line="240" w:lineRule="auto"/>
        <w:ind w:firstLine="0"/>
        <w:jc w:val="center"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2001000"/>
                <wp:effectExtent l="0" t="0" r="0" b="0"/>
                <wp:docPr id="7" name="Picture 107" descr="图2-6  YOLO 手势识别与风格切换流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yolo-pla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220000" cy="200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1.02pt;height:157.56pt;mso-wrap-distance-left:0.00pt;mso-wrap-distance-top:0.00pt;mso-wrap-distance-right:0.00pt;mso-wrap-distance-bottom:0.00pt;z-index:1;" alt="图2-6  YOLO 手势识别与风格切换流程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538BE0F7">
      <w:pPr>
        <w:pStyle w:val="988"/>
        <w:keepLines w:val="true"/>
        <w:widowControl w:val="true"/>
        <w:spacing w:after="9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图2-6  YOLO 手势识别与风格切换流程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（2）视频与计算适配。从风格化前的 RGB 源图取样，将 640×480 缩放为 320×240，上下各补 40 行作为 320×320 候选输入，记录坐标逆变换。现有 C4 流水线需改为分块复用结构；拟复用完整模型后端的卷积、Add 和 Resize，按导出图补齐拼接、池化、SiLU 及检测头算子。权重与中间张量分块存入 DDR，逐算子定点比对通过后接入视频链路。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（3）调度与交互控制。现有片上 RAM 已接近或达到上限，须重新分配行缓存与张量空间，并评估 DDR 带宽及时序。检测按预算低频抽帧，与风格任务分时复用乘加及存储资源；RISC-V 对限量候选框解码、筛选并执行非极大值抑制。手势经连续帧确认和冷却控制后，与按键、串口命令汇入统一风格指令队列。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（4）风格切换与验收。训练两套拓扑、张量尺寸及接口一致的风格模型，将权重预装 DDR，经校验、预取后在帧边界同步切换权重与显示反量化参数。学生网络与完整 Rain 后端计算图不同，须另建同构模型。依次完成主机检测、算子验证、板端检测及联合调试，记录 mAP、召回率、误触发率、手势至画面响应时间和权重切换延迟。目标为检测开启时，640×480 风格化不低于 15 FPS；确认指令至新风格首帧小于 100 ms，且不重启、不重配 FPGA、不丢帧。以上目标须联合实测确认。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3A655E1E">
      <w:pPr>
        <w:keepNext w:val="true"/>
        <w:keepLines w:val="true"/>
        <w:widowControl w:val="true"/>
        <w:spacing w:after="60" w:before="140" w:line="468" w:lineRule="exact"/>
        <w:ind w:right="0" w:firstLine="0" w:left="0"/>
        <w:jc w:val="left"/>
        <w:outlineLvl w:val="0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 xml:space="preserve">第三部分 完成情况及性能参数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3.1 整体介绍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系统原型由摄像头、FPGA 采集处理模块和 HDMI 显示终端构成，已实现采集、定点推理、对比显示与运行统计。图3-1 展示整机正面和斜 45°视图，反映显示终端、采集处理模块及支架的安装关系。摄像头与主板通过 FPC 连接，处理模块通过 HDMI 向显示终端输出图像。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>
      <w:pPr>
        <w:keepNext w:val="true"/>
        <w:spacing w:after="0" w:before="80" w:line="240" w:lineRule="auto"/>
        <w:ind w:right="0" w:firstLine="0" w:left="0"/>
        <w:jc w:val="center"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84000" cy="1864458"/>
                <wp:effectExtent l="0" t="0" r="0" b="0"/>
                <wp:docPr id="8" name="整机正面实物照片" descr="整机正面实物照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484000" cy="1864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95.59pt;height:146.81pt;mso-wrap-distance-left:0.00pt;mso-wrap-distance-top:0.00pt;mso-wrap-distance-right:0.00pt;mso-wrap-distance-bottom:0.00pt;z-index:1;" alt="整机正面实物照片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4"/>
        </w:rPr>
        <w:t xml:space="preserve">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84000" cy="1864458"/>
                <wp:effectExtent l="0" t="0" r="0" b="0"/>
                <wp:docPr id="9" name="整机斜45度实物照片" descr="整机斜45度实物照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484000" cy="1864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95.59pt;height:146.81pt;mso-wrap-distance-left:0.00pt;mso-wrap-distance-top:0.00pt;mso-wrap-distance-right:0.00pt;mso-wrap-distance-bottom:0.00pt;z-index:1;" alt="整机斜45度实物照片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538BE0F7">
      <w:pPr>
        <w:pStyle w:val="988"/>
        <w:keepLines w:val="true"/>
        <w:widowControl w:val="true"/>
        <w:spacing w:after="9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图3-1  整机正面（左）与斜45°（右）实物照片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3.2 工程成果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3.2.1 机械成果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机械集成包括显示端防护壳、采集处理端防护壳及连接支架。防护壳用于器件定位与外部保护，支架连接两部分并提供手持支撑。摄像头镜头、板载接口及 HDMI 线缆保留外部通道，便于调整采集方向和开展演示，整机安装关系见图3-1。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3.2.2 电路成果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电路集成成果包括开发板外设连接和 FPGA 内部逻辑实现。系统已实现四通道 CSI-2 接入、原生图像处理、DDR 三帧缓存、INT8 CNN、RISC-V 控制和 HDMI 叠加输出。摄像头通过 FPC 接入采集处理模块，HDMI 连接显示终端，JTAG 与 UART 用于程序下载和运行诊断。综合、布局布线及时序结果按各构建版本分别统计。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3.2.3 软件成果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软件成果包括模型训练与量化脚本、参数生成工具、两类推理固件、部署脚本和 RTL 回归集合。运行界面以 HDMI 画面及 UART 诊断为主，显示采集尺寸和 CAM、WR、HDMI、AI 等帧率信息，并支持四种显示模式。图3-2 分别给出原图与轮廓对比、彩色轮廓显示的实机运行画面。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>
      <w:pPr>
        <w:keepNext w:val="true"/>
        <w:spacing w:after="0" w:before="80" w:line="240" w:lineRule="auto"/>
        <w:ind w:right="0" w:firstLine="0" w:left="0"/>
        <w:jc w:val="center"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84000" cy="1864458"/>
                <wp:effectExtent l="0" t="0" r="0" b="0"/>
                <wp:docPr id="10" name="原图与轮廓对比显示" descr="原图与轮廓对比显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484000" cy="1864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95.59pt;height:146.81pt;mso-wrap-distance-left:0.00pt;mso-wrap-distance-top:0.00pt;mso-wrap-distance-right:0.00pt;mso-wrap-distance-bottom:0.00pt;z-index:1;" alt="原图与轮廓对比显示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4"/>
        </w:rPr>
        <w:t xml:space="preserve">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84000" cy="1864458"/>
                <wp:effectExtent l="0" t="0" r="0" b="0"/>
                <wp:docPr id="11" name="彩色轮廓实机显示" descr="彩色轮廓实机显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484000" cy="1864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95.59pt;height:146.81pt;mso-wrap-distance-left:0.00pt;mso-wrap-distance-top:0.00pt;mso-wrap-distance-right:0.00pt;mso-wrap-distance-bottom:0.00pt;z-index:1;" alt="彩色轮廓实机显示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538BE0F7">
      <w:pPr>
        <w:pStyle w:val="988"/>
        <w:keepLines w:val="true"/>
        <w:widowControl w:val="true"/>
        <w:spacing w:after="9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图3-2  原图与轮廓对比（左）及彩色轮廓显示（右）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图3-3 由学生网络验证阶段保存的同帧输入输出生成。从左至右、从上至下依次为采集输入、原始 CNN 输出、历史轮廓显示和当前彩色显示。学生网络原始输出偏浅，源图补色与轮廓处理增强了显示辨识度。该图用于比较原始 CNN 输出与显示增强的差异，实机显示效果见图3-2。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>
      <w:pPr>
        <w:keepNext w:val="true"/>
        <w:spacing w:after="0" w:before="80" w:line="240" w:lineRule="auto"/>
        <w:ind w:firstLine="0"/>
        <w:jc w:val="center"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0000" cy="2900000"/>
                <wp:effectExtent l="0" t="0" r="0" b="0"/>
                <wp:docPr id="12" name="Picture 110" descr="图3-3  学生网络同帧数据与显示处理对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lour-referenc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500000" cy="2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54.33pt;height:228.35pt;mso-wrap-distance-left:0.00pt;mso-wrap-distance-top:0.00pt;mso-wrap-distance-right:0.00pt;mso-wrap-distance-bottom:0.00pt;z-index:1;" alt="图3-3  学生网络同帧数据与显示处理对比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538BE0F7">
      <w:pPr>
        <w:pStyle w:val="988"/>
        <w:keepLines w:val="true"/>
        <w:widowControl w:val="true"/>
        <w:spacing w:after="9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图3-3  学生网络同帧数据与显示处理对比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图3-4 根据完整模型连续运行测试保存的同帧输入输出张量生成，依次为输入图像、反量化风格输出及同帧分屏结果。每个原始张量为 128×128 RGB，图中采用等比例放大，展示该独立模型配置的风格转换效果。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>
      <w:pPr>
        <w:keepNext w:val="true"/>
        <w:spacing w:after="0" w:before="80" w:line="240" w:lineRule="auto"/>
        <w:ind w:firstLine="0"/>
        <w:jc w:val="center"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1972000"/>
                <wp:effectExtent l="0" t="0" r="0" b="0"/>
                <wp:docPr id="13" name="Picture 111" descr="图3-4  完整 Rain Princess 模型的同帧输入输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ain-referenc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220000" cy="19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1.02pt;height:155.28pt;mso-wrap-distance-left:0.00pt;mso-wrap-distance-top:0.00pt;mso-wrap-distance-right:0.00pt;mso-wrap-distance-bottom:0.00pt;z-index:1;" alt="图3-4  完整 Rain Princess 模型的同帧输入输出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538BE0F7">
      <w:pPr>
        <w:pStyle w:val="988"/>
        <w:keepLines w:val="true"/>
        <w:widowControl w:val="true"/>
        <w:spacing w:after="9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图3-4  完整 Rain Princess 模型的同帧输入输出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3.3 特性成果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3.3.1 性能与数值一致性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各阶段性能测试以完整新结果的提交为统计对象，分别记录输入尺寸、运行窗口、错误状态和数值一致性。表3-1 汇总不同实现版本的实测结果，所列数据对应各自的归档位流与显示配置。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38BE0F7">
      <w:pPr>
        <w:pStyle w:val="988"/>
        <w:keepNext w:val="true"/>
        <w:keepLines w:val="true"/>
        <w:widowControl w:val="true"/>
        <w:spacing w:after="6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表3-1  按配置区分的板端实测结果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tbl>
      <w:tblPr>
        <w:jc w:val="center"/>
        <w:tblW w:w="0" w:type="auto"/>
        <w:tblCellMar>
          <w:left w:w="75" w:type="dxa"/>
          <w:top w:w="65" w:type="dxa"/>
          <w:right w:w="75" w:type="dxa"/>
          <w:bottom w:w="65" w:type="dxa"/>
        </w:tblCellMar>
        <w:tblBorders>
          <w:top w:val="single" w:color="444444" w:sz="8" w:space="0"/>
          <w:left w:val="none" w:color="d9d9d9" w:sz="4" w:space="0"/>
          <w:bottom w:val="single" w:color="444444" w:sz="8" w:space="0"/>
          <w:right w:val="none" w:color="d9d9d9" w:sz="4" w:space="0"/>
          <w:insideH w:val="single" w:color="d9d9d9" w:sz="4" w:space="0"/>
          <w:insideV w:val="non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2098"/>
        <w:gridCol w:w="1757"/>
        <w:gridCol w:w="2211"/>
      </w:tblGrid>
      <w:tr>
        <w:trPr>
          <w:cantSplit/>
          <w:tblHeader/>
        </w:trPr>
        <w:tc>
          <w:tcPr>
            <w:shd w:val="clear" w:color="auto" w:fill="f2f3f5"/>
            <w:tcBorders/>
            <w:tcW w:w="2154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测试配置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2098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张量及窗口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1757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结果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2211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测试范围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15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原生采集基线</w:t>
              <w:br/>
              <w:t xml:space="preserve">2026-10-03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98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1920×1080</w:t>
              <w:br/>
              <w:t xml:space="preserve">20 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1757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60.04383 至</w:t>
              <w:br/>
              <w:t xml:space="preserve">60.04390 FPS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211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寄存器与帧周期；WR 60 至 61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15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学生网络基线</w:t>
              <w:br/>
              <w:t xml:space="preserve">2026-10-08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098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640×480 C4</w:t>
              <w:br/>
              <w:t xml:space="preserve">600.035 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1757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15.02460 FPS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211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错误计数 0；同帧整数一致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15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学生网络原生 RAW 降噪版</w:t>
              <w:br/>
              <w:t xml:space="preserve">2026-10-16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98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640×480 C4</w:t>
              <w:br/>
              <w:t xml:space="preserve">120.176 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1757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30.04879 FPS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211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错误计数 0；实屏噪点未通过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15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完整 Rain 优化后端</w:t>
              <w:br/>
              <w:t xml:space="preserve">2026-10-20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098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128×128 C3</w:t>
              <w:br/>
              <w:t xml:space="preserve">180 帧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1757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30.05051 FPS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211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Invoke 中位数</w:t>
              <w:br/>
              <w:t xml:space="preserve">31.77482 ms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154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完整 Rain 连续运行</w:t>
              <w:br/>
              <w:t xml:space="preserve">2026-10-20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98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128×128 C3</w:t>
              <w:br/>
              <w:t xml:space="preserve">3600 连续帧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1757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30.04770 FPS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211" w:type="dxa"/>
            <w:vAlign w:val="center"/>
          </w:tcPr>
          <w:p>
            <w:pPr>
              <w:spacing w:after="0" w:before="0" w:line="280" w:lineRule="exact"/>
              <w:ind w:firstLine="0"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错误计数 0；同帧逐字节一致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</w:tbl>
    <w:p>
      <w:pPr>
        <w:spacing w:after="0" w:before="0" w:line="70" w:lineRule="exact"/>
        <w:ind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采集率由 100 MHz 核心时钟测得的传感器帧周期计算。AI 新帧率按完整结果被 VS 确认的提交间隔统计，排除启动帧及重复显示帧；HDMI 刷新率单独记录。表3-1 中 600 秒与 120 秒测试属于不同学生网络版本，各自的观察窗口分别保留。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数值验证采用冻结输入与已显示输出成对导出的方法。学生网络基线与 TFLite BUILTIN_REF 输出逐字节一致；完整 Rain 长测后的 49152 字节输出中，不同字节数与最大绝对误差均为 0。学生网络在 32 张验证图像上逼近教师模型的平均 PSNR 为 25.067 dB，局部 SSIM 为 0.6102。上述结果用于评价实现一致性及教师重建误差，主观画质另行评价。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3.3.2 资源占用与时序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表3-2 列出各测试版本的资源与时序结果，布局布线采用 Ti60F225、I3 时序模型。彩色显示恢复版采用学生网络，完整 Rain 为独立模型实现。各项数据均对应表列构建版本；后续源码调整后的资源占用与时序余量以重新构建结果为准。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38BE0F7">
      <w:pPr>
        <w:pStyle w:val="988"/>
        <w:keepNext w:val="true"/>
        <w:keepLines w:val="true"/>
        <w:widowControl w:val="true"/>
        <w:spacing w:after="60" w:before="35" w:line="280" w:lineRule="exact"/>
        <w:ind w:right="0" w:firstLine="0" w:left="0"/>
        <w:jc w:val="center"/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  <w:t xml:space="preserve">表3-2  不同实现版本的资源与时序</w:t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  <w:r>
        <w:rPr>
          <w:rFonts w:ascii="Times New Roman" w:hAnsi="Times New Roman" w:eastAsia="宋体" w:cs="Times New Roman"/>
          <w:b/>
          <w:bCs/>
          <w:color w:val="000000"/>
          <w:sz w:val="19"/>
          <w:szCs w:val="19"/>
        </w:rPr>
      </w:r>
    </w:p>
    <w:tbl>
      <w:tblPr>
        <w:jc w:val="center"/>
        <w:tblW w:w="0" w:type="auto"/>
        <w:tblCellMar>
          <w:left w:w="75" w:type="dxa"/>
          <w:top w:w="65" w:type="dxa"/>
          <w:right w:w="75" w:type="dxa"/>
          <w:bottom w:w="65" w:type="dxa"/>
        </w:tblCellMar>
        <w:tblBorders>
          <w:top w:val="single" w:color="444444" w:sz="8" w:space="0"/>
          <w:left w:val="none" w:color="d9d9d9" w:sz="4" w:space="0"/>
          <w:bottom w:val="single" w:color="444444" w:sz="8" w:space="0"/>
          <w:right w:val="none" w:color="d9d9d9" w:sz="4" w:space="0"/>
          <w:insideH w:val="single" w:color="d9d9d9" w:sz="4" w:space="0"/>
          <w:insideV w:val="non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041"/>
        <w:gridCol w:w="2098"/>
        <w:gridCol w:w="2041"/>
      </w:tblGrid>
      <w:tr>
        <w:trPr>
          <w:cantSplit/>
          <w:tblHeader/>
        </w:trPr>
        <w:tc>
          <w:tcPr>
            <w:shd w:val="clear" w:color="auto" w:fill="f2f3f5"/>
            <w:tcBorders/>
            <w:tcW w:w="2041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资源或时序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2041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学生网络基线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2098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彩色显示恢复版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2f3f5"/>
            <w:tcBorders/>
            <w:tcW w:w="2041" w:type="dxa"/>
            <w:vAlign w:val="center"/>
          </w:tcPr>
          <w:p>
            <w:pPr>
              <w:keepNext w:val="true"/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  <w:t xml:space="preserve">完整 Rain 优化版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XLR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49508 / 60800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98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未记录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55169 / 60800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RAM 块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241 / 256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098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256 / 256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252 / 256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DSP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113 / 160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98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114 / 160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143 / 160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最小 setup 余量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+0.005 ns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098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+0.014 ns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+0.013 ns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最小 hold 余量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+0.007 ns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98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+0.026 ns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5f8fa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+0.026 ns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核心时钟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100 MHz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098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100 MHz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  <w:tc>
          <w:tcPr>
            <w:shd w:val="clear" w:color="auto" w:fill="ffffff"/>
            <w:tcBorders/>
            <w:tcW w:w="2041" w:type="dxa"/>
            <w:vAlign w:val="center"/>
          </w:tcPr>
          <w:p>
            <w:pPr>
              <w:spacing w:after="0" w:before="0" w:line="280" w:lineRule="exact"/>
              <w:ind w:firstLine="0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  <w:t xml:space="preserve">100 MHz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19"/>
                <w:szCs w:val="19"/>
              </w:rPr>
            </w:r>
          </w:p>
        </w:tc>
      </w:tr>
    </w:tbl>
    <w:p>
      <w:pPr>
        <w:spacing w:after="0" w:before="0" w:line="70" w:lineRule="exact"/>
        <w:ind/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"/>
          <w:szCs w:val="2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完整模型在模型数据、网络节点、输入输出尺寸及量化参数不变的条件下，经行缓存、片上权重复用、行输出重叠和四通道 Add 优化，吞吐由约 2.7178 FPS 提高至 30.0505 FPS，提升约 11.06 倍。现有 Invoke 时长与帧提交间隔分别反映推理和提交性能，尚未测得曝光至实际显示的端到端延迟。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7C0E24DA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2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3.3.3 验证结果与实现范围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回归验证覆盖帧缓存、曝光控制、图像滤波、定点卷积、AXI 异常及显示合成。彩色恢复版的 30720 个单元向量和 2074559 个完整分屏样本通过；完整模型覆盖 16 个 Conv 与 5 个 Add 的 DMA 测试，以及随机背压、跨页突发、配置拒绝、读写错误和中止排空。测试记录按日期、实现版本和输入输出数据关联保存。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测试结果的适用范围按实现版本区分。原生 RAW 降噪版本在历史实屏测试中仍存在明显噪点；彩色显示方案已通过离线参考、仿真和构建验证，图3-2 给出了实机显示实例，标准化场景下的画质评价及其与镜像版本的关联仍需完善。学生网络已有 Flash 写入和回读记录，当前镜像的物理断电启动测试尚未完成；完整 Rain 优化版采用 SRAM 位流及 ELF 加载。双风格在线切换、720p 推理、触摸和推流为后续集成内容。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3A655E1E">
      <w:pPr>
        <w:keepNext w:val="true"/>
        <w:keepLines w:val="true"/>
        <w:widowControl w:val="true"/>
        <w:spacing w:after="60" w:before="140" w:line="468" w:lineRule="exact"/>
        <w:ind w:right="0" w:firstLine="0" w:left="0"/>
        <w:jc w:val="left"/>
        <w:outlineLvl w:val="0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 xml:space="preserve">第四部分 总结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4.1 可扩展之处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后续将采用 YOLO 手势检测实现创意交互，并在帧边界切换两组风格权重，技术路线见 2.3.3 节。扩展工作包括手势模型训练与量化、算子适配、资源重分配及联合调试。联合运行目标为 640×480 风格化不低于 15 FPS，风格切换小于 100 ms，并保持系统连续运行。高分辨率推理、触摸交互和视频推流将在资源评估后逐步集成。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5DD871A0">
      <w:pPr>
        <w:pStyle w:val="988"/>
        <w:keepNext w:val="true"/>
        <w:keepLines w:val="true"/>
        <w:widowControl w:val="true"/>
        <w:spacing w:after="0" w:before="60" w:line="468" w:lineRule="exact"/>
        <w:ind w:right="0" w:firstLine="0" w:left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4.2 心得体会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设计过程中，模型结构、定点运算与视频存储调度共同决定了系统性能。学生网络通过浅层结构和行缓存减少中间特征搬运；完整模型后端通过行与权重复用、计算写回重叠提高吞吐。不同模型应分别评价输入分辨率、运行速度和画质，确保测试结论与实现配置一致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帧缓存覆盖和提前发布问题表明，模块验证需要考虑真实总线时序。系统以最后写响应和显示回执确认帧有效，结合缓冲区所有权防止读写冲突；测试需覆盖背压、响应延迟和异常排空。定点计算则以独立整数参考逐层核对零点、双重舍入、饱和边界及逐通道重定量化参数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08529DB4">
      <w:pPr>
        <w:widowControl w:val="true"/>
        <w:spacing w:after="0" w:before="0" w:line="468" w:lineRule="exact"/>
        <w:ind w:right="0" w:firstLine="480" w:left="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画质评价需同时关联输入图像、模型输出与显示配置，分别检查推理结果和显示增强。后续将采用统一场景评价新帧率、数值误差和画质，并完成当前镜像的断电启动测试。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 w14:paraId="3A655E1E">
      <w:pPr>
        <w:keepNext w:val="true"/>
        <w:keepLines w:val="true"/>
        <w:widowControl w:val="true"/>
        <w:spacing w:after="60" w:before="140" w:line="468" w:lineRule="exact"/>
        <w:ind w:right="0" w:firstLine="0" w:left="0"/>
        <w:jc w:val="left"/>
        <w:outlineLvl w:val="0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 xml:space="preserve">第五部分 参考文献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r>
    </w:p>
    <w:p w14:paraId="538BE0F7">
      <w:pPr>
        <w:pStyle w:val="977"/>
        <w:keepLines w:val="true"/>
        <w:widowControl w:val="true"/>
        <w:spacing w:after="0" w:before="0" w:line="220" w:lineRule="exact"/>
        <w:ind w:right="0" w:hanging="330" w:left="330"/>
        <w:jc w:val="left"/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  <w:t xml:space="preserve">[1] JOHNSON J, ALAHI A, LI F F. Perceptual losses for real-time style transfer and super-resolution[EB/OL]. (2016-03-27)[2026-10-24]. https://arxiv.org/abs/1603.08155.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</w:p>
    <w:p w14:paraId="538BE0F7">
      <w:pPr>
        <w:pStyle w:val="977"/>
        <w:keepLines w:val="true"/>
        <w:widowControl w:val="true"/>
        <w:spacing w:after="0" w:before="0" w:line="220" w:lineRule="exact"/>
        <w:ind w:right="0" w:hanging="330" w:left="330"/>
        <w:jc w:val="left"/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  <w:t xml:space="preserve">[2] JACOB B, KLIGYS S, CHEN B, et al. Quantization and training of neural networks for efficient integer-arithmetic-only inference[EB/OL]. (2017-12-15)[2026-10-24]. https://arxiv.org/abs/1712.05877.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</w:p>
    <w:p w14:paraId="538BE0F7">
      <w:pPr>
        <w:pStyle w:val="977"/>
        <w:keepLines w:val="true"/>
        <w:widowControl w:val="true"/>
        <w:spacing w:after="0" w:before="0" w:line="220" w:lineRule="exact"/>
        <w:ind w:right="0" w:hanging="330" w:left="330"/>
        <w:jc w:val="left"/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  <w:t xml:space="preserve">[3] SMARTSENS TECHNOLOGY. SC431HAI 数据手册: V1.1[Z]. 2024-08-16.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</w:p>
    <w:p w14:paraId="538BE0F7">
      <w:pPr>
        <w:pStyle w:val="977"/>
        <w:keepLines w:val="true"/>
        <w:widowControl w:val="true"/>
        <w:spacing w:after="0" w:before="0" w:line="220" w:lineRule="exact"/>
        <w:ind w:right="0" w:hanging="330" w:left="330"/>
        <w:jc w:val="left"/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  <w:t xml:space="preserve">[4] ULTRALYTICS. Explore Ultralytics YOLOv8[EB/OL]. [2026-10-24]. https://docs.ultralytics.com/models/yolov8/.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</w:p>
    <w:p w14:paraId="538BE0F7">
      <w:pPr>
        <w:pStyle w:val="977"/>
        <w:keepLines w:val="true"/>
        <w:widowControl w:val="true"/>
        <w:spacing w:after="0" w:before="0" w:line="220" w:lineRule="exact"/>
        <w:ind w:right="0" w:hanging="330" w:left="330"/>
        <w:jc w:val="left"/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  <w:t xml:space="preserve">[5] ULTRALYTICS. YOLO architecture explained[EB/OL]. [2026-10-24]. https://docs.ultralytics.com/guides/yolo-architecture/.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</w:p>
    <w:p w14:paraId="538BE0F7">
      <w:pPr>
        <w:pStyle w:val="977"/>
        <w:keepLines w:val="true"/>
        <w:widowControl w:val="true"/>
        <w:spacing w:after="0" w:before="0" w:line="220" w:lineRule="exact"/>
        <w:ind w:right="0" w:hanging="330" w:left="330"/>
        <w:jc w:val="left"/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  <w:t xml:space="preserve">[6] ULTRALYTICS. Model export with Ultralytics YOLO[EB/OL]. [2026-10-24]. https://docs.ultralytics.com/modes/export/.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after="0" w:before="0" w:line="260" w:lineRule="exact"/>
      <w:ind/>
      <w:jc w:val="center"/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</w:pPr>
    <w:r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  <w:t xml:space="preserve">第 </w:t>
    </w:r>
    <w:r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  <w:fldChar w:fldCharType="begin"/>
    </w:r>
    <w:r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  <w:instrText xml:space="preserve"> PAGE </w:instrText>
    </w:r>
    <w:r>
      <w:fldChar w:fldCharType="separate"/>
    </w:r>
    <w:r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  <w:t xml:space="preserve">1</w:t>
    </w:r>
    <w:r>
      <w:fldChar w:fldCharType="end"/>
    </w:r>
    <w:r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  <w:t xml:space="preserve"> 页 共 </w:t>
    </w:r>
    <w:r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  <w:fldChar w:fldCharType="begin"/>
    </w:r>
    <w:r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  <w:instrText xml:space="preserve"> NUMPAGES </w:instrText>
    </w:r>
    <w:r>
      <w:fldChar w:fldCharType="separate"/>
    </w:r>
    <w:r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  <w:t xml:space="preserve">1</w:t>
    </w:r>
    <w:r>
      <w:fldChar w:fldCharType="end"/>
    </w:r>
    <w:r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  <w:t xml:space="preserve"> 页</w:t>
    </w:r>
    <w:r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</w:r>
    <w:r>
      <w:rPr>
        <w:rFonts w:ascii="Times New Roman" w:hAnsi="Times New Roman" w:eastAsia="宋体" w:cs="Times New Roman"/>
        <w:b w:val="0"/>
        <w:bCs w:val="0"/>
        <w:color w:val="000000"/>
        <w:sz w:val="22"/>
        <w:szCs w:val="2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81DA5A5">
    <w:pPr>
      <w:pStyle w:val="983"/>
      <w:spacing/>
      <w:ind/>
      <w:rPr>
        <w:rFonts w:hint="eastAsia"/>
      </w:rPr>
    </w:pPr>
    <w:r>
      <w:rPr>
        <w:rFonts w:hint="eastAsia"/>
      </w:rPr>
    </w:r>
    <w:r>
      <w:rPr>
        <w:rFonts w:hint="eastAsia"/>
      </w:rPr>
    </w:r>
    <w:r>
      <w:rPr>
        <w:rFonts w:hint="eastAsia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B5B240">
    <w:pPr>
      <w:pStyle w:val="983"/>
      <w:spacing/>
      <w:ind/>
      <w:rPr>
        <w:rFonts w:hint="eastAsia"/>
      </w:rPr>
    </w:pPr>
    <w:r>
      <w:rPr>
        <w:rFonts w:hint="eastAsia"/>
      </w:rPr>
    </w:r>
    <w:r>
      <w:rPr>
        <w:rFonts w:hint="eastAsia"/>
      </w:rPr>
    </w:r>
    <w:r>
      <w:rPr>
        <w:rFonts w:hint="eastAsia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9FB1A0">
    <w:pPr>
      <w:pStyle w:val="984"/>
      <w:spacing/>
      <w:ind/>
      <w:rPr>
        <w:rFonts w:hint="eastAsia"/>
      </w:rPr>
    </w:pPr>
    <w:r>
      <w:rPr>
        <w:rFonts w:hint="eastAsia"/>
      </w:rPr>
      <mc:AlternateContent>
        <mc:Choice Requires="wpg">
          <w:drawing>
            <wp:inline xmlns:wp="http://schemas.openxmlformats.org/drawingml/2006/wordprocessingDrawing" distT="0" distB="0" distL="0" distR="0">
              <wp:extent cx="2345690" cy="429260"/>
              <wp:effectExtent l="0" t="0" r="0" b="8890"/>
              <wp:docPr id="1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20357090" name="图片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93308" cy="43797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84.70pt;height:33.8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hint="eastAsia"/>
      </w:rPr>
    </w:r>
    <w:r>
      <w:rPr>
        <w:rFonts w:hint="eastAsia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801BA01">
    <w:pPr>
      <w:pStyle w:val="984"/>
      <w:spacing/>
      <w:ind/>
      <w:rPr>
        <w:rFonts w:hint="eastAsia"/>
      </w:rPr>
    </w:pPr>
    <w:r>
      <w:rPr>
        <w:rFonts w:hint="eastAsia"/>
      </w:rPr>
    </w:r>
    <w:r>
      <w:rPr>
        <w:rFonts w:hint="eastAsia"/>
      </w:rPr>
    </w:r>
    <w:r>
      <w:rPr>
        <w:rFonts w:hint="eastAsia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56FC67">
    <w:pPr>
      <w:pStyle w:val="984"/>
      <w:spacing/>
      <w:ind/>
      <w:rPr>
        <w:rFonts w:hint="eastAsia"/>
      </w:rPr>
    </w:pPr>
    <w:r>
      <w:rPr>
        <w:rFonts w:hint="eastAsia"/>
      </w:rPr>
    </w:r>
    <w:r>
      <w:rPr>
        <w:rFonts w:hint="eastAsia"/>
      </w:rPr>
    </w:r>
    <w:r>
      <w:rPr>
        <w:rFonts w:hint="eastAsi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46213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1">
    <w:nsid w:val="21E90FAC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">
    <w:nsid w:val="2A5F37E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6">
    <w:name w:val="Table Grid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Table Grid Light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1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2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1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2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3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4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5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6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1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2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3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4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5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6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1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2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3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4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5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6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2">
    <w:name w:val="Heading 3"/>
    <w:basedOn w:val="977"/>
    <w:next w:val="977"/>
    <w:link w:val="93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3">
    <w:name w:val="Heading 4"/>
    <w:basedOn w:val="977"/>
    <w:next w:val="977"/>
    <w:link w:val="93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4">
    <w:name w:val="Heading 5"/>
    <w:basedOn w:val="977"/>
    <w:next w:val="977"/>
    <w:link w:val="93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5">
    <w:name w:val="Heading 6"/>
    <w:basedOn w:val="977"/>
    <w:next w:val="977"/>
    <w:link w:val="93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6">
    <w:name w:val="Heading 7"/>
    <w:basedOn w:val="977"/>
    <w:next w:val="977"/>
    <w:link w:val="93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7">
    <w:name w:val="Heading 8"/>
    <w:basedOn w:val="977"/>
    <w:next w:val="977"/>
    <w:link w:val="93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8">
    <w:name w:val="Heading 9"/>
    <w:basedOn w:val="977"/>
    <w:next w:val="977"/>
    <w:link w:val="93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29" w:default="1">
    <w:name w:val="No List"/>
    <w:uiPriority w:val="99"/>
    <w:semiHidden/>
    <w:unhideWhenUsed/>
    <w:pPr>
      <w:pBdr/>
      <w:spacing/>
      <w:ind/>
    </w:pPr>
  </w:style>
  <w:style w:type="character" w:styleId="930">
    <w:name w:val="Heading 1 Char"/>
    <w:basedOn w:val="980"/>
    <w:link w:val="9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1">
    <w:name w:val="Heading 2 Char"/>
    <w:basedOn w:val="980"/>
    <w:link w:val="9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2">
    <w:name w:val="Heading 3 Char"/>
    <w:basedOn w:val="980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3">
    <w:name w:val="Heading 4 Char"/>
    <w:basedOn w:val="980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4">
    <w:name w:val="Heading 5 Char"/>
    <w:basedOn w:val="980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5">
    <w:name w:val="Heading 6 Char"/>
    <w:basedOn w:val="980"/>
    <w:link w:val="9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6">
    <w:name w:val="Heading 7 Char"/>
    <w:basedOn w:val="980"/>
    <w:link w:val="9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7">
    <w:name w:val="Heading 8 Char"/>
    <w:basedOn w:val="980"/>
    <w:link w:val="9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8">
    <w:name w:val="Heading 9 Char"/>
    <w:basedOn w:val="980"/>
    <w:link w:val="9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9">
    <w:name w:val="Title Char"/>
    <w:basedOn w:val="980"/>
    <w:link w:val="9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0">
    <w:name w:val="Subtitle"/>
    <w:basedOn w:val="977"/>
    <w:next w:val="977"/>
    <w:link w:val="94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1">
    <w:name w:val="Subtitle Char"/>
    <w:basedOn w:val="980"/>
    <w:link w:val="94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2">
    <w:name w:val="Quote"/>
    <w:basedOn w:val="977"/>
    <w:next w:val="977"/>
    <w:link w:val="94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3">
    <w:name w:val="Quote Char"/>
    <w:basedOn w:val="980"/>
    <w:link w:val="94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4">
    <w:name w:val="Intense Emphasis"/>
    <w:basedOn w:val="9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5">
    <w:name w:val="Intense Quote"/>
    <w:basedOn w:val="977"/>
    <w:next w:val="977"/>
    <w:link w:val="94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6">
    <w:name w:val="Intense Quote Char"/>
    <w:basedOn w:val="980"/>
    <w:link w:val="94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7">
    <w:name w:val="Intense Reference"/>
    <w:basedOn w:val="9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8">
    <w:name w:val="No Spacing"/>
    <w:basedOn w:val="977"/>
    <w:uiPriority w:val="1"/>
    <w:qFormat/>
    <w:pPr>
      <w:pBdr/>
      <w:spacing w:after="0" w:line="240" w:lineRule="auto"/>
      <w:ind/>
    </w:pPr>
  </w:style>
  <w:style w:type="character" w:styleId="949">
    <w:name w:val="Subtle Emphasis"/>
    <w:basedOn w:val="9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0">
    <w:name w:val="Emphasis"/>
    <w:basedOn w:val="980"/>
    <w:uiPriority w:val="20"/>
    <w:qFormat/>
    <w:pPr>
      <w:pBdr/>
      <w:spacing/>
      <w:ind/>
    </w:pPr>
    <w:rPr>
      <w:i/>
      <w:iCs/>
    </w:rPr>
  </w:style>
  <w:style w:type="character" w:styleId="951">
    <w:name w:val="Strong"/>
    <w:basedOn w:val="980"/>
    <w:uiPriority w:val="22"/>
    <w:qFormat/>
    <w:pPr>
      <w:pBdr/>
      <w:spacing/>
      <w:ind/>
    </w:pPr>
    <w:rPr>
      <w:b/>
      <w:bCs/>
    </w:rPr>
  </w:style>
  <w:style w:type="character" w:styleId="952">
    <w:name w:val="Subtle Reference"/>
    <w:basedOn w:val="9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3">
    <w:name w:val="Book Title"/>
    <w:basedOn w:val="9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4">
    <w:name w:val="Header Char"/>
    <w:basedOn w:val="980"/>
    <w:link w:val="984"/>
    <w:uiPriority w:val="99"/>
    <w:pPr>
      <w:pBdr/>
      <w:spacing/>
      <w:ind/>
    </w:pPr>
  </w:style>
  <w:style w:type="character" w:styleId="955">
    <w:name w:val="Footer Char"/>
    <w:basedOn w:val="980"/>
    <w:link w:val="983"/>
    <w:uiPriority w:val="99"/>
    <w:pPr>
      <w:pBdr/>
      <w:spacing/>
      <w:ind/>
    </w:pPr>
  </w:style>
  <w:style w:type="paragraph" w:styleId="956">
    <w:name w:val="Caption"/>
    <w:basedOn w:val="977"/>
    <w:next w:val="97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7">
    <w:name w:val="footnote text"/>
    <w:basedOn w:val="977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>
    <w:name w:val="Footnote Text Char"/>
    <w:basedOn w:val="980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foot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paragraph" w:styleId="960">
    <w:name w:val="endnote text"/>
    <w:basedOn w:val="977"/>
    <w:link w:val="9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1">
    <w:name w:val="Endnote Text Char"/>
    <w:basedOn w:val="980"/>
    <w:link w:val="960"/>
    <w:uiPriority w:val="99"/>
    <w:semiHidden/>
    <w:pPr>
      <w:pBdr/>
      <w:spacing/>
      <w:ind/>
    </w:pPr>
    <w:rPr>
      <w:sz w:val="20"/>
      <w:szCs w:val="20"/>
    </w:rPr>
  </w:style>
  <w:style w:type="character" w:styleId="962">
    <w:name w:val="end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character" w:styleId="963">
    <w:name w:val="Hyperlink"/>
    <w:basedOn w:val="9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4">
    <w:name w:val="FollowedHyperlink"/>
    <w:basedOn w:val="9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5">
    <w:name w:val="toc 1"/>
    <w:basedOn w:val="977"/>
    <w:next w:val="977"/>
    <w:uiPriority w:val="39"/>
    <w:unhideWhenUsed/>
    <w:pPr>
      <w:pBdr/>
      <w:spacing w:after="100"/>
      <w:ind/>
    </w:pPr>
  </w:style>
  <w:style w:type="paragraph" w:styleId="966">
    <w:name w:val="toc 2"/>
    <w:basedOn w:val="977"/>
    <w:next w:val="977"/>
    <w:uiPriority w:val="39"/>
    <w:unhideWhenUsed/>
    <w:pPr>
      <w:pBdr/>
      <w:spacing w:after="100"/>
      <w:ind w:left="220"/>
    </w:pPr>
  </w:style>
  <w:style w:type="paragraph" w:styleId="967">
    <w:name w:val="toc 3"/>
    <w:basedOn w:val="977"/>
    <w:next w:val="977"/>
    <w:uiPriority w:val="39"/>
    <w:unhideWhenUsed/>
    <w:pPr>
      <w:pBdr/>
      <w:spacing w:after="100"/>
      <w:ind w:left="440"/>
    </w:pPr>
  </w:style>
  <w:style w:type="paragraph" w:styleId="968">
    <w:name w:val="toc 4"/>
    <w:basedOn w:val="977"/>
    <w:next w:val="977"/>
    <w:uiPriority w:val="39"/>
    <w:unhideWhenUsed/>
    <w:pPr>
      <w:pBdr/>
      <w:spacing w:after="100"/>
      <w:ind w:left="660"/>
    </w:pPr>
  </w:style>
  <w:style w:type="paragraph" w:styleId="969">
    <w:name w:val="toc 5"/>
    <w:basedOn w:val="977"/>
    <w:next w:val="977"/>
    <w:uiPriority w:val="39"/>
    <w:unhideWhenUsed/>
    <w:pPr>
      <w:pBdr/>
      <w:spacing w:after="100"/>
      <w:ind w:left="880"/>
    </w:pPr>
  </w:style>
  <w:style w:type="paragraph" w:styleId="970">
    <w:name w:val="toc 6"/>
    <w:basedOn w:val="977"/>
    <w:next w:val="977"/>
    <w:uiPriority w:val="39"/>
    <w:unhideWhenUsed/>
    <w:pPr>
      <w:pBdr/>
      <w:spacing w:after="100"/>
      <w:ind w:left="1100"/>
    </w:pPr>
  </w:style>
  <w:style w:type="paragraph" w:styleId="971">
    <w:name w:val="toc 7"/>
    <w:basedOn w:val="977"/>
    <w:next w:val="977"/>
    <w:uiPriority w:val="39"/>
    <w:unhideWhenUsed/>
    <w:pPr>
      <w:pBdr/>
      <w:spacing w:after="100"/>
      <w:ind w:left="1320"/>
    </w:pPr>
  </w:style>
  <w:style w:type="paragraph" w:styleId="972">
    <w:name w:val="toc 8"/>
    <w:basedOn w:val="977"/>
    <w:next w:val="977"/>
    <w:uiPriority w:val="39"/>
    <w:unhideWhenUsed/>
    <w:pPr>
      <w:pBdr/>
      <w:spacing w:after="100"/>
      <w:ind w:left="1540"/>
    </w:pPr>
  </w:style>
  <w:style w:type="paragraph" w:styleId="973">
    <w:name w:val="toc 9"/>
    <w:basedOn w:val="977"/>
    <w:next w:val="977"/>
    <w:uiPriority w:val="39"/>
    <w:unhideWhenUsed/>
    <w:pPr>
      <w:pBdr/>
      <w:spacing w:after="100"/>
      <w:ind w:left="1760"/>
    </w:pPr>
  </w:style>
  <w:style w:type="character" w:styleId="974">
    <w:name w:val="Placeholder Text"/>
    <w:basedOn w:val="980"/>
    <w:uiPriority w:val="99"/>
    <w:semiHidden/>
    <w:pPr>
      <w:pBdr/>
      <w:spacing/>
      <w:ind/>
    </w:pPr>
    <w:rPr>
      <w:color w:val="666666"/>
    </w:rPr>
  </w:style>
  <w:style w:type="paragraph" w:styleId="975">
    <w:name w:val="TOC Heading"/>
    <w:uiPriority w:val="39"/>
    <w:unhideWhenUsed/>
    <w:pPr>
      <w:pBdr/>
      <w:spacing/>
      <w:ind/>
    </w:pPr>
  </w:style>
  <w:style w:type="paragraph" w:styleId="976">
    <w:name w:val="table of figures"/>
    <w:basedOn w:val="977"/>
    <w:next w:val="977"/>
    <w:uiPriority w:val="99"/>
    <w:unhideWhenUsed/>
    <w:pPr>
      <w:pBdr/>
      <w:spacing w:after="0" w:afterAutospacing="0"/>
      <w:ind/>
    </w:pPr>
  </w:style>
  <w:style w:type="paragraph" w:styleId="97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978">
    <w:name w:val="Heading 1"/>
    <w:basedOn w:val="977"/>
    <w:next w:val="977"/>
    <w:link w:val="989"/>
    <w:uiPriority w:val="9"/>
    <w:qFormat/>
    <w:pPr>
      <w:keepNext w:val="true"/>
      <w:keepLines w:val="true"/>
      <w:pBdr/>
      <w:spacing w:after="330" w:before="340" w:line="578" w:lineRule="auto"/>
      <w:ind/>
      <w:outlineLvl w:val="0"/>
    </w:pPr>
    <w:rPr>
      <w:b/>
      <w:bCs/>
      <w:sz w:val="44"/>
      <w:szCs w:val="44"/>
    </w:rPr>
  </w:style>
  <w:style w:type="paragraph" w:styleId="979">
    <w:name w:val="Heading 2"/>
    <w:basedOn w:val="977"/>
    <w:next w:val="977"/>
    <w:link w:val="985"/>
    <w:uiPriority w:val="9"/>
    <w:unhideWhenUsed/>
    <w:qFormat/>
    <w:pPr>
      <w:keepNext w:val="true"/>
      <w:keepLines w:val="true"/>
      <w:pBdr/>
      <w:spacing w:after="260" w:before="260" w:line="416" w:lineRule="auto"/>
      <w:ind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980" w:default="1">
    <w:name w:val="Default Paragraph Font"/>
    <w:uiPriority w:val="1"/>
    <w:semiHidden/>
    <w:unhideWhenUsed/>
    <w:pPr>
      <w:pBdr/>
      <w:spacing/>
      <w:ind/>
    </w:pPr>
  </w:style>
  <w:style w:type="table" w:styleId="98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2">
    <w:name w:val="Balloon Text"/>
    <w:basedOn w:val="977"/>
    <w:link w:val="990"/>
    <w:uiPriority w:val="99"/>
    <w:semiHidden/>
    <w:unhideWhenUsed/>
    <w:pPr>
      <w:pBdr/>
      <w:spacing/>
      <w:ind/>
    </w:pPr>
    <w:rPr>
      <w:sz w:val="18"/>
      <w:szCs w:val="18"/>
    </w:rPr>
  </w:style>
  <w:style w:type="paragraph" w:styleId="983">
    <w:name w:val="Footer"/>
    <w:basedOn w:val="977"/>
    <w:link w:val="986"/>
    <w:uiPriority w:val="99"/>
    <w:unhideWhenUsed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84">
    <w:name w:val="Header"/>
    <w:basedOn w:val="977"/>
    <w:link w:val="987"/>
    <w:uiPriority w:val="99"/>
    <w:unhideWhenUsed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character" w:styleId="985" w:customStyle="1">
    <w:name w:val="标题 2 字符"/>
    <w:basedOn w:val="980"/>
    <w:link w:val="97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986" w:customStyle="1">
    <w:name w:val="页脚 字符"/>
    <w:basedOn w:val="980"/>
    <w:link w:val="983"/>
    <w:uiPriority w:val="99"/>
    <w:pPr>
      <w:pBdr/>
      <w:spacing/>
      <w:ind/>
    </w:pPr>
    <w:rPr>
      <w:sz w:val="18"/>
      <w:szCs w:val="18"/>
    </w:rPr>
  </w:style>
  <w:style w:type="character" w:styleId="987" w:customStyle="1">
    <w:name w:val="页眉 字符"/>
    <w:basedOn w:val="980"/>
    <w:link w:val="984"/>
    <w:uiPriority w:val="99"/>
    <w:pPr>
      <w:pBdr/>
      <w:spacing/>
      <w:ind/>
    </w:pPr>
    <w:rPr>
      <w:sz w:val="18"/>
      <w:szCs w:val="18"/>
    </w:rPr>
  </w:style>
  <w:style w:type="paragraph" w:styleId="988">
    <w:name w:val="List Paragraph"/>
    <w:basedOn w:val="977"/>
    <w:uiPriority w:val="34"/>
    <w:qFormat/>
    <w:pPr>
      <w:pBdr/>
      <w:spacing/>
      <w:ind w:firstLine="420"/>
    </w:pPr>
  </w:style>
  <w:style w:type="character" w:styleId="989" w:customStyle="1">
    <w:name w:val="标题 1 字符"/>
    <w:basedOn w:val="980"/>
    <w:link w:val="978"/>
    <w:uiPriority w:val="9"/>
    <w:pPr>
      <w:pBdr/>
      <w:spacing/>
      <w:ind/>
    </w:pPr>
    <w:rPr>
      <w:b/>
      <w:bCs/>
      <w:sz w:val="44"/>
      <w:szCs w:val="44"/>
    </w:rPr>
  </w:style>
  <w:style w:type="character" w:styleId="990" w:customStyle="1">
    <w:name w:val="批注框文本 字符"/>
    <w:basedOn w:val="980"/>
    <w:link w:val="982"/>
    <w:uiPriority w:val="99"/>
    <w:semiHidden/>
    <w:pPr>
      <w:pBdr/>
      <w:spacing/>
      <w:ind/>
    </w:pPr>
    <w:rPr>
      <w:sz w:val="18"/>
      <w:szCs w:val="18"/>
    </w:rPr>
  </w:style>
  <w:style w:type="paragraph" w:styleId="991" w:customStyle="1">
    <w:name w:val="Title"/>
    <w:basedOn w:val="979"/>
    <w:pPr>
      <w:pBdr/>
      <w:spacing/>
      <w:ind/>
    </w:pPr>
    <w:rPr>
      <w:rFonts w:ascii="Times New Roman" w:hAnsi="Times New Roman"/>
      <w:b/>
      <w:sz w:val="3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jpg"/><Relationship Id="rId22" Type="http://schemas.openxmlformats.org/officeDocument/2006/relationships/image" Target="media/image9.jpg"/><Relationship Id="rId23" Type="http://schemas.openxmlformats.org/officeDocument/2006/relationships/image" Target="media/image10.jpg"/><Relationship Id="rId24" Type="http://schemas.openxmlformats.org/officeDocument/2006/relationships/image" Target="media/image11.jpg"/><Relationship Id="rId25" Type="http://schemas.openxmlformats.org/officeDocument/2006/relationships/image" Target="media/image12.png"/><Relationship Id="rId26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</a:majorFont>
      <a:minorFont>
        <a:latin typeface="等线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</dc:title>
  <dc:subject>设计报告</dc:subject>
  <cp:revision>2</cp:revision>
  <dcterms:created xsi:type="dcterms:W3CDTF">2025-07-02T16:39:00Z</dcterms:created>
  <dcterms:modified xsi:type="dcterms:W3CDTF">2026-10-24T04:44:51Z</dcterms:modified>
</cp:coreProperties>
</file>