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603BF732"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粮食土地生产率</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Productivity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226DDB">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270632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2771C04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012A4C">
        <w:rPr>
          <w:rFonts w:ascii="Times New Roman" w:hAnsi="Times New Roman" w:cs="Times New Roman" w:hint="eastAsia"/>
          <w:sz w:val="24"/>
          <w:szCs w:val="24"/>
        </w:rPr>
        <w:t>稻谷</w:t>
      </w:r>
      <w:r w:rsidR="00B30AC9">
        <w:rPr>
          <w:rFonts w:ascii="Times New Roman" w:hAnsi="Times New Roman" w:cs="Times New Roman" w:hint="eastAsia"/>
          <w:sz w:val="24"/>
          <w:szCs w:val="24"/>
        </w:rPr>
        <w:t>、</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小麦、</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玉米和一熟玉米地区的农户样本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2DF3F34A"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012A4C">
        <w:rPr>
          <w:rFonts w:ascii="Times New Roman" w:hAnsi="Times New Roman" w:cs="Times New Roman"/>
          <w:sz w:val="24"/>
          <w:szCs w:val="24"/>
        </w:rPr>
        <w:t>稻谷</w:t>
      </w:r>
      <w:r w:rsidR="00102E68">
        <w:rPr>
          <w:rFonts w:ascii="Times New Roman" w:hAnsi="Times New Roman" w:cs="Times New Roman"/>
          <w:sz w:val="24"/>
          <w:szCs w:val="24"/>
        </w:rPr>
        <w:t>、两熟小麦、两熟玉米和一熟玉米</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012A4C">
        <w:rPr>
          <w:rFonts w:ascii="Times New Roman" w:hAnsi="Times New Roman" w:cs="Times New Roman"/>
          <w:sz w:val="24"/>
          <w:szCs w:val="24"/>
        </w:rPr>
        <w:t>稻谷</w:t>
      </w:r>
      <w:r w:rsidR="008F4F67">
        <w:rPr>
          <w:rFonts w:ascii="Times New Roman" w:hAnsi="Times New Roman" w:cs="Times New Roman" w:hint="eastAsia"/>
          <w:sz w:val="24"/>
          <w:szCs w:val="24"/>
        </w:rPr>
        <w:t>和两熟小麦的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随着规模的扩大而下降，</w:t>
      </w:r>
      <w:r w:rsidR="008F4F67">
        <w:rPr>
          <w:rFonts w:ascii="Times New Roman" w:hAnsi="Times New Roman" w:cs="Times New Roman"/>
          <w:sz w:val="24"/>
          <w:szCs w:val="24"/>
        </w:rPr>
        <w:t>两熟</w:t>
      </w:r>
      <w:r w:rsidR="008F4F67">
        <w:rPr>
          <w:rFonts w:ascii="Times New Roman" w:hAnsi="Times New Roman" w:cs="Times New Roman" w:hint="eastAsia"/>
          <w:sz w:val="24"/>
          <w:szCs w:val="24"/>
        </w:rPr>
        <w:t>玉米和一熟玉米的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随着规模的扩大表现为显著上升或者不显著上升的特点。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270632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706324" w:displacedByCustomXml="next"/>
    <w:bookmarkStart w:id="12"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5F07C9" w:rsidRDefault="00F8195A" w:rsidP="00212AFB">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307EE0D1" w14:textId="45002336" w:rsidR="00FA4B0B" w:rsidRPr="00AD67F4" w:rsidRDefault="00017D1E" w:rsidP="00FA4B0B">
          <w:pPr>
            <w:pStyle w:val="11"/>
            <w:rPr>
              <w:rFonts w:eastAsia="宋体"/>
              <w:kern w:val="2"/>
            </w:rPr>
          </w:pPr>
          <w:r w:rsidRPr="00AD67F4">
            <w:rPr>
              <w:rFonts w:eastAsia="宋体"/>
              <w:sz w:val="24"/>
              <w:szCs w:val="24"/>
              <w:lang w:val="zh-CN"/>
            </w:rPr>
            <w:fldChar w:fldCharType="begin"/>
          </w:r>
          <w:r w:rsidRPr="00AD67F4">
            <w:rPr>
              <w:rFonts w:eastAsia="宋体"/>
              <w:sz w:val="24"/>
              <w:szCs w:val="24"/>
              <w:lang w:val="zh-CN"/>
            </w:rPr>
            <w:instrText xml:space="preserve"> TOC \o "1-2" \h \z \u </w:instrText>
          </w:r>
          <w:r w:rsidRPr="00AD67F4">
            <w:rPr>
              <w:rFonts w:eastAsia="宋体"/>
              <w:sz w:val="24"/>
              <w:szCs w:val="24"/>
              <w:lang w:val="zh-CN"/>
            </w:rPr>
            <w:fldChar w:fldCharType="separate"/>
          </w:r>
          <w:hyperlink w:anchor="_Toc2706322" w:history="1">
            <w:r w:rsidR="00FA4B0B" w:rsidRPr="00AD67F4">
              <w:rPr>
                <w:rStyle w:val="aff2"/>
                <w:rFonts w:eastAsia="宋体"/>
              </w:rPr>
              <w:t>摘</w:t>
            </w:r>
            <w:r w:rsidR="00FA4B0B" w:rsidRPr="00AD67F4">
              <w:rPr>
                <w:rStyle w:val="aff2"/>
                <w:rFonts w:eastAsia="宋体"/>
              </w:rPr>
              <w:t xml:space="preserve">  </w:t>
            </w:r>
            <w:r w:rsidR="00FA4B0B" w:rsidRPr="00AD67F4">
              <w:rPr>
                <w:rStyle w:val="aff2"/>
                <w:rFonts w:eastAsia="宋体"/>
              </w:rPr>
              <w:t>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_Toc2706322 \h </w:instrText>
            </w:r>
            <w:r w:rsidR="00FA4B0B" w:rsidRPr="00AD67F4">
              <w:rPr>
                <w:rFonts w:eastAsia="宋体"/>
                <w:webHidden/>
              </w:rPr>
            </w:r>
            <w:r w:rsidR="00FA4B0B" w:rsidRPr="00AD67F4">
              <w:rPr>
                <w:rFonts w:eastAsia="宋体"/>
                <w:webHidden/>
              </w:rPr>
              <w:fldChar w:fldCharType="separate"/>
            </w:r>
            <w:r w:rsidR="005D465E">
              <w:rPr>
                <w:rFonts w:eastAsia="宋体"/>
                <w:webHidden/>
              </w:rPr>
              <w:t>I</w:t>
            </w:r>
            <w:r w:rsidR="00FA4B0B" w:rsidRPr="00AD67F4">
              <w:rPr>
                <w:rFonts w:eastAsia="宋体"/>
                <w:webHidden/>
              </w:rPr>
              <w:fldChar w:fldCharType="end"/>
            </w:r>
          </w:hyperlink>
        </w:p>
        <w:p w14:paraId="0E837AD6" w14:textId="1708F8FE" w:rsidR="00FA4B0B" w:rsidRPr="00AD67F4" w:rsidRDefault="00226DDB" w:rsidP="00FA4B0B">
          <w:pPr>
            <w:pStyle w:val="11"/>
            <w:rPr>
              <w:rFonts w:eastAsia="宋体"/>
              <w:kern w:val="2"/>
            </w:rPr>
          </w:pPr>
          <w:hyperlink w:anchor="_Toc2706323" w:history="1">
            <w:r w:rsidR="00FA4B0B" w:rsidRPr="00AD67F4">
              <w:rPr>
                <w:rStyle w:val="aff2"/>
                <w:rFonts w:eastAsia="宋体"/>
              </w:rPr>
              <w:t>Abstract</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_Toc2706323 \h </w:instrText>
            </w:r>
            <w:r w:rsidR="00FA4B0B" w:rsidRPr="00AD67F4">
              <w:rPr>
                <w:rFonts w:eastAsia="宋体"/>
                <w:webHidden/>
              </w:rPr>
            </w:r>
            <w:r w:rsidR="00FA4B0B" w:rsidRPr="00AD67F4">
              <w:rPr>
                <w:rFonts w:eastAsia="宋体"/>
                <w:webHidden/>
              </w:rPr>
              <w:fldChar w:fldCharType="separate"/>
            </w:r>
            <w:r w:rsidR="005D465E">
              <w:rPr>
                <w:rFonts w:eastAsia="宋体"/>
                <w:webHidden/>
              </w:rPr>
              <w:t>II</w:t>
            </w:r>
            <w:r w:rsidR="00FA4B0B" w:rsidRPr="00AD67F4">
              <w:rPr>
                <w:rFonts w:eastAsia="宋体"/>
                <w:webHidden/>
              </w:rPr>
              <w:fldChar w:fldCharType="end"/>
            </w:r>
          </w:hyperlink>
        </w:p>
        <w:p w14:paraId="650C0D1A" w14:textId="46389DAF" w:rsidR="00FA4B0B" w:rsidRPr="00AD67F4" w:rsidRDefault="00226DDB" w:rsidP="00FA4B0B">
          <w:pPr>
            <w:pStyle w:val="11"/>
            <w:rPr>
              <w:rFonts w:eastAsia="宋体"/>
              <w:kern w:val="2"/>
            </w:rPr>
          </w:pPr>
          <w:hyperlink w:anchor="_Toc2706324" w:history="1">
            <w:r w:rsidR="00FA4B0B" w:rsidRPr="00AD67F4">
              <w:rPr>
                <w:rStyle w:val="aff2"/>
                <w:rFonts w:eastAsia="宋体"/>
                <w:lang w:val="zh-CN"/>
              </w:rPr>
              <w:t>目</w:t>
            </w:r>
            <w:r w:rsidR="00FA4B0B" w:rsidRPr="00AD67F4">
              <w:rPr>
                <w:rStyle w:val="aff2"/>
                <w:rFonts w:eastAsia="宋体"/>
                <w:lang w:val="zh-CN"/>
              </w:rPr>
              <w:t xml:space="preserve">  </w:t>
            </w:r>
            <w:r w:rsidR="00FA4B0B" w:rsidRPr="00AD67F4">
              <w:rPr>
                <w:rStyle w:val="aff2"/>
                <w:rFonts w:eastAsia="宋体"/>
                <w:lang w:val="zh-CN"/>
              </w:rPr>
              <w:t>录</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_Toc2706324 \h </w:instrText>
            </w:r>
            <w:r w:rsidR="00FA4B0B" w:rsidRPr="00AD67F4">
              <w:rPr>
                <w:rFonts w:eastAsia="宋体"/>
                <w:webHidden/>
              </w:rPr>
            </w:r>
            <w:r w:rsidR="00FA4B0B" w:rsidRPr="00AD67F4">
              <w:rPr>
                <w:rFonts w:eastAsia="宋体"/>
                <w:webHidden/>
              </w:rPr>
              <w:fldChar w:fldCharType="separate"/>
            </w:r>
            <w:r w:rsidR="005D465E">
              <w:rPr>
                <w:rFonts w:eastAsia="宋体"/>
                <w:webHidden/>
              </w:rPr>
              <w:t>IV</w:t>
            </w:r>
            <w:r w:rsidR="00FA4B0B" w:rsidRPr="00AD67F4">
              <w:rPr>
                <w:rFonts w:eastAsia="宋体"/>
                <w:webHidden/>
              </w:rPr>
              <w:fldChar w:fldCharType="end"/>
            </w:r>
          </w:hyperlink>
        </w:p>
        <w:p w14:paraId="1A5F827A" w14:textId="575A3638" w:rsidR="00FA4B0B" w:rsidRPr="00AD67F4" w:rsidRDefault="00226DDB" w:rsidP="00FA4B0B">
          <w:pPr>
            <w:pStyle w:val="11"/>
            <w:rPr>
              <w:rFonts w:eastAsia="宋体"/>
              <w:kern w:val="2"/>
            </w:rPr>
          </w:pPr>
          <w:hyperlink w:anchor="_Toc2706325" w:history="1">
            <w:r w:rsidR="00FA4B0B" w:rsidRPr="00AD67F4">
              <w:rPr>
                <w:rStyle w:val="aff2"/>
                <w:rFonts w:eastAsia="宋体"/>
              </w:rPr>
              <w:t>第一章</w:t>
            </w:r>
            <w:r w:rsidR="00FA4B0B" w:rsidRPr="00AD67F4">
              <w:rPr>
                <w:rStyle w:val="aff2"/>
                <w:rFonts w:eastAsia="宋体"/>
              </w:rPr>
              <w:t xml:space="preserve">  </w:t>
            </w:r>
            <w:r w:rsidR="00FA4B0B" w:rsidRPr="00AD67F4">
              <w:rPr>
                <w:rStyle w:val="aff2"/>
                <w:rFonts w:eastAsia="宋体"/>
              </w:rPr>
              <w:t>绪论</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_Toc2706325 \h </w:instrText>
            </w:r>
            <w:r w:rsidR="00FA4B0B" w:rsidRPr="00AD67F4">
              <w:rPr>
                <w:rFonts w:eastAsia="宋体"/>
                <w:webHidden/>
              </w:rPr>
            </w:r>
            <w:r w:rsidR="00FA4B0B" w:rsidRPr="00AD67F4">
              <w:rPr>
                <w:rFonts w:eastAsia="宋体"/>
                <w:webHidden/>
              </w:rPr>
              <w:fldChar w:fldCharType="separate"/>
            </w:r>
            <w:r w:rsidR="005D465E">
              <w:rPr>
                <w:rFonts w:eastAsia="宋体"/>
                <w:webHidden/>
              </w:rPr>
              <w:t>1</w:t>
            </w:r>
            <w:r w:rsidR="00FA4B0B" w:rsidRPr="00AD67F4">
              <w:rPr>
                <w:rFonts w:eastAsia="宋体"/>
                <w:webHidden/>
              </w:rPr>
              <w:fldChar w:fldCharType="end"/>
            </w:r>
          </w:hyperlink>
        </w:p>
        <w:p w14:paraId="5D1D489A" w14:textId="16D0B949"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26" w:history="1">
            <w:r w:rsidR="00FA4B0B" w:rsidRPr="00AD67F4">
              <w:rPr>
                <w:rStyle w:val="aff2"/>
                <w:rFonts w:eastAsia="宋体" w:cs="Times New Roman"/>
                <w:noProof/>
                <w:szCs w:val="24"/>
              </w:rPr>
              <w:t xml:space="preserve">1.1  </w:t>
            </w:r>
            <w:r w:rsidR="00FA4B0B" w:rsidRPr="00AD67F4">
              <w:rPr>
                <w:rStyle w:val="aff2"/>
                <w:rFonts w:eastAsia="宋体" w:cs="Times New Roman"/>
                <w:noProof/>
                <w:szCs w:val="24"/>
              </w:rPr>
              <w:t>研究背景与意义</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_Toc2706326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w:t>
            </w:r>
            <w:r w:rsidR="00FA4B0B" w:rsidRPr="00AD67F4">
              <w:rPr>
                <w:rFonts w:eastAsia="宋体" w:cs="Times New Roman"/>
                <w:noProof/>
                <w:webHidden/>
                <w:szCs w:val="24"/>
              </w:rPr>
              <w:fldChar w:fldCharType="end"/>
            </w:r>
          </w:hyperlink>
        </w:p>
        <w:p w14:paraId="47772452" w14:textId="01B03AF0"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27" w:history="1">
            <w:r w:rsidR="00FA4B0B" w:rsidRPr="00AD67F4">
              <w:rPr>
                <w:rStyle w:val="aff2"/>
                <w:rFonts w:eastAsia="宋体" w:cs="Times New Roman"/>
                <w:noProof/>
                <w:szCs w:val="24"/>
              </w:rPr>
              <w:t xml:space="preserve">1.2  </w:t>
            </w:r>
            <w:r w:rsidR="00FA4B0B" w:rsidRPr="00AD67F4">
              <w:rPr>
                <w:rStyle w:val="aff2"/>
                <w:rFonts w:eastAsia="宋体" w:cs="Times New Roman"/>
                <w:noProof/>
                <w:szCs w:val="24"/>
              </w:rPr>
              <w:t>研究目标与研究内容</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w:t>
            </w:r>
            <w:r w:rsidR="00FA4B0B" w:rsidRPr="00AD67F4">
              <w:rPr>
                <w:rFonts w:eastAsia="宋体" w:cs="Times New Roman"/>
                <w:noProof/>
                <w:webHidden/>
                <w:szCs w:val="24"/>
              </w:rPr>
              <w:fldChar w:fldCharType="end"/>
            </w:r>
          </w:hyperlink>
        </w:p>
        <w:p w14:paraId="40B9389A" w14:textId="68EC3B2E"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28" w:history="1">
            <w:r w:rsidR="00FA4B0B" w:rsidRPr="00AD67F4">
              <w:rPr>
                <w:rStyle w:val="aff2"/>
                <w:rFonts w:eastAsia="宋体" w:cs="Times New Roman"/>
                <w:noProof/>
                <w:szCs w:val="24"/>
              </w:rPr>
              <w:t xml:space="preserve">1.3  </w:t>
            </w:r>
            <w:r w:rsidR="00FA4B0B" w:rsidRPr="00AD67F4">
              <w:rPr>
                <w:rStyle w:val="aff2"/>
                <w:rFonts w:eastAsia="宋体" w:cs="Times New Roman"/>
                <w:noProof/>
                <w:szCs w:val="24"/>
              </w:rPr>
              <w:t>数据来源与研究方法</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w:t>
            </w:r>
            <w:r w:rsidR="00FA4B0B" w:rsidRPr="00AD67F4">
              <w:rPr>
                <w:rFonts w:eastAsia="宋体" w:cs="Times New Roman"/>
                <w:noProof/>
                <w:webHidden/>
                <w:szCs w:val="24"/>
              </w:rPr>
              <w:fldChar w:fldCharType="end"/>
            </w:r>
          </w:hyperlink>
        </w:p>
        <w:p w14:paraId="1CBD4B7B" w14:textId="31961D57"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29" w:history="1">
            <w:r w:rsidR="00FA4B0B" w:rsidRPr="00AD67F4">
              <w:rPr>
                <w:rStyle w:val="aff2"/>
                <w:rFonts w:eastAsia="宋体" w:cs="Times New Roman"/>
                <w:noProof/>
                <w:szCs w:val="24"/>
              </w:rPr>
              <w:t xml:space="preserve">1.4  </w:t>
            </w:r>
            <w:r w:rsidR="00FA4B0B" w:rsidRPr="00AD67F4">
              <w:rPr>
                <w:rStyle w:val="aff2"/>
                <w:rFonts w:eastAsia="宋体" w:cs="Times New Roman"/>
                <w:noProof/>
                <w:szCs w:val="24"/>
              </w:rPr>
              <w:t>技术路线图</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250577DD" w14:textId="2C8F105A"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30" w:history="1">
            <w:r w:rsidR="00FA4B0B" w:rsidRPr="00AD67F4">
              <w:rPr>
                <w:rStyle w:val="aff2"/>
                <w:rFonts w:eastAsia="宋体" w:cs="Times New Roman"/>
                <w:noProof/>
                <w:szCs w:val="24"/>
              </w:rPr>
              <w:t xml:space="preserve">1.5  </w:t>
            </w:r>
            <w:r w:rsidR="00FA4B0B" w:rsidRPr="00AD67F4">
              <w:rPr>
                <w:rStyle w:val="aff2"/>
                <w:rFonts w:eastAsia="宋体" w:cs="Times New Roman"/>
                <w:noProof/>
                <w:szCs w:val="24"/>
              </w:rPr>
              <w:t>可能的创新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5DD42C61" w14:textId="6538C2DB" w:rsidR="00FA4B0B" w:rsidRPr="00AD67F4" w:rsidRDefault="00226DDB" w:rsidP="00FA4B0B">
          <w:pPr>
            <w:pStyle w:val="11"/>
            <w:rPr>
              <w:rFonts w:eastAsia="宋体"/>
              <w:kern w:val="2"/>
            </w:rPr>
          </w:pPr>
          <w:hyperlink w:anchor="_Toc2706331" w:history="1">
            <w:r w:rsidR="00FA4B0B" w:rsidRPr="00AD67F4">
              <w:rPr>
                <w:rStyle w:val="aff2"/>
                <w:rFonts w:eastAsia="宋体"/>
              </w:rPr>
              <w:t>第二章</w:t>
            </w:r>
            <w:r w:rsidR="00FA4B0B" w:rsidRPr="00AD67F4">
              <w:rPr>
                <w:rStyle w:val="aff2"/>
                <w:rFonts w:eastAsia="宋体"/>
              </w:rPr>
              <w:t xml:space="preserve">  </w:t>
            </w:r>
            <w:r w:rsidR="00FA4B0B" w:rsidRPr="00AD67F4">
              <w:rPr>
                <w:rStyle w:val="aff2"/>
                <w:rFonts w:eastAsia="宋体"/>
              </w:rPr>
              <w:t>文献综述与理论基础</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_Toc2706331 \h </w:instrText>
            </w:r>
            <w:r w:rsidR="00FA4B0B" w:rsidRPr="00AD67F4">
              <w:rPr>
                <w:rFonts w:eastAsia="宋体"/>
                <w:webHidden/>
              </w:rPr>
            </w:r>
            <w:r w:rsidR="00FA4B0B" w:rsidRPr="00AD67F4">
              <w:rPr>
                <w:rFonts w:eastAsia="宋体"/>
                <w:webHidden/>
              </w:rPr>
              <w:fldChar w:fldCharType="separate"/>
            </w:r>
            <w:r w:rsidR="005D465E">
              <w:rPr>
                <w:rFonts w:eastAsia="宋体"/>
                <w:webHidden/>
              </w:rPr>
              <w:t>6</w:t>
            </w:r>
            <w:r w:rsidR="00FA4B0B" w:rsidRPr="00AD67F4">
              <w:rPr>
                <w:rFonts w:eastAsia="宋体"/>
                <w:webHidden/>
              </w:rPr>
              <w:fldChar w:fldCharType="end"/>
            </w:r>
          </w:hyperlink>
        </w:p>
        <w:p w14:paraId="2FB76FF0" w14:textId="6540994A"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32" w:history="1">
            <w:r w:rsidR="00FA4B0B" w:rsidRPr="00AD67F4">
              <w:rPr>
                <w:rStyle w:val="aff2"/>
                <w:rFonts w:eastAsia="宋体" w:cs="Times New Roman"/>
                <w:noProof/>
                <w:szCs w:val="24"/>
              </w:rPr>
              <w:t xml:space="preserve">2.1  </w:t>
            </w:r>
            <w:r w:rsidR="00FA4B0B" w:rsidRPr="00AD67F4">
              <w:rPr>
                <w:rStyle w:val="aff2"/>
                <w:rFonts w:eastAsia="宋体" w:cs="Times New Roman"/>
                <w:noProof/>
                <w:szCs w:val="24"/>
              </w:rPr>
              <w:t>概念界定</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6</w:t>
            </w:r>
            <w:r w:rsidR="00FA4B0B" w:rsidRPr="00AD67F4">
              <w:rPr>
                <w:rFonts w:eastAsia="宋体" w:cs="Times New Roman"/>
                <w:noProof/>
                <w:webHidden/>
                <w:szCs w:val="24"/>
              </w:rPr>
              <w:fldChar w:fldCharType="end"/>
            </w:r>
          </w:hyperlink>
        </w:p>
        <w:p w14:paraId="2B4E16D7" w14:textId="58B1D5AC"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33" w:history="1">
            <w:r w:rsidR="00FA4B0B" w:rsidRPr="00AD67F4">
              <w:rPr>
                <w:rStyle w:val="aff2"/>
                <w:rFonts w:eastAsia="宋体" w:cs="Times New Roman"/>
                <w:noProof/>
                <w:szCs w:val="24"/>
              </w:rPr>
              <w:t xml:space="preserve">2.2  </w:t>
            </w:r>
            <w:r w:rsidR="00FA4B0B" w:rsidRPr="00AD67F4">
              <w:rPr>
                <w:rStyle w:val="aff2"/>
                <w:rFonts w:eastAsia="宋体" w:cs="Times New Roman"/>
                <w:noProof/>
                <w:szCs w:val="24"/>
              </w:rPr>
              <w:t>生产理论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9</w:t>
            </w:r>
            <w:r w:rsidR="00FA4B0B" w:rsidRPr="00AD67F4">
              <w:rPr>
                <w:rFonts w:eastAsia="宋体" w:cs="Times New Roman"/>
                <w:noProof/>
                <w:webHidden/>
                <w:szCs w:val="24"/>
              </w:rPr>
              <w:fldChar w:fldCharType="end"/>
            </w:r>
          </w:hyperlink>
        </w:p>
        <w:p w14:paraId="6DCF08F9" w14:textId="0BD129B1"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34" w:history="1">
            <w:r w:rsidR="00FA4B0B" w:rsidRPr="00AD67F4">
              <w:rPr>
                <w:rStyle w:val="aff2"/>
                <w:rFonts w:eastAsia="宋体" w:cs="Times New Roman"/>
                <w:noProof/>
                <w:szCs w:val="24"/>
              </w:rPr>
              <w:t xml:space="preserve">2.3  </w:t>
            </w:r>
            <w:r w:rsidR="00FA4B0B" w:rsidRPr="00AD67F4">
              <w:rPr>
                <w:rStyle w:val="aff2"/>
                <w:rFonts w:eastAsia="宋体" w:cs="Times New Roman"/>
                <w:noProof/>
                <w:szCs w:val="24"/>
              </w:rPr>
              <w:t>文献综述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11</w:t>
            </w:r>
            <w:r w:rsidR="00FA4B0B" w:rsidRPr="00AD67F4">
              <w:rPr>
                <w:rFonts w:eastAsia="宋体" w:cs="Times New Roman"/>
                <w:noProof/>
                <w:webHidden/>
                <w:szCs w:val="24"/>
              </w:rPr>
              <w:fldChar w:fldCharType="end"/>
            </w:r>
          </w:hyperlink>
        </w:p>
        <w:p w14:paraId="3A98349D" w14:textId="146FC931"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35" w:history="1">
            <w:r w:rsidR="00FA4B0B" w:rsidRPr="00AD67F4">
              <w:rPr>
                <w:rStyle w:val="aff2"/>
                <w:rFonts w:eastAsia="宋体" w:cs="Times New Roman"/>
                <w:noProof/>
                <w:szCs w:val="24"/>
              </w:rPr>
              <w:t xml:space="preserve">2.4  </w:t>
            </w:r>
            <w:r w:rsidR="00FA4B0B" w:rsidRPr="00AD67F4">
              <w:rPr>
                <w:rStyle w:val="aff2"/>
                <w:rFonts w:eastAsia="宋体" w:cs="Times New Roman"/>
                <w:noProof/>
                <w:szCs w:val="24"/>
              </w:rPr>
              <w:t>本章小节</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17</w:t>
            </w:r>
            <w:r w:rsidR="00FA4B0B" w:rsidRPr="00AD67F4">
              <w:rPr>
                <w:rFonts w:eastAsia="宋体" w:cs="Times New Roman"/>
                <w:noProof/>
                <w:webHidden/>
                <w:szCs w:val="24"/>
              </w:rPr>
              <w:fldChar w:fldCharType="end"/>
            </w:r>
          </w:hyperlink>
        </w:p>
        <w:p w14:paraId="7C27441F" w14:textId="77252EB3" w:rsidR="00FA4B0B" w:rsidRPr="00AD67F4" w:rsidRDefault="00226DDB" w:rsidP="00FA4B0B">
          <w:pPr>
            <w:pStyle w:val="11"/>
            <w:rPr>
              <w:rFonts w:eastAsia="宋体"/>
              <w:kern w:val="2"/>
            </w:rPr>
          </w:pPr>
          <w:hyperlink w:anchor="_Toc2706336" w:history="1">
            <w:r w:rsidR="00FA4B0B" w:rsidRPr="00AD67F4">
              <w:rPr>
                <w:rStyle w:val="aff2"/>
                <w:rFonts w:eastAsia="宋体"/>
              </w:rPr>
              <w:t>第三章</w:t>
            </w:r>
            <w:r w:rsidR="00FA4B0B" w:rsidRPr="00AD67F4">
              <w:rPr>
                <w:rStyle w:val="aff2"/>
                <w:rFonts w:eastAsia="宋体"/>
              </w:rPr>
              <w:t xml:space="preserve">  </w:t>
            </w:r>
            <w:r w:rsidR="00FA4B0B" w:rsidRPr="00AD67F4">
              <w:rPr>
                <w:rStyle w:val="aff2"/>
                <w:rFonts w:eastAsia="宋体"/>
              </w:rPr>
              <w:t>不同熟区农户的基本特征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_Toc2706336 \h </w:instrText>
            </w:r>
            <w:r w:rsidR="00FA4B0B" w:rsidRPr="00AD67F4">
              <w:rPr>
                <w:rFonts w:eastAsia="宋体"/>
                <w:webHidden/>
              </w:rPr>
            </w:r>
            <w:r w:rsidR="00FA4B0B" w:rsidRPr="00AD67F4">
              <w:rPr>
                <w:rFonts w:eastAsia="宋体"/>
                <w:webHidden/>
              </w:rPr>
              <w:fldChar w:fldCharType="separate"/>
            </w:r>
            <w:r w:rsidR="005D465E">
              <w:rPr>
                <w:rFonts w:eastAsia="宋体"/>
                <w:webHidden/>
              </w:rPr>
              <w:t>18</w:t>
            </w:r>
            <w:r w:rsidR="00FA4B0B" w:rsidRPr="00AD67F4">
              <w:rPr>
                <w:rFonts w:eastAsia="宋体"/>
                <w:webHidden/>
              </w:rPr>
              <w:fldChar w:fldCharType="end"/>
            </w:r>
          </w:hyperlink>
        </w:p>
        <w:p w14:paraId="096D5858" w14:textId="337F28C0"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37" w:history="1">
            <w:r w:rsidR="00FA4B0B" w:rsidRPr="00AD67F4">
              <w:rPr>
                <w:rStyle w:val="aff2"/>
                <w:rFonts w:eastAsia="宋体" w:cs="Times New Roman"/>
                <w:noProof/>
                <w:szCs w:val="24"/>
              </w:rPr>
              <w:t xml:space="preserve">3.1  </w:t>
            </w:r>
            <w:r w:rsidR="00FA4B0B" w:rsidRPr="00AD67F4">
              <w:rPr>
                <w:rStyle w:val="aff2"/>
                <w:rFonts w:eastAsia="宋体" w:cs="Times New Roman"/>
                <w:noProof/>
                <w:szCs w:val="24"/>
              </w:rPr>
              <w:t>数据处理</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42E2DDD8" w14:textId="4C439429"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38" w:history="1">
            <w:r w:rsidR="00FA4B0B" w:rsidRPr="00AD67F4">
              <w:rPr>
                <w:rStyle w:val="aff2"/>
                <w:rFonts w:eastAsia="宋体" w:cs="Times New Roman"/>
                <w:noProof/>
                <w:szCs w:val="24"/>
              </w:rPr>
              <w:t xml:space="preserve">3.2  </w:t>
            </w:r>
            <w:r w:rsidR="00FA4B0B" w:rsidRPr="00AD67F4">
              <w:rPr>
                <w:rStyle w:val="aff2"/>
                <w:rFonts w:eastAsia="宋体" w:cs="Times New Roman"/>
                <w:noProof/>
                <w:szCs w:val="24"/>
              </w:rPr>
              <w:t>变量选择</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146571F3" w14:textId="72DD2610"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39" w:history="1">
            <w:r w:rsidR="00FA4B0B" w:rsidRPr="00AD67F4">
              <w:rPr>
                <w:rStyle w:val="aff2"/>
                <w:rFonts w:eastAsia="宋体" w:cs="Times New Roman"/>
                <w:noProof/>
                <w:szCs w:val="24"/>
              </w:rPr>
              <w:t xml:space="preserve">3.3  </w:t>
            </w:r>
            <w:r w:rsidR="00FA4B0B" w:rsidRPr="00AD67F4">
              <w:rPr>
                <w:rStyle w:val="aff2"/>
                <w:rFonts w:eastAsia="宋体" w:cs="Times New Roman"/>
                <w:noProof/>
                <w:szCs w:val="24"/>
              </w:rPr>
              <w:t>样本描述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21</w:t>
            </w:r>
            <w:r w:rsidR="00FA4B0B" w:rsidRPr="00AD67F4">
              <w:rPr>
                <w:rFonts w:eastAsia="宋体" w:cs="Times New Roman"/>
                <w:noProof/>
                <w:webHidden/>
                <w:szCs w:val="24"/>
              </w:rPr>
              <w:fldChar w:fldCharType="end"/>
            </w:r>
          </w:hyperlink>
        </w:p>
        <w:p w14:paraId="12D13FE3" w14:textId="05BCC32D"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40" w:history="1">
            <w:r w:rsidR="00FA4B0B" w:rsidRPr="00AD67F4">
              <w:rPr>
                <w:rStyle w:val="aff2"/>
                <w:rFonts w:eastAsia="宋体" w:cs="Times New Roman"/>
                <w:noProof/>
                <w:szCs w:val="24"/>
              </w:rPr>
              <w:t xml:space="preserve">3.4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30</w:t>
            </w:r>
            <w:r w:rsidR="00FA4B0B" w:rsidRPr="00AD67F4">
              <w:rPr>
                <w:rFonts w:eastAsia="宋体" w:cs="Times New Roman"/>
                <w:noProof/>
                <w:webHidden/>
                <w:szCs w:val="24"/>
              </w:rPr>
              <w:fldChar w:fldCharType="end"/>
            </w:r>
          </w:hyperlink>
        </w:p>
        <w:p w14:paraId="008C9B52" w14:textId="7B3240F4" w:rsidR="00FA4B0B" w:rsidRPr="00AD67F4" w:rsidRDefault="00226DDB" w:rsidP="00FA4B0B">
          <w:pPr>
            <w:pStyle w:val="11"/>
            <w:rPr>
              <w:rFonts w:eastAsia="宋体"/>
              <w:kern w:val="2"/>
            </w:rPr>
          </w:pPr>
          <w:hyperlink w:anchor="_Toc2706341" w:history="1">
            <w:r w:rsidR="00FA4B0B" w:rsidRPr="00AD67F4">
              <w:rPr>
                <w:rStyle w:val="aff2"/>
                <w:rFonts w:eastAsia="宋体"/>
              </w:rPr>
              <w:t>第四章</w:t>
            </w:r>
            <w:r w:rsidR="00FA4B0B" w:rsidRPr="00AD67F4">
              <w:rPr>
                <w:rStyle w:val="aff2"/>
                <w:rFonts w:eastAsia="宋体"/>
              </w:rPr>
              <w:t xml:space="preserve">  </w:t>
            </w:r>
            <w:r w:rsidR="00A63FDE">
              <w:rPr>
                <w:rStyle w:val="aff2"/>
                <w:rFonts w:eastAsia="宋体"/>
              </w:rPr>
              <w:t>土地生产率</w:t>
            </w:r>
            <w:r w:rsidR="00FA4B0B" w:rsidRPr="00AD67F4">
              <w:rPr>
                <w:rStyle w:val="aff2"/>
                <w:rFonts w:eastAsia="宋体"/>
              </w:rPr>
              <w:t>与农地经营规模的实证分析</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_Toc2706341 \h </w:instrText>
            </w:r>
            <w:r w:rsidR="00FA4B0B" w:rsidRPr="00AD67F4">
              <w:rPr>
                <w:rFonts w:eastAsia="宋体"/>
                <w:webHidden/>
              </w:rPr>
            </w:r>
            <w:r w:rsidR="00FA4B0B" w:rsidRPr="00AD67F4">
              <w:rPr>
                <w:rFonts w:eastAsia="宋体"/>
                <w:webHidden/>
              </w:rPr>
              <w:fldChar w:fldCharType="separate"/>
            </w:r>
            <w:r w:rsidR="005D465E">
              <w:rPr>
                <w:rFonts w:eastAsia="宋体"/>
                <w:webHidden/>
              </w:rPr>
              <w:t>31</w:t>
            </w:r>
            <w:r w:rsidR="00FA4B0B" w:rsidRPr="00AD67F4">
              <w:rPr>
                <w:rFonts w:eastAsia="宋体"/>
                <w:webHidden/>
              </w:rPr>
              <w:fldChar w:fldCharType="end"/>
            </w:r>
          </w:hyperlink>
        </w:p>
        <w:p w14:paraId="2D2F4094" w14:textId="62CE8A35"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42" w:history="1">
            <w:r w:rsidR="00FA4B0B" w:rsidRPr="00AD67F4">
              <w:rPr>
                <w:rStyle w:val="aff2"/>
                <w:rFonts w:eastAsia="宋体" w:cs="Times New Roman"/>
                <w:noProof/>
                <w:szCs w:val="24"/>
              </w:rPr>
              <w:t xml:space="preserve">4.1  </w:t>
            </w:r>
            <w:r w:rsidR="00FA4B0B" w:rsidRPr="00AD67F4">
              <w:rPr>
                <w:rStyle w:val="aff2"/>
                <w:rFonts w:eastAsia="宋体" w:cs="Times New Roman"/>
                <w:noProof/>
                <w:szCs w:val="24"/>
              </w:rPr>
              <w:t>分析框架</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31</w:t>
            </w:r>
            <w:r w:rsidR="00FA4B0B" w:rsidRPr="00AD67F4">
              <w:rPr>
                <w:rFonts w:eastAsia="宋体" w:cs="Times New Roman"/>
                <w:noProof/>
                <w:webHidden/>
                <w:szCs w:val="24"/>
              </w:rPr>
              <w:fldChar w:fldCharType="end"/>
            </w:r>
          </w:hyperlink>
        </w:p>
        <w:p w14:paraId="08CD328E" w14:textId="1155FAA8"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43" w:history="1">
            <w:r w:rsidR="00FA4B0B" w:rsidRPr="00AD67F4">
              <w:rPr>
                <w:rStyle w:val="aff2"/>
                <w:rFonts w:eastAsia="宋体" w:cs="Times New Roman"/>
                <w:noProof/>
                <w:szCs w:val="24"/>
              </w:rPr>
              <w:t xml:space="preserve">4.2  </w:t>
            </w:r>
            <w:r w:rsidR="00FA4B0B" w:rsidRPr="00AD67F4">
              <w:rPr>
                <w:rStyle w:val="aff2"/>
                <w:rFonts w:eastAsia="宋体" w:cs="Times New Roman"/>
                <w:noProof/>
                <w:szCs w:val="24"/>
              </w:rPr>
              <w:t>改造的农业生产函数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32</w:t>
            </w:r>
            <w:r w:rsidR="00FA4B0B" w:rsidRPr="00AD67F4">
              <w:rPr>
                <w:rFonts w:eastAsia="宋体" w:cs="Times New Roman"/>
                <w:noProof/>
                <w:webHidden/>
                <w:szCs w:val="24"/>
              </w:rPr>
              <w:fldChar w:fldCharType="end"/>
            </w:r>
          </w:hyperlink>
        </w:p>
        <w:p w14:paraId="431926D3" w14:textId="6A48AB64"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44" w:history="1">
            <w:r w:rsidR="00FA4B0B" w:rsidRPr="00AD67F4">
              <w:rPr>
                <w:rStyle w:val="aff2"/>
                <w:rFonts w:eastAsia="宋体" w:cs="Times New Roman"/>
                <w:noProof/>
                <w:szCs w:val="24"/>
              </w:rPr>
              <w:t xml:space="preserve">4.3  </w:t>
            </w:r>
            <w:r w:rsidR="00FA4B0B" w:rsidRPr="00AD67F4">
              <w:rPr>
                <w:rStyle w:val="aff2"/>
                <w:rFonts w:eastAsia="宋体" w:cs="Times New Roman"/>
                <w:noProof/>
                <w:szCs w:val="24"/>
              </w:rPr>
              <w:t>规模对</w:t>
            </w:r>
            <w:r w:rsidR="00A63FDE">
              <w:rPr>
                <w:rStyle w:val="aff2"/>
                <w:rFonts w:eastAsia="宋体" w:cs="Times New Roman"/>
                <w:noProof/>
                <w:szCs w:val="24"/>
              </w:rPr>
              <w:t>土地生产率</w:t>
            </w:r>
            <w:r w:rsidR="00FA4B0B" w:rsidRPr="00AD67F4">
              <w:rPr>
                <w:rStyle w:val="aff2"/>
                <w:rFonts w:eastAsia="宋体" w:cs="Times New Roman"/>
                <w:noProof/>
                <w:szCs w:val="24"/>
              </w:rPr>
              <w:t>的影响分析</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33</w:t>
            </w:r>
            <w:r w:rsidR="00FA4B0B" w:rsidRPr="00AD67F4">
              <w:rPr>
                <w:rFonts w:eastAsia="宋体" w:cs="Times New Roman"/>
                <w:noProof/>
                <w:webHidden/>
                <w:szCs w:val="24"/>
              </w:rPr>
              <w:fldChar w:fldCharType="end"/>
            </w:r>
          </w:hyperlink>
        </w:p>
        <w:p w14:paraId="36F33572" w14:textId="153167C1"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45" w:history="1">
            <w:r w:rsidR="00FA4B0B" w:rsidRPr="00AD67F4">
              <w:rPr>
                <w:rStyle w:val="aff2"/>
                <w:rFonts w:eastAsia="宋体" w:cs="Times New Roman"/>
                <w:noProof/>
                <w:szCs w:val="24"/>
              </w:rPr>
              <w:t xml:space="preserve">4.4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43</w:t>
            </w:r>
            <w:r w:rsidR="00FA4B0B" w:rsidRPr="00AD67F4">
              <w:rPr>
                <w:rFonts w:eastAsia="宋体" w:cs="Times New Roman"/>
                <w:noProof/>
                <w:webHidden/>
                <w:szCs w:val="24"/>
              </w:rPr>
              <w:fldChar w:fldCharType="end"/>
            </w:r>
          </w:hyperlink>
        </w:p>
        <w:p w14:paraId="2B562ED5" w14:textId="1FEFCF28" w:rsidR="00FA4B0B" w:rsidRPr="00AD67F4" w:rsidRDefault="00226DDB" w:rsidP="00FA4B0B">
          <w:pPr>
            <w:pStyle w:val="11"/>
            <w:rPr>
              <w:rFonts w:eastAsia="宋体"/>
              <w:kern w:val="2"/>
            </w:rPr>
          </w:pPr>
          <w:hyperlink w:anchor="_Toc2706346" w:history="1">
            <w:r w:rsidR="00FA4B0B" w:rsidRPr="00AD67F4">
              <w:rPr>
                <w:rStyle w:val="aff2"/>
                <w:rFonts w:eastAsia="宋体"/>
              </w:rPr>
              <w:t>第五章</w:t>
            </w:r>
            <w:r w:rsidR="00FA4B0B" w:rsidRPr="00AD67F4">
              <w:rPr>
                <w:rStyle w:val="aff2"/>
                <w:rFonts w:eastAsia="宋体"/>
              </w:rPr>
              <w:t xml:space="preserve">  </w:t>
            </w:r>
            <w:r w:rsidR="00FA4B0B" w:rsidRPr="00AD67F4">
              <w:rPr>
                <w:rStyle w:val="aff2"/>
                <w:rFonts w:eastAsia="宋体"/>
              </w:rPr>
              <w:t>结论与建议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_Toc2706346 \h </w:instrText>
            </w:r>
            <w:r w:rsidR="00FA4B0B" w:rsidRPr="00AD67F4">
              <w:rPr>
                <w:rFonts w:eastAsia="宋体"/>
                <w:webHidden/>
              </w:rPr>
            </w:r>
            <w:r w:rsidR="00FA4B0B" w:rsidRPr="00AD67F4">
              <w:rPr>
                <w:rFonts w:eastAsia="宋体"/>
                <w:webHidden/>
              </w:rPr>
              <w:fldChar w:fldCharType="separate"/>
            </w:r>
            <w:r w:rsidR="005D465E">
              <w:rPr>
                <w:rFonts w:eastAsia="宋体"/>
                <w:webHidden/>
              </w:rPr>
              <w:t>44</w:t>
            </w:r>
            <w:r w:rsidR="00FA4B0B" w:rsidRPr="00AD67F4">
              <w:rPr>
                <w:rFonts w:eastAsia="宋体"/>
                <w:webHidden/>
              </w:rPr>
              <w:fldChar w:fldCharType="end"/>
            </w:r>
          </w:hyperlink>
        </w:p>
        <w:p w14:paraId="244F61BF" w14:textId="470CF326"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47" w:history="1">
            <w:r w:rsidR="00FA4B0B" w:rsidRPr="00AD67F4">
              <w:rPr>
                <w:rStyle w:val="aff2"/>
                <w:rFonts w:eastAsia="宋体" w:cs="Times New Roman"/>
                <w:noProof/>
                <w:szCs w:val="24"/>
              </w:rPr>
              <w:t xml:space="preserve">5.1  </w:t>
            </w:r>
            <w:r w:rsidR="00FA4B0B" w:rsidRPr="00AD67F4">
              <w:rPr>
                <w:rStyle w:val="aff2"/>
                <w:rFonts w:eastAsia="宋体" w:cs="Times New Roman"/>
                <w:noProof/>
                <w:szCs w:val="24"/>
              </w:rPr>
              <w:t>粮食单产变化成因的讨论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44</w:t>
            </w:r>
            <w:r w:rsidR="00FA4B0B" w:rsidRPr="00AD67F4">
              <w:rPr>
                <w:rFonts w:eastAsia="宋体" w:cs="Times New Roman"/>
                <w:noProof/>
                <w:webHidden/>
                <w:szCs w:val="24"/>
              </w:rPr>
              <w:fldChar w:fldCharType="end"/>
            </w:r>
          </w:hyperlink>
        </w:p>
        <w:p w14:paraId="146590FD" w14:textId="57AE2EC2"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48" w:history="1">
            <w:r w:rsidR="00FA4B0B" w:rsidRPr="00AD67F4">
              <w:rPr>
                <w:rStyle w:val="aff2"/>
                <w:rFonts w:eastAsia="宋体" w:cs="Times New Roman"/>
                <w:noProof/>
                <w:szCs w:val="24"/>
              </w:rPr>
              <w:t xml:space="preserve">5.2  </w:t>
            </w:r>
            <w:r w:rsidR="00FA4B0B" w:rsidRPr="00AD67F4">
              <w:rPr>
                <w:rStyle w:val="aff2"/>
                <w:rFonts w:eastAsia="宋体" w:cs="Times New Roman"/>
                <w:noProof/>
                <w:szCs w:val="24"/>
              </w:rPr>
              <w:t>研究结论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45</w:t>
            </w:r>
            <w:r w:rsidR="00FA4B0B" w:rsidRPr="00AD67F4">
              <w:rPr>
                <w:rFonts w:eastAsia="宋体" w:cs="Times New Roman"/>
                <w:noProof/>
                <w:webHidden/>
                <w:szCs w:val="24"/>
              </w:rPr>
              <w:fldChar w:fldCharType="end"/>
            </w:r>
          </w:hyperlink>
        </w:p>
        <w:p w14:paraId="17780105" w14:textId="75C5DB91"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49" w:history="1">
            <w:r w:rsidR="00FA4B0B" w:rsidRPr="00AD67F4">
              <w:rPr>
                <w:rStyle w:val="aff2"/>
                <w:rFonts w:eastAsia="宋体" w:cs="Times New Roman"/>
                <w:noProof/>
                <w:szCs w:val="24"/>
              </w:rPr>
              <w:t xml:space="preserve">5.3  </w:t>
            </w:r>
            <w:r w:rsidR="00FA4B0B" w:rsidRPr="00AD67F4">
              <w:rPr>
                <w:rStyle w:val="aff2"/>
                <w:rFonts w:eastAsia="宋体" w:cs="Times New Roman"/>
                <w:noProof/>
                <w:szCs w:val="24"/>
              </w:rPr>
              <w:t>政策建议</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71CBDEC0" w14:textId="0D19FDCE" w:rsidR="00FA4B0B" w:rsidRPr="00AD67F4" w:rsidRDefault="00226DDB" w:rsidP="00FA4B0B">
          <w:pPr>
            <w:pStyle w:val="21"/>
            <w:tabs>
              <w:tab w:val="right" w:leader="dot" w:pos="8777"/>
            </w:tabs>
            <w:spacing w:after="0" w:line="400" w:lineRule="exact"/>
            <w:ind w:left="440"/>
            <w:rPr>
              <w:rFonts w:eastAsia="宋体" w:cs="Times New Roman"/>
              <w:noProof/>
              <w:kern w:val="2"/>
              <w:szCs w:val="24"/>
            </w:rPr>
          </w:pPr>
          <w:hyperlink w:anchor="_Toc2706350" w:history="1">
            <w:r w:rsidR="00FA4B0B" w:rsidRPr="00AD67F4">
              <w:rPr>
                <w:rStyle w:val="aff2"/>
                <w:rFonts w:eastAsia="宋体" w:cs="Times New Roman"/>
                <w:noProof/>
                <w:szCs w:val="24"/>
              </w:rPr>
              <w:t xml:space="preserve">5.4  </w:t>
            </w:r>
            <w:r w:rsidR="00FA4B0B" w:rsidRPr="00AD67F4">
              <w:rPr>
                <w:rStyle w:val="aff2"/>
                <w:rFonts w:eastAsia="宋体" w:cs="Times New Roman"/>
                <w:noProof/>
                <w:szCs w:val="24"/>
              </w:rPr>
              <w:t>可能的不足</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_Toc2706350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352D65F6" w14:textId="2C792CDE" w:rsidR="00FA4B0B" w:rsidRPr="00AD67F4" w:rsidRDefault="00226DDB" w:rsidP="00FA4B0B">
          <w:pPr>
            <w:pStyle w:val="11"/>
            <w:rPr>
              <w:rFonts w:eastAsia="宋体"/>
              <w:kern w:val="2"/>
            </w:rPr>
          </w:pPr>
          <w:hyperlink w:anchor="_Toc2706351" w:history="1">
            <w:r w:rsidR="00FA4B0B" w:rsidRPr="00AD67F4">
              <w:rPr>
                <w:rStyle w:val="aff2"/>
                <w:rFonts w:eastAsia="宋体"/>
              </w:rPr>
              <w:t>参考文献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_Toc2706351 \h </w:instrText>
            </w:r>
            <w:r w:rsidR="00FA4B0B" w:rsidRPr="00AD67F4">
              <w:rPr>
                <w:rFonts w:eastAsia="宋体"/>
                <w:webHidden/>
              </w:rPr>
            </w:r>
            <w:r w:rsidR="00FA4B0B" w:rsidRPr="00AD67F4">
              <w:rPr>
                <w:rFonts w:eastAsia="宋体"/>
                <w:webHidden/>
              </w:rPr>
              <w:fldChar w:fldCharType="separate"/>
            </w:r>
            <w:r w:rsidR="005D465E">
              <w:rPr>
                <w:rFonts w:eastAsia="宋体"/>
                <w:webHidden/>
              </w:rPr>
              <w:t>47</w:t>
            </w:r>
            <w:r w:rsidR="00FA4B0B" w:rsidRPr="00AD67F4">
              <w:rPr>
                <w:rFonts w:eastAsia="宋体"/>
                <w:webHidden/>
              </w:rPr>
              <w:fldChar w:fldCharType="end"/>
            </w:r>
          </w:hyperlink>
        </w:p>
        <w:p w14:paraId="29AD4BBC" w14:textId="05677C71" w:rsidR="00FA4B0B" w:rsidRPr="00AD67F4" w:rsidRDefault="00226DDB" w:rsidP="00FA4B0B">
          <w:pPr>
            <w:pStyle w:val="11"/>
            <w:rPr>
              <w:rFonts w:eastAsia="宋体"/>
              <w:kern w:val="2"/>
            </w:rPr>
          </w:pPr>
          <w:hyperlink w:anchor="_Toc2706352" w:history="1">
            <w:r w:rsidR="00FA4B0B" w:rsidRPr="00AD67F4">
              <w:rPr>
                <w:rStyle w:val="aff2"/>
                <w:rFonts w:eastAsia="宋体"/>
              </w:rPr>
              <w:t>致谢</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_Toc2706352 \h </w:instrText>
            </w:r>
            <w:r w:rsidR="00FA4B0B" w:rsidRPr="00AD67F4">
              <w:rPr>
                <w:rFonts w:eastAsia="宋体"/>
                <w:webHidden/>
              </w:rPr>
            </w:r>
            <w:r w:rsidR="00FA4B0B" w:rsidRPr="00AD67F4">
              <w:rPr>
                <w:rFonts w:eastAsia="宋体"/>
                <w:webHidden/>
              </w:rPr>
              <w:fldChar w:fldCharType="separate"/>
            </w:r>
            <w:r w:rsidR="005D465E">
              <w:rPr>
                <w:rFonts w:eastAsia="宋体"/>
                <w:webHidden/>
              </w:rPr>
              <w:t>51</w:t>
            </w:r>
            <w:r w:rsidR="00FA4B0B" w:rsidRPr="00AD67F4">
              <w:rPr>
                <w:rFonts w:eastAsia="宋体"/>
                <w:webHidden/>
              </w:rPr>
              <w:fldChar w:fldCharType="end"/>
            </w:r>
          </w:hyperlink>
        </w:p>
        <w:p w14:paraId="783F3C11" w14:textId="05E24A04" w:rsidR="00FA4B0B" w:rsidRPr="00AD67F4" w:rsidRDefault="00226DDB" w:rsidP="00FA4B0B">
          <w:pPr>
            <w:pStyle w:val="11"/>
            <w:rPr>
              <w:rFonts w:eastAsia="宋体"/>
              <w:kern w:val="2"/>
            </w:rPr>
          </w:pPr>
          <w:hyperlink w:anchor="_Toc2706353" w:history="1">
            <w:r w:rsidR="00FA4B0B" w:rsidRPr="00AD67F4">
              <w:rPr>
                <w:rStyle w:val="aff2"/>
                <w:rFonts w:eastAsia="宋体"/>
              </w:rPr>
              <w:t>作者简介</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_Toc2706353 \h </w:instrText>
            </w:r>
            <w:r w:rsidR="00FA4B0B" w:rsidRPr="00AD67F4">
              <w:rPr>
                <w:rFonts w:eastAsia="宋体"/>
                <w:webHidden/>
              </w:rPr>
            </w:r>
            <w:r w:rsidR="00FA4B0B" w:rsidRPr="00AD67F4">
              <w:rPr>
                <w:rFonts w:eastAsia="宋体"/>
                <w:webHidden/>
              </w:rPr>
              <w:fldChar w:fldCharType="separate"/>
            </w:r>
            <w:r w:rsidR="005D465E">
              <w:rPr>
                <w:rFonts w:eastAsia="宋体"/>
                <w:webHidden/>
              </w:rPr>
              <w:t>52</w:t>
            </w:r>
            <w:r w:rsidR="00FA4B0B" w:rsidRPr="00AD67F4">
              <w:rPr>
                <w:rFonts w:eastAsia="宋体"/>
                <w:webHidden/>
              </w:rPr>
              <w:fldChar w:fldCharType="end"/>
            </w:r>
          </w:hyperlink>
        </w:p>
        <w:p w14:paraId="4D4925A0" w14:textId="35B21E21" w:rsidR="00D44CAA" w:rsidRPr="00E479C8" w:rsidRDefault="00017D1E" w:rsidP="00E479C8">
          <w:pPr>
            <w:pStyle w:val="11"/>
            <w:rPr>
              <w:rFonts w:asciiTheme="minorEastAsia" w:hAnsiTheme="minorEastAsia"/>
              <w:lang w:val="zh-CN"/>
            </w:rPr>
            <w:sectPr w:rsidR="00D44CAA" w:rsidRPr="00E479C8" w:rsidSect="00D44CAA">
              <w:footerReference w:type="default" r:id="rId24"/>
              <w:pgSz w:w="11906" w:h="16838" w:code="9"/>
              <w:pgMar w:top="1701" w:right="1418" w:bottom="1418" w:left="1701" w:header="1304" w:footer="1020" w:gutter="0"/>
              <w:pgNumType w:fmt="upperRoman" w:start="2"/>
              <w:cols w:space="425"/>
              <w:docGrid w:type="lines" w:linePitch="326"/>
            </w:sectPr>
          </w:pPr>
          <w:r w:rsidRPr="00AD67F4">
            <w:rPr>
              <w:rFonts w:eastAsia="宋体"/>
              <w:lang w:val="zh-CN"/>
            </w:rPr>
            <w:fldChar w:fldCharType="end"/>
          </w:r>
        </w:p>
      </w:sdtContent>
    </w:sdt>
    <w:p w14:paraId="33B3E23C" w14:textId="77777777" w:rsidR="00E479C8" w:rsidRPr="00E479C8" w:rsidRDefault="00E479C8" w:rsidP="00E479C8">
      <w:pPr>
        <w:rPr>
          <w:rFonts w:eastAsia="黑体"/>
          <w:sz w:val="32"/>
          <w:szCs w:val="32"/>
        </w:rPr>
      </w:pPr>
      <w:bookmarkStart w:id="13" w:name="_Toc2706325"/>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270632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3F9AF7AA" w:rsidR="005D0362" w:rsidRPr="00980C9E" w:rsidRDefault="00167FED"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C5346D">
      <w:pPr>
        <w:keepNext/>
        <w:spacing w:after="0" w:line="240" w:lineRule="auto"/>
        <w:jc w:val="center"/>
        <w:rPr>
          <w:rFonts w:ascii="Times New Roman" w:hAnsi="Times New Roman" w:cs="Times New Roman"/>
          <w:sz w:val="24"/>
          <w:szCs w:val="24"/>
        </w:rPr>
      </w:pPr>
      <w:r>
        <w:rPr>
          <w:noProof/>
        </w:rPr>
        <w:drawing>
          <wp:inline distT="0" distB="0" distL="0" distR="0" wp14:anchorId="5EA0B349" wp14:editId="57A92926">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53D9D9EF" w:rsidR="0008658A" w:rsidRPr="00C91889" w:rsidRDefault="0008658A" w:rsidP="00C91889">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5D465E">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C91889">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77BC6591"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270632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270632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7" w:name="_Toc270632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216"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226DDB" w:rsidRPr="00EA6FCD" w:rsidRDefault="00226DDB"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226DDB" w:rsidRPr="00EA6FCD" w:rsidRDefault="00226DDB"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226DDB" w:rsidRPr="00EA6FCD" w:rsidRDefault="00226DDB"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226DDB" w:rsidRPr="00EA6FCD" w:rsidRDefault="00226DDB"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226DDB" w:rsidRPr="00EA6FCD" w:rsidRDefault="00226DDB"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226DDB" w:rsidRPr="007E435C" w:rsidRDefault="00226DDB"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226DDB" w:rsidRPr="007E435C" w:rsidRDefault="00226DDB"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226DDB" w:rsidRPr="007E435C" w:rsidRDefault="00226DDB"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226DDB" w:rsidRPr="00EA6FCD" w:rsidRDefault="00226DDB"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226DDB" w:rsidRPr="00EA6FCD" w:rsidRDefault="00226DDB"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226DDB" w:rsidRPr="00EA6FCD" w:rsidRDefault="00226DDB"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226DDB" w:rsidRPr="00EA6FCD" w:rsidRDefault="00226DDB"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226DDB" w:rsidRPr="00EA6FCD" w:rsidRDefault="00226DDB"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226DDB" w:rsidRPr="00EA6FCD" w:rsidRDefault="00226DDB"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216;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226DDB" w:rsidRPr="00EA6FCD" w:rsidRDefault="00226DDB"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226DDB" w:rsidRPr="00EA6FCD" w:rsidRDefault="00226DDB"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226DDB" w:rsidRPr="00EA6FCD" w:rsidRDefault="00226DDB"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226DDB" w:rsidRPr="00EA6FCD" w:rsidRDefault="00226DDB"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226DDB" w:rsidRPr="00EA6FCD" w:rsidRDefault="00226DDB"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226DDB" w:rsidRPr="007E435C" w:rsidRDefault="00226DDB"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226DDB" w:rsidRPr="007E435C" w:rsidRDefault="00226DDB"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226DDB" w:rsidRPr="007E435C" w:rsidRDefault="00226DDB"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226DDB" w:rsidRPr="00EA6FCD" w:rsidRDefault="00226DDB"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226DDB" w:rsidRPr="00EA6FCD" w:rsidRDefault="00226DDB"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226DDB" w:rsidRPr="00EA6FCD" w:rsidRDefault="00226DDB"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226DDB" w:rsidRPr="00EA6FCD" w:rsidRDefault="00226DDB"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226DDB" w:rsidRPr="00EA6FCD" w:rsidRDefault="00226DDB"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226DDB" w:rsidRPr="00EA6FCD" w:rsidRDefault="00226DDB"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217811">
      <w:pPr>
        <w:spacing w:beforeLines="50" w:before="163"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8" w:name="_Toc270633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19" w:name="_Toc270633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19"/>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0" w:name="_Toc270633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0"/>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7F94820A"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5D465E">
              <w:rPr>
                <w:noProof/>
              </w:rPr>
              <w:t>2</w:t>
            </w:r>
            <w:r>
              <w:fldChar w:fldCharType="end"/>
            </w:r>
            <w:r>
              <w:t xml:space="preserve">  </w:t>
            </w:r>
            <w:r>
              <w:rPr>
                <w:rFonts w:hint="eastAsia"/>
              </w:rPr>
              <w:t>我国气候带及熟制划分</w:t>
            </w:r>
          </w:p>
          <w:p w14:paraId="0B1F6B35" w14:textId="77777777" w:rsidR="00FF1A85"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p w14:paraId="119D2D06" w14:textId="58994601" w:rsidR="009E6473" w:rsidRPr="005722A7" w:rsidRDefault="009E6473" w:rsidP="005F07C9">
            <w:pPr>
              <w:spacing w:afterLines="100" w:after="326" w:line="400" w:lineRule="exact"/>
              <w:ind w:firstLine="420"/>
              <w:jc w:val="center"/>
              <w:rPr>
                <w:rFonts w:ascii="Times New Roman" w:hAnsi="Times New Roman" w:cs="Times New Roman"/>
                <w:sz w:val="18"/>
                <w:szCs w:val="18"/>
              </w:rPr>
            </w:pP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1" w:name="_Toc2706334"/>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1"/>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w:t>
      </w:r>
      <w:r w:rsidR="007904B4" w:rsidRPr="00AF35D8">
        <w:rPr>
          <w:rFonts w:ascii="Times New Roman" w:hAnsi="Times New Roman" w:cs="Times New Roman" w:hint="eastAsia"/>
          <w:sz w:val="24"/>
          <w:szCs w:val="24"/>
        </w:rPr>
        <w:lastRenderedPageBreak/>
        <w:t>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lastRenderedPageBreak/>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w:t>
      </w:r>
      <w:r w:rsidR="00E30B88" w:rsidRPr="00AF35D8">
        <w:rPr>
          <w:rFonts w:ascii="Times New Roman" w:hAnsi="Times New Roman" w:cs="Times New Roman" w:hint="eastAsia"/>
          <w:sz w:val="24"/>
          <w:szCs w:val="24"/>
        </w:rPr>
        <w:lastRenderedPageBreak/>
        <w:t>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w:t>
      </w:r>
      <w:r w:rsidR="00D6552E" w:rsidRPr="00AF35D8">
        <w:rPr>
          <w:rFonts w:ascii="Times New Roman" w:hAnsi="Times New Roman" w:cs="Times New Roman"/>
          <w:sz w:val="24"/>
          <w:szCs w:val="24"/>
        </w:rPr>
        <w:lastRenderedPageBreak/>
        <w:t>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bookmarkStart w:id="22" w:name="_Toc2706333"/>
      <w:bookmarkStart w:id="23" w:name="_Toc2706335"/>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bookmarkEnd w:id="22"/>
      <w:r>
        <w:rPr>
          <w:rFonts w:ascii="Times New Roman" w:eastAsia="黑体" w:hAnsi="Times New Roman" w:cs="Times New Roman" w:hint="eastAsia"/>
          <w:sz w:val="28"/>
          <w:szCs w:val="28"/>
        </w:rPr>
        <w:t>理论基础</w:t>
      </w:r>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w:t>
      </w:r>
      <w:r>
        <w:rPr>
          <w:rFonts w:ascii="Times New Roman" w:hAnsi="Times New Roman" w:cs="Times New Roman" w:hint="eastAsia"/>
          <w:sz w:val="24"/>
          <w:szCs w:val="24"/>
        </w:rPr>
        <w:lastRenderedPageBreak/>
        <w:t>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bookmarkEnd w:id="23"/>
      <w:r w:rsidR="008654FD">
        <w:rPr>
          <w:rFonts w:ascii="Times New Roman" w:eastAsia="黑体" w:hAnsi="Times New Roman" w:cs="Times New Roman" w:hint="eastAsia"/>
          <w:sz w:val="28"/>
          <w:szCs w:val="28"/>
        </w:rPr>
        <w:t>小结</w:t>
      </w:r>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4"/>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4" w:name="_Toc270633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bookmarkEnd w:id="24"/>
      <w:r w:rsidR="00554333">
        <w:rPr>
          <w:rFonts w:eastAsia="黑体" w:hint="eastAsia"/>
          <w:sz w:val="32"/>
          <w:szCs w:val="32"/>
        </w:rPr>
        <w:t>研究方案与数据</w:t>
      </w:r>
      <w:r w:rsidR="00FC4A77">
        <w:rPr>
          <w:rFonts w:eastAsia="黑体" w:hint="eastAsia"/>
          <w:sz w:val="32"/>
          <w:szCs w:val="32"/>
        </w:rPr>
        <w:t>描述</w:t>
      </w:r>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484EA293"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样本区域粮食种植基本情况</w:t>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5" w:name="_Toc270633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bookmarkEnd w:id="25"/>
      <w:r w:rsidR="000F331E">
        <w:rPr>
          <w:rFonts w:ascii="Times New Roman" w:eastAsia="黑体" w:hAnsi="Times New Roman" w:cs="Times New Roman" w:hint="eastAsia"/>
          <w:sz w:val="28"/>
          <w:szCs w:val="28"/>
        </w:rPr>
        <w:t>基本特征描述</w:t>
      </w:r>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5"/>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226DDB" w:rsidRPr="006B2738" w:rsidRDefault="00226DDB"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226DDB"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r>
                            <w:tr w:rsidR="00226DDB"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r>
                            <w:tr w:rsidR="00226DDB"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226DDB"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226DDB" w:rsidRPr="008A1DDD" w:rsidRDefault="00226DDB"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226DDB" w:rsidRPr="008A1DDD" w:rsidRDefault="00226DDB" w:rsidP="008D5D41">
                                  <w:pPr>
                                    <w:spacing w:after="0" w:line="240" w:lineRule="auto"/>
                                    <w:rPr>
                                      <w:rFonts w:ascii="Times New Roman" w:eastAsia="宋体" w:hAnsi="Times New Roman" w:cs="Times New Roman"/>
                                      <w:b/>
                                      <w:color w:val="000000"/>
                                      <w:sz w:val="21"/>
                                      <w:szCs w:val="21"/>
                                    </w:rPr>
                                  </w:pPr>
                                </w:p>
                              </w:tc>
                            </w:tr>
                            <w:tr w:rsidR="00226DDB"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226DDB" w:rsidRPr="008A1DDD" w:rsidRDefault="00226DDB"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226DDB" w:rsidRDefault="00226DDB"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226DDB" w:rsidRPr="006B2738" w:rsidRDefault="00226DDB"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226DDB"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r>
                      <w:tr w:rsidR="00226DDB"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r>
                      <w:tr w:rsidR="00226DDB"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r>
                      <w:tr w:rsidR="00226DDB"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226DDB"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226DDB" w:rsidRPr="008A1DDD" w:rsidRDefault="00226DDB"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226DDB" w:rsidRPr="008A1DDD" w:rsidRDefault="00226DDB"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226DDB" w:rsidRPr="008A1DDD" w:rsidRDefault="00226DDB"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226DDB"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226DDB" w:rsidRPr="008A1DDD" w:rsidRDefault="00226DDB"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226DDB" w:rsidRPr="008A1DDD" w:rsidRDefault="00226DDB"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226DDB" w:rsidRPr="008A1DDD" w:rsidRDefault="00226DDB" w:rsidP="008D5D41">
                            <w:pPr>
                              <w:spacing w:after="0" w:line="240" w:lineRule="auto"/>
                              <w:rPr>
                                <w:rFonts w:ascii="Times New Roman" w:eastAsia="宋体" w:hAnsi="Times New Roman" w:cs="Times New Roman"/>
                                <w:b/>
                                <w:color w:val="000000"/>
                                <w:sz w:val="21"/>
                                <w:szCs w:val="21"/>
                              </w:rPr>
                            </w:pPr>
                          </w:p>
                        </w:tc>
                      </w:tr>
                      <w:tr w:rsidR="00226DDB"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226DDB" w:rsidRPr="008A1DDD" w:rsidRDefault="00226DDB"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226DDB" w:rsidRDefault="00226DDB"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6"/>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2608"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226DDB" w:rsidRPr="008323E8" w:rsidRDefault="00226DDB"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226DDB"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226DDB" w:rsidRPr="00F03DE6" w:rsidRDefault="00226DDB"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r>
                            <w:tr w:rsidR="00226DDB"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226DDB" w:rsidRPr="00F03DE6" w:rsidRDefault="00226DDB"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r>
                            <w:tr w:rsidR="00226DDB"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226DDB" w:rsidRPr="00F03DE6" w:rsidRDefault="00226DDB"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226DDB" w:rsidRPr="00F03DE6" w:rsidRDefault="00226DDB"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226DDB" w:rsidRPr="00F03DE6" w:rsidRDefault="00226DDB"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226DDB" w:rsidRPr="00F03DE6" w:rsidRDefault="00226DDB"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226DDB" w:rsidRPr="00F03DE6" w:rsidRDefault="00226DDB"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226DDB" w:rsidRPr="00F03DE6" w:rsidRDefault="00226DDB"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226DDB" w:rsidRPr="00F03DE6" w:rsidRDefault="00226DDB"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p>
                              </w:tc>
                            </w:tr>
                            <w:tr w:rsidR="00226DDB"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226DDB" w:rsidRPr="00F03DE6" w:rsidRDefault="00226DDB"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226DDB" w:rsidRDefault="00226DDB"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226DDB" w:rsidRPr="008323E8" w:rsidRDefault="00226DDB"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226DDB"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226DDB" w:rsidRPr="00F03DE6" w:rsidRDefault="00226DDB"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r>
                      <w:tr w:rsidR="00226DDB"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226DDB" w:rsidRPr="00F03DE6" w:rsidRDefault="00226DDB"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226DDB" w:rsidRPr="00F03DE6" w:rsidRDefault="00226DDB" w:rsidP="006B2738">
                            <w:pPr>
                              <w:spacing w:after="0" w:line="240" w:lineRule="auto"/>
                              <w:jc w:val="center"/>
                              <w:rPr>
                                <w:rFonts w:ascii="Times New Roman" w:eastAsia="宋体" w:hAnsi="Times New Roman" w:cs="Times New Roman"/>
                                <w:b/>
                                <w:color w:val="000000"/>
                                <w:sz w:val="21"/>
                                <w:szCs w:val="21"/>
                              </w:rPr>
                            </w:pPr>
                          </w:p>
                        </w:tc>
                      </w:tr>
                      <w:tr w:rsidR="00226DDB"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226DDB" w:rsidRPr="00F03DE6" w:rsidRDefault="00226DDB"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226DDB" w:rsidRPr="00F03DE6" w:rsidRDefault="00226DDB"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226DDB" w:rsidRPr="00F03DE6" w:rsidRDefault="00226DDB" w:rsidP="006B2738">
                            <w:pPr>
                              <w:spacing w:after="0" w:line="240" w:lineRule="auto"/>
                              <w:jc w:val="center"/>
                              <w:rPr>
                                <w:rFonts w:ascii="Times New Roman" w:eastAsia="宋体" w:hAnsi="Times New Roman" w:cs="Times New Roman"/>
                                <w:color w:val="000000"/>
                                <w:sz w:val="21"/>
                                <w:szCs w:val="21"/>
                              </w:rPr>
                            </w:pPr>
                          </w:p>
                        </w:tc>
                      </w:tr>
                      <w:tr w:rsidR="00226DDB"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226DDB" w:rsidRPr="00F03DE6" w:rsidRDefault="00226DDB"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226DDB" w:rsidRPr="00F03DE6" w:rsidRDefault="00226DDB"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226DDB" w:rsidRPr="00F03DE6" w:rsidRDefault="00226DDB"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226DDB" w:rsidRPr="00F03DE6" w:rsidRDefault="00226DDB"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226DDB" w:rsidRPr="00F03DE6" w:rsidRDefault="00226DDB"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226DDB" w:rsidRPr="00F03DE6" w:rsidRDefault="00226DDB"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226DDB"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226DDB" w:rsidRPr="00F03DE6" w:rsidRDefault="00226DDB"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226DDB" w:rsidRPr="00F03DE6" w:rsidRDefault="00226DDB"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226DDB" w:rsidRPr="00F03DE6" w:rsidRDefault="00226DDB"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226DDB" w:rsidRPr="00F03DE6" w:rsidRDefault="00226DDB" w:rsidP="00D773D1">
                            <w:pPr>
                              <w:spacing w:after="0" w:line="240" w:lineRule="auto"/>
                              <w:jc w:val="center"/>
                              <w:rPr>
                                <w:rFonts w:ascii="Times New Roman" w:eastAsia="宋体" w:hAnsi="Times New Roman" w:cs="Times New Roman"/>
                                <w:b/>
                                <w:color w:val="000000"/>
                                <w:sz w:val="21"/>
                                <w:szCs w:val="21"/>
                              </w:rPr>
                            </w:pPr>
                          </w:p>
                        </w:tc>
                      </w:tr>
                      <w:tr w:rsidR="00226DDB"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226DDB" w:rsidRPr="00F03DE6" w:rsidRDefault="00226DDB"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226DDB" w:rsidRDefault="00226DDB"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bookmarkStart w:id="26" w:name="_Toc2706340"/>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7"/>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226DDB" w:rsidRPr="00563044" w:rsidRDefault="00226DDB" w:rsidP="00742017">
                            <w:pPr>
                              <w:spacing w:beforeLines="100" w:before="326" w:after="0" w:line="240" w:lineRule="auto"/>
                              <w:jc w:val="center"/>
                              <w:rPr>
                                <w:rFonts w:ascii="Times New Roman" w:eastAsia="黑体" w:hAnsi="Times New Roman" w:cs="Times New Roman"/>
                                <w:bCs/>
                                <w:color w:val="000000"/>
                                <w:sz w:val="21"/>
                                <w:szCs w:val="21"/>
                              </w:rPr>
                            </w:pPr>
                            <w:bookmarkStart w:id="27"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7"/>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226DDB"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r>
                            <w:tr w:rsidR="00226DDB"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r>
                            <w:tr w:rsidR="00226DDB"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226DDB" w:rsidRPr="00F03DE6" w:rsidRDefault="00226DDB"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226DDB" w:rsidRPr="00F03DE6" w:rsidRDefault="00226DDB"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r>
                            <w:tr w:rsidR="00226DDB"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226DDB" w:rsidRPr="00F03DE6" w:rsidRDefault="00226DDB"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226DDB" w:rsidRDefault="00226DDB" w:rsidP="00742017">
                            <w:pPr>
                              <w:spacing w:after="0" w:line="240" w:lineRule="auto"/>
                              <w:ind w:firstLine="440"/>
                              <w:jc w:val="center"/>
                            </w:pPr>
                          </w:p>
                          <w:p w14:paraId="36026842" w14:textId="77777777" w:rsidR="00226DDB" w:rsidRDefault="00226DDB"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6028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226DDB" w:rsidRPr="00563044" w:rsidRDefault="00226DDB" w:rsidP="00742017">
                      <w:pPr>
                        <w:spacing w:beforeLines="100" w:before="326" w:after="0" w:line="240" w:lineRule="auto"/>
                        <w:jc w:val="center"/>
                        <w:rPr>
                          <w:rFonts w:ascii="Times New Roman" w:eastAsia="黑体" w:hAnsi="Times New Roman" w:cs="Times New Roman"/>
                          <w:bCs/>
                          <w:color w:val="000000"/>
                          <w:sz w:val="21"/>
                          <w:szCs w:val="21"/>
                        </w:rPr>
                      </w:pPr>
                      <w:bookmarkStart w:id="2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226DDB"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r>
                      <w:tr w:rsidR="00226DDB"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r>
                      <w:tr w:rsidR="00226DDB"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226DDB" w:rsidRPr="00F03DE6" w:rsidRDefault="00226DDB"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226DDB" w:rsidRPr="00F03DE6" w:rsidRDefault="00226DDB"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226DDB" w:rsidRPr="00F03DE6" w:rsidRDefault="00226DDB" w:rsidP="00606608">
                            <w:pPr>
                              <w:spacing w:after="0" w:line="240" w:lineRule="auto"/>
                              <w:jc w:val="center"/>
                              <w:rPr>
                                <w:rFonts w:ascii="Times New Roman" w:eastAsia="宋体" w:hAnsi="Times New Roman" w:cs="Times New Roman"/>
                                <w:color w:val="000000"/>
                                <w:sz w:val="21"/>
                                <w:szCs w:val="21"/>
                              </w:rPr>
                            </w:pPr>
                          </w:p>
                        </w:tc>
                      </w:tr>
                      <w:tr w:rsidR="00226DDB"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226DDB" w:rsidRPr="00F03DE6" w:rsidRDefault="00226DDB"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226DDB" w:rsidRPr="00F03DE6" w:rsidRDefault="00226DDB"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p>
                        </w:tc>
                      </w:tr>
                      <w:tr w:rsidR="00226DDB"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226DDB" w:rsidRPr="00F03DE6" w:rsidRDefault="00226DDB"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226DDB" w:rsidRDefault="00226DDB" w:rsidP="00742017">
                      <w:pPr>
                        <w:spacing w:after="0" w:line="240" w:lineRule="auto"/>
                        <w:ind w:firstLine="440"/>
                        <w:jc w:val="center"/>
                      </w:pPr>
                    </w:p>
                    <w:p w14:paraId="36026842" w14:textId="77777777" w:rsidR="00226DDB" w:rsidRDefault="00226DDB"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226DDB" w:rsidRPr="008323E8" w:rsidRDefault="00226DDB"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226DDB"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226DDB" w:rsidRPr="00F03DE6" w:rsidRDefault="00226DDB"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r>
                            <w:tr w:rsidR="00226DDB"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226DDB" w:rsidRPr="00F03DE6" w:rsidRDefault="00226DDB"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226DDB" w:rsidRPr="00F03DE6" w:rsidRDefault="00226DDB"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r>
                            <w:tr w:rsidR="00226DDB"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226DDB" w:rsidRPr="00F03DE6" w:rsidRDefault="00226DDB"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226DDB" w:rsidRPr="00F03DE6" w:rsidRDefault="00226DDB"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226DDB" w:rsidRPr="00F03DE6" w:rsidRDefault="00226DDB"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226DDB" w:rsidRPr="00F03DE6" w:rsidRDefault="00226DDB"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226DDB" w:rsidRPr="00F03DE6" w:rsidRDefault="00226DDB" w:rsidP="002B3AC1">
                                  <w:pPr>
                                    <w:spacing w:after="0" w:line="240" w:lineRule="auto"/>
                                    <w:jc w:val="center"/>
                                    <w:rPr>
                                      <w:rFonts w:ascii="Times New Roman" w:eastAsia="宋体" w:hAnsi="Times New Roman" w:cs="Times New Roman"/>
                                      <w:color w:val="000000"/>
                                      <w:sz w:val="21"/>
                                      <w:szCs w:val="21"/>
                                    </w:rPr>
                                  </w:pPr>
                                </w:p>
                              </w:tc>
                            </w:tr>
                            <w:tr w:rsidR="00226DDB"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226DDB" w:rsidRPr="00F03DE6" w:rsidRDefault="00226DDB"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226DDB" w:rsidRPr="00F03DE6" w:rsidRDefault="00226DDB"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p>
                              </w:tc>
                            </w:tr>
                            <w:tr w:rsidR="00226DDB"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226DDB" w:rsidRPr="00F03DE6" w:rsidRDefault="00226DDB"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226DDB" w:rsidRDefault="00226DDB" w:rsidP="00742017">
                            <w:pPr>
                              <w:spacing w:after="83"/>
                            </w:pPr>
                          </w:p>
                          <w:p w14:paraId="3CB6C53C" w14:textId="77777777" w:rsidR="00226DDB" w:rsidRDefault="00226DDB"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226DDB" w:rsidRPr="008323E8" w:rsidRDefault="00226DDB"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226DDB"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226DDB" w:rsidRPr="00F03DE6" w:rsidRDefault="00226DDB"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226DDB" w:rsidRPr="00F03DE6" w:rsidRDefault="00226DDB"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r>
                      <w:tr w:rsidR="00226DDB"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226DDB" w:rsidRPr="00F03DE6" w:rsidRDefault="00226DDB"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226DDB" w:rsidRPr="00F03DE6" w:rsidRDefault="00226DDB"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226DDB" w:rsidRPr="00F03DE6" w:rsidRDefault="00226DDB" w:rsidP="00E851F4">
                            <w:pPr>
                              <w:spacing w:after="0" w:line="240" w:lineRule="auto"/>
                              <w:jc w:val="center"/>
                              <w:rPr>
                                <w:rFonts w:ascii="Times New Roman" w:eastAsia="宋体" w:hAnsi="Times New Roman" w:cs="Times New Roman"/>
                                <w:b/>
                                <w:color w:val="000000"/>
                                <w:sz w:val="21"/>
                                <w:szCs w:val="21"/>
                              </w:rPr>
                            </w:pPr>
                          </w:p>
                        </w:tc>
                      </w:tr>
                      <w:tr w:rsidR="00226DDB"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226DDB"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226DDB" w:rsidRPr="00F03DE6" w:rsidRDefault="00226DDB"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226DDB" w:rsidRPr="00F03DE6" w:rsidRDefault="00226DDB"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226DDB" w:rsidRPr="00F03DE6" w:rsidRDefault="00226DDB"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226DDB" w:rsidRPr="00F03DE6" w:rsidRDefault="00226DDB" w:rsidP="00E851F4">
                            <w:pPr>
                              <w:spacing w:after="0" w:line="240" w:lineRule="auto"/>
                              <w:jc w:val="center"/>
                              <w:rPr>
                                <w:rFonts w:ascii="Times New Roman" w:eastAsia="宋体" w:hAnsi="Times New Roman" w:cs="Times New Roman"/>
                                <w:color w:val="000000"/>
                                <w:sz w:val="21"/>
                                <w:szCs w:val="21"/>
                              </w:rPr>
                            </w:pPr>
                          </w:p>
                        </w:tc>
                      </w:tr>
                      <w:tr w:rsidR="00226DDB"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226DDB" w:rsidRPr="00F03DE6" w:rsidRDefault="00226DDB"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226DDB" w:rsidRPr="00F03DE6" w:rsidRDefault="00226DDB"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226DDB" w:rsidRPr="00F03DE6" w:rsidRDefault="00226DDB"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226DDB" w:rsidRPr="00F03DE6" w:rsidRDefault="00226DDB"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226DDB" w:rsidRPr="00F03DE6" w:rsidRDefault="00226DDB"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226DDB" w:rsidRPr="00F03DE6" w:rsidRDefault="00226DDB"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226DDB" w:rsidRPr="00F03DE6" w:rsidRDefault="00226DDB" w:rsidP="002B3AC1">
                            <w:pPr>
                              <w:spacing w:after="0" w:line="240" w:lineRule="auto"/>
                              <w:jc w:val="center"/>
                              <w:rPr>
                                <w:rFonts w:ascii="Times New Roman" w:eastAsia="宋体" w:hAnsi="Times New Roman" w:cs="Times New Roman"/>
                                <w:color w:val="000000"/>
                                <w:sz w:val="21"/>
                                <w:szCs w:val="21"/>
                              </w:rPr>
                            </w:pPr>
                          </w:p>
                        </w:tc>
                      </w:tr>
                      <w:tr w:rsidR="00226DDB"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226DDB" w:rsidRPr="00F03DE6" w:rsidRDefault="00226DDB"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226DDB" w:rsidRPr="00F03DE6" w:rsidRDefault="00226DDB"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226DDB" w:rsidRPr="00F03DE6" w:rsidRDefault="00226DDB" w:rsidP="002B3AC1">
                            <w:pPr>
                              <w:spacing w:after="0" w:line="240" w:lineRule="auto"/>
                              <w:jc w:val="center"/>
                              <w:rPr>
                                <w:rFonts w:ascii="Times New Roman" w:eastAsia="宋体" w:hAnsi="Times New Roman" w:cs="Times New Roman"/>
                                <w:b/>
                                <w:color w:val="000000"/>
                                <w:sz w:val="21"/>
                                <w:szCs w:val="21"/>
                              </w:rPr>
                            </w:pPr>
                          </w:p>
                        </w:tc>
                      </w:tr>
                      <w:tr w:rsidR="00226DDB"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226DDB" w:rsidRPr="00F03DE6" w:rsidRDefault="00226DDB"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226DDB" w:rsidRDefault="00226DDB" w:rsidP="00742017">
                      <w:pPr>
                        <w:spacing w:after="83"/>
                      </w:pPr>
                    </w:p>
                    <w:p w14:paraId="3CB6C53C" w14:textId="77777777" w:rsidR="00226DDB" w:rsidRDefault="00226DDB"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26"/>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2CC013D4" w:rsidR="0006633F" w:rsidRDefault="007E11B3" w:rsidP="006722DB">
      <w:pPr>
        <w:spacing w:beforeLines="100" w:before="326" w:afterLines="100" w:after="326" w:line="400" w:lineRule="exact"/>
        <w:jc w:val="center"/>
        <w:outlineLvl w:val="0"/>
        <w:rPr>
          <w:rFonts w:eastAsia="黑体"/>
          <w:sz w:val="32"/>
          <w:szCs w:val="32"/>
        </w:rPr>
      </w:pPr>
      <w:bookmarkStart w:id="29" w:name="_Toc270634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A63FDE">
        <w:rPr>
          <w:rFonts w:eastAsia="黑体" w:hint="eastAsia"/>
          <w:sz w:val="32"/>
          <w:szCs w:val="32"/>
        </w:rPr>
        <w:t>土地生产率</w:t>
      </w:r>
      <w:r w:rsidR="004C7804">
        <w:rPr>
          <w:rFonts w:eastAsia="黑体" w:hint="eastAsia"/>
          <w:sz w:val="32"/>
          <w:szCs w:val="32"/>
        </w:rPr>
        <w:t>与农地经营规模的实证</w:t>
      </w:r>
      <w:r w:rsidR="00BC65AB">
        <w:rPr>
          <w:rFonts w:eastAsia="黑体" w:hint="eastAsia"/>
          <w:sz w:val="32"/>
          <w:szCs w:val="32"/>
        </w:rPr>
        <w:t>分析</w:t>
      </w:r>
      <w:bookmarkEnd w:id="29"/>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0" w:name="_Toc2706338"/>
      <w:bookmarkStart w:id="31" w:name="_Toc270634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B55D39">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656"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226DDB" w:rsidRPr="006A1885" w:rsidRDefault="00226DDB"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226DDB" w:rsidRPr="006A1885" w:rsidRDefault="00226DDB"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226DDB" w:rsidRPr="006A1885" w:rsidRDefault="00226DDB"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226DDB" w:rsidRPr="006A1885" w:rsidRDefault="00226DDB"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226DDB" w:rsidRPr="006A1885" w:rsidRDefault="00226DDB"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4656"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226DDB" w:rsidRPr="006A1885" w:rsidRDefault="00226DDB"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226DDB" w:rsidRPr="006A1885" w:rsidRDefault="00226DDB"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226DDB" w:rsidRPr="006A1885" w:rsidRDefault="00226DDB"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226DDB" w:rsidRPr="006A1885" w:rsidRDefault="00226DDB"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226DDB" w:rsidRPr="006A1885" w:rsidRDefault="00226DDB"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0"/>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39"/>
          <w:headerReference w:type="default" r:id="rId40"/>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440DD392"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2" w:name="_Toc2706344"/>
      <w:bookmarkEnd w:id="31"/>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A63FDE">
        <w:rPr>
          <w:rFonts w:ascii="Times New Roman" w:eastAsia="黑体" w:hAnsi="Times New Roman" w:cs="Times New Roman" w:hint="eastAsia"/>
          <w:sz w:val="28"/>
          <w:szCs w:val="28"/>
        </w:rPr>
        <w:t>土地生产率</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2"/>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E5924A9" w14:textId="4DDCB3CA" w:rsidR="00344B4D" w:rsidRPr="00453F4F" w:rsidRDefault="00344B4D" w:rsidP="00344B4D">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344B4D">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344B4D">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66B576" w14:textId="485AF8F5" w:rsidR="00344B4D" w:rsidRPr="001F3625" w:rsidRDefault="00344B4D" w:rsidP="00344B4D">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0A5692F" w14:textId="0041B706" w:rsidR="00344B4D" w:rsidRDefault="00344B4D" w:rsidP="00344B4D">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Pr>
          <w:rFonts w:ascii="Times New Roman" w:hAnsi="Times New Roman" w:cs="Times New Roman"/>
          <w:b/>
          <w:sz w:val="24"/>
          <w:szCs w:val="24"/>
        </w:rPr>
        <w:br w:type="page"/>
      </w:r>
    </w:p>
    <w:p w14:paraId="04C0FC5B" w14:textId="6B2900A1" w:rsidR="00344B4D" w:rsidRPr="00EA6A2D" w:rsidRDefault="00344B4D" w:rsidP="00344B4D">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A141F55" w14:textId="57BBBC70"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C1F22CF"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bookmarkStart w:id="33" w:name="_Toc2706347"/>
      <w:bookmarkStart w:id="34" w:name="_Toc2706345"/>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72510DC" w14:textId="52AA6AA0" w:rsidR="00344B4D" w:rsidRPr="006B1678" w:rsidRDefault="00344B4D" w:rsidP="00344B4D">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344B4D">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1B69E9CD" w14:textId="5A283659"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9604D4">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研究结果的对比</w:t>
      </w:r>
    </w:p>
    <w:p w14:paraId="01D80606" w14:textId="528890FD" w:rsidR="008A7830" w:rsidRPr="00496323" w:rsidRDefault="0006404A" w:rsidP="005050E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w:t>
      </w:r>
      <w:r w:rsidR="005050EB">
        <w:rPr>
          <w:rFonts w:ascii="Times New Roman" w:hAnsi="Times New Roman" w:cs="Times New Roman" w:hint="eastAsia"/>
          <w:sz w:val="24"/>
          <w:szCs w:val="24"/>
        </w:rPr>
        <w:t>计算并对比</w:t>
      </w:r>
      <w:r w:rsidR="007D7B46">
        <w:rPr>
          <w:rFonts w:ascii="Times New Roman" w:hAnsi="Times New Roman" w:cs="Times New Roman" w:hint="eastAsia"/>
          <w:sz w:val="24"/>
          <w:szCs w:val="24"/>
        </w:rPr>
        <w:t>各自的</w:t>
      </w:r>
      <w:r>
        <w:rPr>
          <w:rFonts w:ascii="Times New Roman" w:hAnsi="Times New Roman" w:cs="Times New Roman" w:hint="eastAsia"/>
          <w:sz w:val="24"/>
          <w:szCs w:val="24"/>
        </w:rPr>
        <w:t>规模弹性</w:t>
      </w:r>
      <w:r w:rsidR="002923F9">
        <w:rPr>
          <w:rFonts w:ascii="Times New Roman" w:hAnsi="Times New Roman" w:cs="Times New Roman" w:hint="eastAsia"/>
          <w:sz w:val="24"/>
          <w:szCs w:val="24"/>
        </w:rPr>
        <w:t>，</w:t>
      </w:r>
      <w:r w:rsidR="002923F9">
        <w:rPr>
          <w:rFonts w:ascii="Times New Roman" w:hAnsi="Times New Roman" w:cs="Times New Roman"/>
          <w:sz w:val="24"/>
          <w:szCs w:val="24"/>
        </w:rPr>
        <w:t>发现</w:t>
      </w:r>
      <w:r w:rsidR="007D7B46">
        <w:rPr>
          <w:rFonts w:ascii="Times New Roman" w:hAnsi="Times New Roman" w:cs="Times New Roman" w:hint="eastAsia"/>
          <w:sz w:val="24"/>
          <w:szCs w:val="24"/>
        </w:rPr>
        <w:t>我们的</w:t>
      </w:r>
      <w:r w:rsidR="005050EB">
        <w:rPr>
          <w:rFonts w:ascii="Times New Roman" w:hAnsi="Times New Roman" w:cs="Times New Roman" w:hint="eastAsia"/>
          <w:sz w:val="24"/>
          <w:szCs w:val="24"/>
        </w:rPr>
        <w:t>共性与特性</w:t>
      </w:r>
      <w:r w:rsidR="002923F9">
        <w:rPr>
          <w:rFonts w:ascii="Times New Roman" w:hAnsi="Times New Roman" w:cs="Times New Roman" w:hint="eastAsia"/>
          <w:sz w:val="24"/>
          <w:szCs w:val="24"/>
        </w:rPr>
        <w:t>。</w:t>
      </w:r>
      <w:r w:rsidR="009F0687">
        <w:rPr>
          <w:rFonts w:ascii="Times New Roman" w:hAnsi="Times New Roman" w:cs="Times New Roman" w:hint="eastAsia"/>
          <w:sz w:val="24"/>
          <w:szCs w:val="24"/>
        </w:rPr>
        <w:t>本研究所得一熟玉米</w:t>
      </w:r>
      <w:r w:rsidR="00933D64">
        <w:rPr>
          <w:rFonts w:ascii="Times New Roman" w:hAnsi="Times New Roman" w:cs="Times New Roman" w:hint="eastAsia"/>
          <w:sz w:val="24"/>
          <w:szCs w:val="24"/>
        </w:rPr>
        <w:t>规模弹性不显著，</w:t>
      </w:r>
      <w:r w:rsidR="009F0687">
        <w:rPr>
          <w:rFonts w:ascii="Times New Roman" w:hAnsi="Times New Roman" w:cs="Times New Roman" w:hint="eastAsia"/>
          <w:sz w:val="24"/>
          <w:szCs w:val="24"/>
        </w:rPr>
        <w:t>两熟玉米产出弹性</w:t>
      </w:r>
      <w:r w:rsidR="00933D64">
        <w:rPr>
          <w:rFonts w:ascii="Times New Roman" w:hAnsi="Times New Roman" w:cs="Times New Roman" w:hint="eastAsia"/>
          <w:sz w:val="24"/>
          <w:szCs w:val="24"/>
        </w:rPr>
        <w:t>显著为正</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0</w:t>
      </w:r>
      <w:r w:rsidR="008176AD">
        <w:rPr>
          <w:rFonts w:ascii="Times New Roman" w:hAnsi="Times New Roman" w:cs="Times New Roman"/>
          <w:sz w:val="24"/>
          <w:szCs w:val="24"/>
        </w:rPr>
        <w:t>.034</w:t>
      </w:r>
      <w:r w:rsidR="008176AD">
        <w:rPr>
          <w:rFonts w:ascii="Times New Roman" w:hAnsi="Times New Roman" w:cs="Times New Roman" w:hint="eastAsia"/>
          <w:sz w:val="24"/>
          <w:szCs w:val="24"/>
        </w:rPr>
        <w:t>）</w:t>
      </w:r>
      <w:r w:rsidR="009F0687">
        <w:rPr>
          <w:rFonts w:ascii="Times New Roman" w:hAnsi="Times New Roman" w:cs="Times New Roman" w:hint="eastAsia"/>
          <w:sz w:val="24"/>
          <w:szCs w:val="24"/>
        </w:rPr>
        <w:t>，</w:t>
      </w:r>
      <w:r w:rsidR="00375A9A">
        <w:rPr>
          <w:rFonts w:ascii="Times New Roman" w:hAnsi="Times New Roman" w:cs="Times New Roman" w:hint="eastAsia"/>
          <w:sz w:val="24"/>
          <w:szCs w:val="24"/>
        </w:rPr>
        <w:t>与陈杰和苏群的研究结果为相似</w:t>
      </w:r>
      <w:r w:rsidR="00375A9A">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NE.Ref.{DAEDA35A-8896-4DBA-9818-5C8D146898FC}</w:instrText>
      </w:r>
      <w:r w:rsidR="00375A9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[31]</w:t>
      </w:r>
      <w:r w:rsidR="00375A9A">
        <w:rPr>
          <w:rFonts w:ascii="Times New Roman" w:hAnsi="Times New Roman" w:cs="Times New Roman"/>
          <w:sz w:val="24"/>
          <w:szCs w:val="24"/>
        </w:rPr>
        <w:fldChar w:fldCharType="end"/>
      </w:r>
      <w:r w:rsidR="00375A9A">
        <w:rPr>
          <w:rFonts w:ascii="Times New Roman" w:hAnsi="Times New Roman" w:cs="Times New Roman" w:hint="eastAsia"/>
          <w:sz w:val="24"/>
          <w:szCs w:val="24"/>
        </w:rPr>
        <w:t>，其他</w:t>
      </w:r>
      <w:r w:rsidR="009F0687">
        <w:rPr>
          <w:rFonts w:ascii="Times New Roman" w:hAnsi="Times New Roman" w:cs="Times New Roman" w:hint="eastAsia"/>
          <w:sz w:val="24"/>
          <w:szCs w:val="24"/>
        </w:rPr>
        <w:t>文献中</w:t>
      </w:r>
      <w:r w:rsidR="00375A9A">
        <w:rPr>
          <w:rFonts w:ascii="Times New Roman" w:hAnsi="Times New Roman" w:cs="Times New Roman" w:hint="eastAsia"/>
          <w:sz w:val="24"/>
          <w:szCs w:val="24"/>
        </w:rPr>
        <w:t>大多数</w:t>
      </w:r>
      <w:r w:rsidR="009F0687">
        <w:rPr>
          <w:rFonts w:ascii="Times New Roman" w:hAnsi="Times New Roman" w:cs="Times New Roman" w:hint="eastAsia"/>
          <w:sz w:val="24"/>
          <w:szCs w:val="24"/>
        </w:rPr>
        <w:t>玉米规模弹性均显著为负</w:t>
      </w:r>
      <w:r w:rsidR="00DE000E">
        <w:rPr>
          <w:rFonts w:ascii="Times New Roman" w:hAnsi="Times New Roman" w:cs="Times New Roman" w:hint="eastAsia"/>
          <w:sz w:val="24"/>
          <w:szCs w:val="24"/>
        </w:rPr>
        <w:t>，</w:t>
      </w:r>
      <w:r w:rsidR="00DE000E">
        <w:rPr>
          <w:rFonts w:ascii="Times New Roman" w:hAnsi="Times New Roman" w:cs="Times New Roman"/>
          <w:sz w:val="24"/>
          <w:szCs w:val="24"/>
        </w:rPr>
        <w:t>与</w:t>
      </w:r>
      <w:r w:rsidR="00DE000E">
        <w:rPr>
          <w:rFonts w:ascii="Times New Roman" w:hAnsi="Times New Roman" w:cs="Times New Roman" w:hint="eastAsia"/>
          <w:sz w:val="24"/>
          <w:szCs w:val="24"/>
        </w:rPr>
        <w:t>本文差别较大</w:t>
      </w:r>
      <w:r w:rsidR="00614D2C">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NE.Ref.{DCF270A3-1EE5-4518-B9F7-2AC4CF7812C2}</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54]</w:t>
      </w:r>
      <w:r w:rsidR="00614D2C">
        <w:rPr>
          <w:rFonts w:ascii="Times New Roman" w:hAnsi="Times New Roman" w:cs="Times New Roman"/>
          <w:sz w:val="24"/>
          <w:szCs w:val="24"/>
        </w:rPr>
        <w:fldChar w:fldCharType="end"/>
      </w:r>
      <w:r w:rsidR="009F0687">
        <w:rPr>
          <w:rFonts w:ascii="Times New Roman" w:hAnsi="Times New Roman" w:cs="Times New Roman" w:hint="eastAsia"/>
          <w:sz w:val="24"/>
          <w:szCs w:val="24"/>
        </w:rPr>
        <w:t>。</w:t>
      </w:r>
      <w:r w:rsidR="00DC2E98">
        <w:rPr>
          <w:rFonts w:ascii="Times New Roman" w:hAnsi="Times New Roman" w:cs="Times New Roman" w:hint="eastAsia"/>
          <w:sz w:val="24"/>
          <w:szCs w:val="24"/>
        </w:rPr>
        <w:t>两熟</w:t>
      </w:r>
      <w:r w:rsidR="008D4EE3">
        <w:rPr>
          <w:rFonts w:ascii="Times New Roman" w:hAnsi="Times New Roman" w:cs="Times New Roman" w:hint="eastAsia"/>
          <w:sz w:val="24"/>
          <w:szCs w:val="24"/>
        </w:rPr>
        <w:t>小麦规模弹性显著为负</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w:t>
      </w:r>
      <w:r w:rsidR="008176AD">
        <w:rPr>
          <w:rFonts w:ascii="Times New Roman" w:hAnsi="Times New Roman" w:cs="Times New Roman"/>
          <w:sz w:val="24"/>
          <w:szCs w:val="24"/>
        </w:rPr>
        <w:t>0.038</w:t>
      </w:r>
      <w:r w:rsidR="008176AD">
        <w:rPr>
          <w:rFonts w:ascii="Times New Roman" w:hAnsi="Times New Roman" w:cs="Times New Roman" w:hint="eastAsia"/>
          <w:sz w:val="24"/>
          <w:szCs w:val="24"/>
        </w:rPr>
        <w:t>）</w:t>
      </w:r>
      <w:r w:rsidR="008D4EE3">
        <w:rPr>
          <w:rFonts w:ascii="Times New Roman" w:hAnsi="Times New Roman" w:cs="Times New Roman" w:hint="eastAsia"/>
          <w:sz w:val="24"/>
          <w:szCs w:val="24"/>
        </w:rPr>
        <w:t>，</w:t>
      </w:r>
      <w:r w:rsidR="008D4EE3">
        <w:rPr>
          <w:rFonts w:ascii="Times New Roman" w:hAnsi="Times New Roman" w:cs="Times New Roman"/>
          <w:sz w:val="24"/>
          <w:szCs w:val="24"/>
        </w:rPr>
        <w:t>与</w:t>
      </w:r>
      <w:r w:rsidR="008D4EE3">
        <w:rPr>
          <w:rFonts w:ascii="Times New Roman" w:hAnsi="Times New Roman" w:cs="Times New Roman" w:hint="eastAsia"/>
          <w:sz w:val="24"/>
          <w:szCs w:val="24"/>
        </w:rPr>
        <w:t>程申</w:t>
      </w:r>
      <w:r w:rsidR="0016671E">
        <w:rPr>
          <w:rFonts w:ascii="Times New Roman" w:hAnsi="Times New Roman" w:cs="Times New Roman" w:hint="eastAsia"/>
          <w:sz w:val="24"/>
          <w:szCs w:val="24"/>
        </w:rPr>
        <w:t>研究所得非常接近</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NE.Ref.{9E76CB3A-61B8-402C-A68A-54FDCE5033A8}</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w:t>
      </w:r>
      <w:r w:rsidR="00062BEB">
        <w:rPr>
          <w:rFonts w:ascii="Times New Roman" w:hAnsi="Times New Roman" w:cs="Times New Roman"/>
          <w:sz w:val="24"/>
          <w:szCs w:val="24"/>
        </w:rPr>
        <w:fldChar w:fldCharType="end"/>
      </w:r>
      <w:r w:rsidR="0016671E">
        <w:rPr>
          <w:rFonts w:ascii="Times New Roman" w:hAnsi="Times New Roman" w:cs="Times New Roman" w:hint="eastAsia"/>
          <w:sz w:val="24"/>
          <w:szCs w:val="24"/>
        </w:rPr>
        <w:t>，</w:t>
      </w:r>
      <w:r w:rsidR="00DC2E98">
        <w:rPr>
          <w:rFonts w:ascii="Times New Roman" w:hAnsi="Times New Roman" w:cs="Times New Roman" w:hint="eastAsia"/>
          <w:sz w:val="24"/>
          <w:szCs w:val="24"/>
        </w:rPr>
        <w:t>且规模弹性都在</w:t>
      </w:r>
      <w:r w:rsidR="0016671E">
        <w:rPr>
          <w:rFonts w:ascii="Times New Roman" w:hAnsi="Times New Roman" w:cs="Times New Roman" w:hint="eastAsia"/>
          <w:sz w:val="24"/>
          <w:szCs w:val="24"/>
        </w:rPr>
        <w:t>-</w:t>
      </w:r>
      <w:r w:rsidR="0016671E">
        <w:rPr>
          <w:rFonts w:ascii="Times New Roman" w:hAnsi="Times New Roman" w:cs="Times New Roman"/>
          <w:sz w:val="24"/>
          <w:szCs w:val="24"/>
        </w:rPr>
        <w:t>0.03</w:t>
      </w:r>
      <w:r w:rsidR="0016671E">
        <w:rPr>
          <w:rFonts w:ascii="Times New Roman" w:hAnsi="Times New Roman" w:cs="Times New Roman" w:hint="eastAsia"/>
          <w:sz w:val="24"/>
          <w:szCs w:val="24"/>
        </w:rPr>
        <w:t>左右</w:t>
      </w:r>
      <w:r w:rsidR="005C5AC7">
        <w:rPr>
          <w:rFonts w:ascii="Times New Roman" w:hAnsi="Times New Roman" w:cs="Times New Roman" w:hint="eastAsia"/>
          <w:sz w:val="24"/>
          <w:szCs w:val="24"/>
        </w:rPr>
        <w:t>，</w:t>
      </w:r>
      <w:r w:rsidR="0010388B">
        <w:rPr>
          <w:rFonts w:ascii="Times New Roman" w:hAnsi="Times New Roman" w:cs="Times New Roman" w:hint="eastAsia"/>
          <w:sz w:val="24"/>
          <w:szCs w:val="24"/>
        </w:rPr>
        <w:t>其他</w:t>
      </w:r>
      <w:r w:rsidR="005C5AC7">
        <w:rPr>
          <w:rFonts w:ascii="Times New Roman" w:hAnsi="Times New Roman" w:cs="Times New Roman" w:hint="eastAsia"/>
          <w:sz w:val="24"/>
          <w:szCs w:val="24"/>
        </w:rPr>
        <w:t>研究</w:t>
      </w:r>
      <w:r w:rsidR="00D558FF">
        <w:rPr>
          <w:rFonts w:ascii="Times New Roman" w:hAnsi="Times New Roman" w:cs="Times New Roman" w:hint="eastAsia"/>
          <w:sz w:val="24"/>
          <w:szCs w:val="24"/>
        </w:rPr>
        <w:t>也</w:t>
      </w:r>
      <w:r w:rsidR="007B61E1">
        <w:rPr>
          <w:rFonts w:ascii="Times New Roman" w:hAnsi="Times New Roman" w:cs="Times New Roman" w:hint="eastAsia"/>
          <w:sz w:val="24"/>
          <w:szCs w:val="24"/>
        </w:rPr>
        <w:t>表明</w:t>
      </w:r>
      <w:r w:rsidR="005C5AC7">
        <w:rPr>
          <w:rFonts w:ascii="Times New Roman" w:hAnsi="Times New Roman" w:cs="Times New Roman" w:hint="eastAsia"/>
          <w:sz w:val="24"/>
          <w:szCs w:val="24"/>
        </w:rPr>
        <w:t>小麦规模弹性为负</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NE.Ref.{585FF503-0B1F-4283-B220-C33B317171CE}</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 57]</w:t>
      </w:r>
      <w:r w:rsidR="00614D2C">
        <w:rPr>
          <w:rFonts w:ascii="Times New Roman" w:hAnsi="Times New Roman" w:cs="Times New Roman"/>
          <w:sz w:val="24"/>
          <w:szCs w:val="24"/>
        </w:rPr>
        <w:fldChar w:fldCharType="end"/>
      </w:r>
      <w:r w:rsidR="005C5AC7">
        <w:rPr>
          <w:rFonts w:ascii="Times New Roman" w:hAnsi="Times New Roman" w:cs="Times New Roman" w:hint="eastAsia"/>
          <w:sz w:val="24"/>
          <w:szCs w:val="24"/>
        </w:rPr>
        <w:t>，</w:t>
      </w:r>
      <w:r w:rsidR="005C5AC7">
        <w:rPr>
          <w:rFonts w:ascii="Times New Roman" w:hAnsi="Times New Roman" w:cs="Times New Roman"/>
          <w:sz w:val="24"/>
          <w:szCs w:val="24"/>
        </w:rPr>
        <w:t>但</w:t>
      </w:r>
      <w:r w:rsidR="005C5AC7">
        <w:rPr>
          <w:rFonts w:ascii="Times New Roman" w:hAnsi="Times New Roman" w:cs="Times New Roman" w:hint="eastAsia"/>
          <w:sz w:val="24"/>
          <w:szCs w:val="24"/>
        </w:rPr>
        <w:t>具体</w:t>
      </w:r>
      <w:r w:rsidR="007B61E1">
        <w:rPr>
          <w:rFonts w:ascii="Times New Roman" w:hAnsi="Times New Roman" w:cs="Times New Roman" w:hint="eastAsia"/>
          <w:sz w:val="24"/>
          <w:szCs w:val="24"/>
        </w:rPr>
        <w:t>数值</w:t>
      </w:r>
      <w:r w:rsidR="005C5AC7">
        <w:rPr>
          <w:rFonts w:ascii="Times New Roman" w:hAnsi="Times New Roman" w:cs="Times New Roman" w:hint="eastAsia"/>
          <w:sz w:val="24"/>
          <w:szCs w:val="24"/>
        </w:rPr>
        <w:t>存在</w:t>
      </w:r>
      <w:r w:rsidR="00D558FF">
        <w:rPr>
          <w:rFonts w:ascii="Times New Roman" w:hAnsi="Times New Roman" w:cs="Times New Roman" w:hint="eastAsia"/>
          <w:sz w:val="24"/>
          <w:szCs w:val="24"/>
        </w:rPr>
        <w:t>较大</w:t>
      </w:r>
      <w:r w:rsidR="005C5AC7">
        <w:rPr>
          <w:rFonts w:ascii="Times New Roman" w:hAnsi="Times New Roman" w:cs="Times New Roman" w:hint="eastAsia"/>
          <w:sz w:val="24"/>
          <w:szCs w:val="24"/>
        </w:rPr>
        <w:t>差距。</w:t>
      </w:r>
      <w:r w:rsidR="00E21ED1">
        <w:rPr>
          <w:rFonts w:ascii="Times New Roman" w:hAnsi="Times New Roman" w:cs="Times New Roman" w:hint="eastAsia"/>
          <w:sz w:val="24"/>
          <w:szCs w:val="24"/>
        </w:rPr>
        <w:t>稻谷规模弹性显著为负</w:t>
      </w:r>
      <w:r w:rsidR="008176AD">
        <w:rPr>
          <w:rFonts w:ascii="Times New Roman" w:hAnsi="Times New Roman" w:cs="Times New Roman" w:hint="eastAsia"/>
          <w:sz w:val="24"/>
          <w:szCs w:val="24"/>
        </w:rPr>
        <w:t>（</w:t>
      </w:r>
      <w:r w:rsidR="008176AD">
        <w:rPr>
          <w:rFonts w:ascii="Times New Roman" w:hAnsi="Times New Roman" w:cs="Times New Roman"/>
          <w:sz w:val="24"/>
          <w:szCs w:val="24"/>
        </w:rPr>
        <w:t>-0.034</w:t>
      </w:r>
      <w:r w:rsidR="008176AD">
        <w:rPr>
          <w:rFonts w:ascii="Times New Roman" w:hAnsi="Times New Roman" w:cs="Times New Roman" w:hint="eastAsia"/>
          <w:sz w:val="24"/>
          <w:szCs w:val="24"/>
        </w:rPr>
        <w:t>）</w:t>
      </w:r>
      <w:r w:rsidR="00E21ED1">
        <w:rPr>
          <w:rFonts w:ascii="Times New Roman" w:hAnsi="Times New Roman" w:cs="Times New Roman" w:hint="eastAsia"/>
          <w:sz w:val="24"/>
          <w:szCs w:val="24"/>
        </w:rPr>
        <w:t>，</w:t>
      </w:r>
      <w:r w:rsidR="00D558FF">
        <w:rPr>
          <w:rFonts w:ascii="Times New Roman" w:hAnsi="Times New Roman" w:cs="Times New Roman" w:hint="eastAsia"/>
          <w:sz w:val="24"/>
          <w:szCs w:val="24"/>
        </w:rPr>
        <w:t>与当前文献大多数</w:t>
      </w:r>
      <w:r w:rsidR="00E21ED1">
        <w:rPr>
          <w:rFonts w:ascii="Times New Roman" w:hAnsi="Times New Roman" w:cs="Times New Roman" w:hint="eastAsia"/>
          <w:sz w:val="24"/>
          <w:szCs w:val="24"/>
        </w:rPr>
        <w:t>研究结果近似</w:t>
      </w:r>
      <w:r w:rsidR="00062BEB">
        <w:rPr>
          <w:rFonts w:ascii="Times New Roman" w:hAnsi="Times New Roman" w:cs="Times New Roman"/>
          <w:sz w:val="24"/>
          <w:szCs w:val="24"/>
        </w:rPr>
        <w:fldChar w:fldCharType="begin"/>
      </w:r>
      <w:r w:rsidR="00D558FF">
        <w:rPr>
          <w:rFonts w:ascii="Times New Roman" w:hAnsi="Times New Roman" w:cs="Times New Roman"/>
          <w:sz w:val="24"/>
          <w:szCs w:val="24"/>
        </w:rPr>
        <w:instrText xml:space="preserve"> ADDIN NE.Ref.{FACCEA23-20FB-4257-A2AF-141A46F431E5}</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28, 31]</w:t>
      </w:r>
      <w:r w:rsidR="00062BEB">
        <w:rPr>
          <w:rFonts w:ascii="Times New Roman" w:hAnsi="Times New Roman" w:cs="Times New Roman"/>
          <w:sz w:val="24"/>
          <w:szCs w:val="24"/>
        </w:rPr>
        <w:fldChar w:fldCharType="end"/>
      </w:r>
      <w:r w:rsidR="00E21ED1">
        <w:rPr>
          <w:rFonts w:ascii="Times New Roman" w:hAnsi="Times New Roman" w:cs="Times New Roman" w:hint="eastAsia"/>
          <w:sz w:val="24"/>
          <w:szCs w:val="24"/>
        </w:rPr>
        <w:t>，</w:t>
      </w:r>
      <w:r w:rsidR="00E21ED1">
        <w:rPr>
          <w:rFonts w:ascii="Times New Roman" w:hAnsi="Times New Roman" w:cs="Times New Roman"/>
          <w:sz w:val="24"/>
          <w:szCs w:val="24"/>
        </w:rPr>
        <w:t>与</w:t>
      </w:r>
      <w:r w:rsidR="0010388B">
        <w:rPr>
          <w:rFonts w:ascii="Times New Roman" w:hAnsi="Times New Roman" w:cs="Times New Roman" w:hint="eastAsia"/>
          <w:sz w:val="24"/>
          <w:szCs w:val="24"/>
        </w:rPr>
        <w:t>少数文献</w:t>
      </w:r>
      <w:r w:rsidR="00E21ED1">
        <w:rPr>
          <w:rFonts w:ascii="Times New Roman" w:hAnsi="Times New Roman" w:cs="Times New Roman" w:hint="eastAsia"/>
          <w:sz w:val="24"/>
          <w:szCs w:val="24"/>
        </w:rPr>
        <w:t>差异较大</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NE.Ref.{5612DBCE-FF2F-46E1-AA96-77A077223630}</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614D2C">
        <w:rPr>
          <w:rFonts w:ascii="Times New Roman" w:hAnsi="Times New Roman" w:cs="Times New Roman"/>
          <w:sz w:val="24"/>
          <w:szCs w:val="24"/>
        </w:rPr>
        <w:fldChar w:fldCharType="end"/>
      </w:r>
      <w:r w:rsidR="00A6383F">
        <w:rPr>
          <w:rFonts w:ascii="Times New Roman" w:hAnsi="Times New Roman" w:cs="Times New Roman" w:hint="eastAsia"/>
          <w:sz w:val="24"/>
          <w:szCs w:val="24"/>
        </w:rPr>
        <w:t>（</w:t>
      </w:r>
      <w:r w:rsidR="00A6383F">
        <w:rPr>
          <w:rFonts w:ascii="Times New Roman" w:hAnsi="Times New Roman" w:cs="Times New Roman"/>
          <w:sz w:val="24"/>
          <w:szCs w:val="24"/>
        </w:rPr>
        <w:t>表</w:t>
      </w:r>
      <w:r w:rsidR="00A6383F">
        <w:rPr>
          <w:rFonts w:ascii="Times New Roman" w:hAnsi="Times New Roman" w:cs="Times New Roman" w:hint="eastAsia"/>
          <w:sz w:val="24"/>
          <w:szCs w:val="24"/>
        </w:rPr>
        <w:t>4</w:t>
      </w:r>
      <w:r w:rsidR="00A6383F">
        <w:rPr>
          <w:rFonts w:ascii="Times New Roman" w:hAnsi="Times New Roman" w:cs="Times New Roman"/>
          <w:sz w:val="24"/>
          <w:szCs w:val="24"/>
        </w:rPr>
        <w:t>-5</w:t>
      </w:r>
      <w:r w:rsidR="00A6383F">
        <w:rPr>
          <w:rFonts w:ascii="Times New Roman" w:hAnsi="Times New Roman" w:cs="Times New Roman" w:hint="eastAsia"/>
          <w:sz w:val="24"/>
          <w:szCs w:val="24"/>
        </w:rPr>
        <w:t>）</w:t>
      </w:r>
      <w:r w:rsidR="00E21ED1">
        <w:rPr>
          <w:rFonts w:ascii="Times New Roman" w:hAnsi="Times New Roman" w:cs="Times New Roman" w:hint="eastAsia"/>
          <w:sz w:val="24"/>
          <w:szCs w:val="24"/>
        </w:rPr>
        <w:t>。</w:t>
      </w:r>
    </w:p>
    <w:p w14:paraId="5B98BE0C" w14:textId="15D4BDF4" w:rsidR="008A7830" w:rsidRPr="009F0687" w:rsidRDefault="009F0687" w:rsidP="00202467">
      <w:pPr>
        <w:spacing w:beforeLines="100" w:before="326"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sidR="002030E8">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A0260F" w:rsidRPr="00FE0F51" w14:paraId="003E991D" w14:textId="77777777" w:rsidTr="00A0260F">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47621C4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19E3DBFD"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557B269E"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70854D9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44FEA406"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77E751EB"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A0260F" w:rsidRPr="00FE0F51" w14:paraId="6E4BB5E0" w14:textId="77777777" w:rsidTr="00A0260F">
        <w:trPr>
          <w:trHeight w:val="340"/>
        </w:trPr>
        <w:tc>
          <w:tcPr>
            <w:tcW w:w="1886" w:type="dxa"/>
            <w:vMerge w:val="restart"/>
            <w:tcBorders>
              <w:top w:val="nil"/>
              <w:left w:val="nil"/>
              <w:bottom w:val="nil"/>
              <w:right w:val="nil"/>
            </w:tcBorders>
            <w:shd w:val="clear" w:color="auto" w:fill="auto"/>
            <w:hideMark/>
          </w:tcPr>
          <w:p w14:paraId="2B9332B9" w14:textId="77777777" w:rsidR="00A0260F" w:rsidRPr="00255B66"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438A4D90" w14:textId="77777777" w:rsidR="00A0260F"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490D9D34" w14:textId="239E3A44" w:rsidR="0059351E" w:rsidRPr="00255B66" w:rsidRDefault="0059351E"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A549DF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0B3E0BC4"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5626A8"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215EDA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A0260F" w:rsidRPr="00FE0F51" w14:paraId="3C05EBC1" w14:textId="77777777" w:rsidTr="00A0260F">
        <w:trPr>
          <w:trHeight w:val="340"/>
        </w:trPr>
        <w:tc>
          <w:tcPr>
            <w:tcW w:w="1886" w:type="dxa"/>
            <w:vMerge/>
            <w:tcBorders>
              <w:top w:val="nil"/>
              <w:left w:val="nil"/>
              <w:bottom w:val="nil"/>
              <w:right w:val="nil"/>
            </w:tcBorders>
            <w:vAlign w:val="center"/>
            <w:hideMark/>
          </w:tcPr>
          <w:p w14:paraId="698D3CC5"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A614F12"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22348E5"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EB04D7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C997527"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6300A3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A0260F" w:rsidRPr="00FE0F51" w14:paraId="1AC9B863" w14:textId="77777777" w:rsidTr="00A0260F">
        <w:trPr>
          <w:trHeight w:val="340"/>
        </w:trPr>
        <w:tc>
          <w:tcPr>
            <w:tcW w:w="1886" w:type="dxa"/>
            <w:vMerge w:val="restart"/>
            <w:tcBorders>
              <w:top w:val="nil"/>
              <w:left w:val="nil"/>
              <w:bottom w:val="nil"/>
              <w:right w:val="nil"/>
            </w:tcBorders>
            <w:shd w:val="clear" w:color="auto" w:fill="auto"/>
            <w:noWrap/>
            <w:hideMark/>
          </w:tcPr>
          <w:p w14:paraId="7C84A102"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0721C1C4" w14:textId="3D2ED4E2" w:rsidR="00255B66" w:rsidRPr="00255B66" w:rsidRDefault="00255B66" w:rsidP="007B736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007B736F">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5133D9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3E2F9FD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4136228"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36A95F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5B1BEA" w:rsidRPr="00FE0F51" w14:paraId="58C75683" w14:textId="77777777" w:rsidTr="00A0260F">
        <w:trPr>
          <w:trHeight w:val="340"/>
        </w:trPr>
        <w:tc>
          <w:tcPr>
            <w:tcW w:w="1886" w:type="dxa"/>
            <w:vMerge/>
            <w:tcBorders>
              <w:top w:val="nil"/>
              <w:left w:val="nil"/>
              <w:bottom w:val="nil"/>
              <w:right w:val="nil"/>
            </w:tcBorders>
            <w:vAlign w:val="center"/>
            <w:hideMark/>
          </w:tcPr>
          <w:p w14:paraId="47B37DB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BE9ACF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E9D6C6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5853874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7787D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462AE5A" w14:textId="35C721DA"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sidR="00FE0F51">
              <w:rPr>
                <w:rFonts w:ascii="Times New Roman" w:eastAsia="宋体" w:hAnsi="Times New Roman" w:cs="Times New Roman"/>
                <w:color w:val="000000"/>
                <w:sz w:val="21"/>
                <w:szCs w:val="21"/>
              </w:rPr>
              <w:t>0</w:t>
            </w:r>
          </w:p>
        </w:tc>
      </w:tr>
      <w:tr w:rsidR="005B1BEA" w:rsidRPr="00FE0F51" w14:paraId="6193CA04" w14:textId="77777777" w:rsidTr="00A0260F">
        <w:trPr>
          <w:trHeight w:val="340"/>
        </w:trPr>
        <w:tc>
          <w:tcPr>
            <w:tcW w:w="1886" w:type="dxa"/>
            <w:vMerge/>
            <w:tcBorders>
              <w:top w:val="nil"/>
              <w:left w:val="nil"/>
              <w:bottom w:val="nil"/>
              <w:right w:val="nil"/>
            </w:tcBorders>
            <w:vAlign w:val="center"/>
            <w:hideMark/>
          </w:tcPr>
          <w:p w14:paraId="724EB2AF"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29CE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EDB20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676A987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7F693C7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340A202"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5B1BEA" w:rsidRPr="00FE0F51" w14:paraId="4B94AB78" w14:textId="77777777" w:rsidTr="00A0260F">
        <w:trPr>
          <w:trHeight w:val="340"/>
        </w:trPr>
        <w:tc>
          <w:tcPr>
            <w:tcW w:w="1886" w:type="dxa"/>
            <w:vMerge w:val="restart"/>
            <w:tcBorders>
              <w:top w:val="nil"/>
              <w:left w:val="nil"/>
              <w:bottom w:val="nil"/>
              <w:right w:val="nil"/>
            </w:tcBorders>
            <w:shd w:val="clear" w:color="auto" w:fill="auto"/>
            <w:noWrap/>
            <w:hideMark/>
          </w:tcPr>
          <w:p w14:paraId="080AB2D2" w14:textId="77777777" w:rsidR="00667739"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3FB76A37" w14:textId="1046D29E"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7A7298C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5BA0C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B33924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7FE9DD"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A3B9A2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5B1BEA" w:rsidRPr="00FE0F51" w14:paraId="7BB7ADA2" w14:textId="77777777" w:rsidTr="00A0260F">
        <w:trPr>
          <w:trHeight w:val="340"/>
        </w:trPr>
        <w:tc>
          <w:tcPr>
            <w:tcW w:w="1886" w:type="dxa"/>
            <w:vMerge/>
            <w:tcBorders>
              <w:top w:val="nil"/>
              <w:left w:val="nil"/>
              <w:bottom w:val="nil"/>
              <w:right w:val="nil"/>
            </w:tcBorders>
            <w:vAlign w:val="center"/>
            <w:hideMark/>
          </w:tcPr>
          <w:p w14:paraId="2182FF6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398BC51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15CF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59B5775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1B15A32"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BDDEC1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5B1BEA" w:rsidRPr="00FE0F51" w14:paraId="0E7B4389" w14:textId="77777777" w:rsidTr="00A0260F">
        <w:trPr>
          <w:trHeight w:val="340"/>
        </w:trPr>
        <w:tc>
          <w:tcPr>
            <w:tcW w:w="1886" w:type="dxa"/>
            <w:vMerge/>
            <w:tcBorders>
              <w:top w:val="nil"/>
              <w:left w:val="nil"/>
              <w:bottom w:val="nil"/>
              <w:right w:val="nil"/>
            </w:tcBorders>
            <w:vAlign w:val="center"/>
            <w:hideMark/>
          </w:tcPr>
          <w:p w14:paraId="508D1A4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3634D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A96F4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1C1C800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68F520"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9078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714FBB9A" w14:textId="77777777" w:rsidTr="00A0260F">
        <w:trPr>
          <w:trHeight w:val="340"/>
        </w:trPr>
        <w:tc>
          <w:tcPr>
            <w:tcW w:w="1886" w:type="dxa"/>
            <w:tcBorders>
              <w:top w:val="nil"/>
              <w:left w:val="nil"/>
              <w:bottom w:val="nil"/>
              <w:right w:val="nil"/>
            </w:tcBorders>
            <w:shd w:val="clear" w:color="auto" w:fill="auto"/>
            <w:noWrap/>
            <w:hideMark/>
          </w:tcPr>
          <w:p w14:paraId="3C0D49A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4CEE9C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0EC336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307D507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284888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76455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5B1BEA" w:rsidRPr="00FE0F51" w14:paraId="350AB8E1" w14:textId="77777777" w:rsidTr="00A0260F">
        <w:trPr>
          <w:trHeight w:val="340"/>
        </w:trPr>
        <w:tc>
          <w:tcPr>
            <w:tcW w:w="1886" w:type="dxa"/>
            <w:tcBorders>
              <w:top w:val="nil"/>
              <w:left w:val="nil"/>
              <w:bottom w:val="nil"/>
              <w:right w:val="nil"/>
            </w:tcBorders>
            <w:shd w:val="clear" w:color="auto" w:fill="auto"/>
            <w:hideMark/>
          </w:tcPr>
          <w:p w14:paraId="0D1EA2C0"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6B5667FB" w14:textId="2C6C7690"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sidR="00FE0F51">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CDFE5E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4844B33"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245D3D8" w14:textId="56792E54"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00FE0F51">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0BDCEA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5B1BEA" w:rsidRPr="00FE0F51" w14:paraId="7CAD6D5C" w14:textId="77777777" w:rsidTr="00A0260F">
        <w:trPr>
          <w:trHeight w:val="340"/>
        </w:trPr>
        <w:tc>
          <w:tcPr>
            <w:tcW w:w="1886" w:type="dxa"/>
            <w:tcBorders>
              <w:top w:val="nil"/>
              <w:left w:val="nil"/>
              <w:bottom w:val="nil"/>
              <w:right w:val="nil"/>
            </w:tcBorders>
            <w:shd w:val="clear" w:color="auto" w:fill="auto"/>
            <w:noWrap/>
            <w:hideMark/>
          </w:tcPr>
          <w:p w14:paraId="1860C125"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王嫚嫚等（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52DE57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6C6E0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68E922B" w14:textId="6F3B9C3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268A329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EC4BDA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6383F" w:rsidRPr="00FE0F51" w14:paraId="2186D455" w14:textId="77777777" w:rsidTr="00A0260F">
        <w:trPr>
          <w:trHeight w:val="340"/>
        </w:trPr>
        <w:tc>
          <w:tcPr>
            <w:tcW w:w="1886" w:type="dxa"/>
            <w:vMerge w:val="restart"/>
            <w:tcBorders>
              <w:top w:val="nil"/>
              <w:left w:val="nil"/>
              <w:bottom w:val="nil"/>
              <w:right w:val="nil"/>
            </w:tcBorders>
            <w:shd w:val="clear" w:color="auto" w:fill="auto"/>
            <w:noWrap/>
            <w:hideMark/>
          </w:tcPr>
          <w:p w14:paraId="595F7A09"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ED983F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9A936C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BA78780" w14:textId="39F290F4"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506021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28BA00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4B14B8D0" w14:textId="77777777" w:rsidTr="00A0260F">
        <w:trPr>
          <w:trHeight w:val="340"/>
        </w:trPr>
        <w:tc>
          <w:tcPr>
            <w:tcW w:w="1886" w:type="dxa"/>
            <w:vMerge/>
            <w:tcBorders>
              <w:top w:val="nil"/>
              <w:left w:val="nil"/>
              <w:bottom w:val="nil"/>
              <w:right w:val="nil"/>
            </w:tcBorders>
            <w:vAlign w:val="center"/>
            <w:hideMark/>
          </w:tcPr>
          <w:p w14:paraId="4C8C85AA"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5F09AD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A71A4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4AFF838" w14:textId="6B04F82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DD2403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5F6E0A3" w14:textId="02483B49"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A0260F" w:rsidRPr="00FE0F51" w14:paraId="31F3F912" w14:textId="77777777" w:rsidTr="00A0260F">
        <w:trPr>
          <w:trHeight w:val="340"/>
        </w:trPr>
        <w:tc>
          <w:tcPr>
            <w:tcW w:w="1886" w:type="dxa"/>
            <w:vMerge/>
            <w:tcBorders>
              <w:top w:val="nil"/>
              <w:left w:val="nil"/>
              <w:right w:val="nil"/>
            </w:tcBorders>
            <w:vAlign w:val="center"/>
            <w:hideMark/>
          </w:tcPr>
          <w:p w14:paraId="7502D71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090314F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5647AF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17147553" w14:textId="0441A73A"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06E5A9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33A73DA0" w14:textId="702E1FA1"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5B1BEA" w:rsidRPr="00FE0F51" w14:paraId="7967A1EE" w14:textId="77777777" w:rsidTr="00A0260F">
        <w:trPr>
          <w:trHeight w:val="340"/>
        </w:trPr>
        <w:tc>
          <w:tcPr>
            <w:tcW w:w="1886" w:type="dxa"/>
            <w:vMerge w:val="restart"/>
            <w:tcBorders>
              <w:top w:val="nil"/>
              <w:left w:val="nil"/>
              <w:bottom w:val="single" w:sz="12" w:space="0" w:color="000000"/>
              <w:right w:val="nil"/>
            </w:tcBorders>
            <w:shd w:val="clear" w:color="auto" w:fill="auto"/>
            <w:noWrap/>
            <w:hideMark/>
          </w:tcPr>
          <w:p w14:paraId="549A4313"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D0C08EB"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1BEF11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6534EC41" w14:textId="772424B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3A586A1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CEA73C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5B1BEA" w:rsidRPr="00FE0F51" w14:paraId="2E8E2EF4" w14:textId="77777777" w:rsidTr="00A0260F">
        <w:trPr>
          <w:trHeight w:val="340"/>
        </w:trPr>
        <w:tc>
          <w:tcPr>
            <w:tcW w:w="1886" w:type="dxa"/>
            <w:vMerge/>
            <w:tcBorders>
              <w:top w:val="nil"/>
              <w:left w:val="nil"/>
              <w:bottom w:val="single" w:sz="12" w:space="0" w:color="000000"/>
              <w:right w:val="nil"/>
            </w:tcBorders>
            <w:vAlign w:val="center"/>
            <w:hideMark/>
          </w:tcPr>
          <w:p w14:paraId="17BC1A2E"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450DC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2E9EE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1192D751" w14:textId="7372580B"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95AF84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F3519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5B1BEA" w:rsidRPr="00FE0F51" w14:paraId="284F7EE1" w14:textId="77777777" w:rsidTr="00A0260F">
        <w:trPr>
          <w:trHeight w:val="340"/>
        </w:trPr>
        <w:tc>
          <w:tcPr>
            <w:tcW w:w="1886" w:type="dxa"/>
            <w:vMerge/>
            <w:tcBorders>
              <w:top w:val="nil"/>
              <w:left w:val="nil"/>
              <w:bottom w:val="single" w:sz="12" w:space="0" w:color="000000"/>
              <w:right w:val="nil"/>
            </w:tcBorders>
            <w:vAlign w:val="center"/>
            <w:hideMark/>
          </w:tcPr>
          <w:p w14:paraId="1FAC0E59"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AF3FA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C29C2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592724EF" w14:textId="24C55B6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DC0B8D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57F1B8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5B1BEA" w:rsidRPr="00FE0F51" w14:paraId="2F5AD0E8" w14:textId="77777777" w:rsidTr="00A0260F">
        <w:trPr>
          <w:trHeight w:val="340"/>
        </w:trPr>
        <w:tc>
          <w:tcPr>
            <w:tcW w:w="1886" w:type="dxa"/>
            <w:vMerge/>
            <w:tcBorders>
              <w:top w:val="nil"/>
              <w:left w:val="nil"/>
              <w:bottom w:val="single" w:sz="12" w:space="0" w:color="auto"/>
              <w:right w:val="nil"/>
            </w:tcBorders>
            <w:vAlign w:val="center"/>
            <w:hideMark/>
          </w:tcPr>
          <w:p w14:paraId="0CC3552F"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3CA79E94"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57B57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67DB8B00" w14:textId="251B117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6C706E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30545C0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255B66" w:rsidRPr="00255B66" w14:paraId="762DD2C0" w14:textId="77777777" w:rsidTr="0010388B">
        <w:trPr>
          <w:trHeight w:val="340"/>
        </w:trPr>
        <w:tc>
          <w:tcPr>
            <w:tcW w:w="0" w:type="auto"/>
            <w:gridSpan w:val="6"/>
            <w:tcBorders>
              <w:top w:val="single" w:sz="12" w:space="0" w:color="auto"/>
              <w:left w:val="nil"/>
              <w:bottom w:val="nil"/>
              <w:right w:val="nil"/>
            </w:tcBorders>
            <w:shd w:val="clear" w:color="auto" w:fill="auto"/>
            <w:noWrap/>
            <w:vAlign w:val="center"/>
            <w:hideMark/>
          </w:tcPr>
          <w:p w14:paraId="4A0D2AC0" w14:textId="2D1EA5F7" w:rsidR="00255B66" w:rsidRPr="00255B66" w:rsidRDefault="00255B66" w:rsidP="00856862">
            <w:pPr>
              <w:spacing w:afterLines="100" w:after="326"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sidR="005B1BEA">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sidR="00C532DC">
              <w:rPr>
                <w:rFonts w:ascii="Times New Roman" w:eastAsia="宋体" w:hAnsi="Times New Roman" w:cs="Times New Roman" w:hint="eastAsia"/>
                <w:color w:val="000000"/>
                <w:sz w:val="18"/>
                <w:szCs w:val="18"/>
              </w:rPr>
              <w:t>的方向关系，</w:t>
            </w:r>
            <w:r w:rsidR="00C532DC">
              <w:rPr>
                <w:rFonts w:ascii="Times New Roman" w:eastAsia="宋体" w:hAnsi="Times New Roman" w:cs="Times New Roman"/>
                <w:color w:val="000000"/>
                <w:sz w:val="18"/>
                <w:szCs w:val="18"/>
              </w:rPr>
              <w:t>如</w:t>
            </w:r>
            <w:r w:rsidR="00C532DC">
              <w:rPr>
                <w:rFonts w:ascii="Times New Roman" w:eastAsia="宋体" w:hAnsi="Times New Roman" w:cs="Times New Roman" w:hint="eastAsia"/>
                <w:color w:val="000000"/>
                <w:sz w:val="18"/>
                <w:szCs w:val="18"/>
              </w:rPr>
              <w:t>王嫚嫚等（</w:t>
            </w:r>
            <w:r w:rsidR="00C532DC">
              <w:rPr>
                <w:rFonts w:ascii="Times New Roman" w:eastAsia="宋体" w:hAnsi="Times New Roman" w:cs="Times New Roman" w:hint="eastAsia"/>
                <w:color w:val="000000"/>
                <w:sz w:val="18"/>
                <w:szCs w:val="18"/>
              </w:rPr>
              <w:t>2017</w:t>
            </w:r>
            <w:r w:rsidR="00C532DC">
              <w:rPr>
                <w:rFonts w:ascii="Times New Roman" w:eastAsia="宋体" w:hAnsi="Times New Roman" w:cs="Times New Roman" w:hint="eastAsia"/>
                <w:color w:val="000000"/>
                <w:sz w:val="18"/>
                <w:szCs w:val="18"/>
              </w:rPr>
              <w:t>）和</w:t>
            </w:r>
            <w:r w:rsidR="00C532DC">
              <w:rPr>
                <w:rFonts w:ascii="Times New Roman" w:eastAsia="宋体" w:hAnsi="Times New Roman" w:cs="Times New Roman"/>
                <w:color w:val="000000"/>
                <w:sz w:val="18"/>
                <w:szCs w:val="18"/>
              </w:rPr>
              <w:t>许庆</w:t>
            </w:r>
            <w:r w:rsidR="00C532DC">
              <w:rPr>
                <w:rFonts w:ascii="Times New Roman" w:eastAsia="宋体" w:hAnsi="Times New Roman" w:cs="Times New Roman" w:hint="eastAsia"/>
                <w:color w:val="000000"/>
                <w:sz w:val="18"/>
                <w:szCs w:val="18"/>
              </w:rPr>
              <w:t>等（</w:t>
            </w:r>
            <w:r w:rsidR="00C532DC">
              <w:rPr>
                <w:rFonts w:ascii="Times New Roman" w:eastAsia="宋体" w:hAnsi="Times New Roman" w:cs="Times New Roman" w:hint="eastAsia"/>
                <w:color w:val="000000"/>
                <w:sz w:val="18"/>
                <w:szCs w:val="18"/>
              </w:rPr>
              <w:t>2011</w:t>
            </w:r>
            <w:r w:rsidR="00C532DC">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72130D9F" w14:textId="66AB7557" w:rsidR="00A6383F" w:rsidRPr="00496323" w:rsidRDefault="00EF63A2" w:rsidP="00A6383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表中文献的农户数据</w:t>
      </w:r>
      <w:r w:rsidR="008D0B94">
        <w:rPr>
          <w:rFonts w:ascii="Times New Roman" w:hAnsi="Times New Roman" w:cs="Times New Roman" w:hint="eastAsia"/>
          <w:sz w:val="24"/>
          <w:szCs w:val="24"/>
        </w:rPr>
        <w:t>要么</w:t>
      </w:r>
      <w:r>
        <w:rPr>
          <w:rFonts w:ascii="Times New Roman" w:hAnsi="Times New Roman" w:cs="Times New Roman" w:hint="eastAsia"/>
          <w:sz w:val="24"/>
          <w:szCs w:val="24"/>
        </w:rPr>
        <w:t>统计口径不一致</w:t>
      </w:r>
      <w:r w:rsidR="008E5A85">
        <w:rPr>
          <w:rFonts w:ascii="Times New Roman" w:hAnsi="Times New Roman" w:cs="Times New Roman" w:hint="eastAsia"/>
          <w:sz w:val="24"/>
          <w:szCs w:val="24"/>
        </w:rPr>
        <w:t>（</w:t>
      </w:r>
      <w:r w:rsidR="00A4469E">
        <w:rPr>
          <w:rFonts w:ascii="Times New Roman" w:hAnsi="Times New Roman" w:cs="Times New Roman" w:hint="eastAsia"/>
          <w:sz w:val="24"/>
          <w:szCs w:val="24"/>
        </w:rPr>
        <w:t>部分来自于课题问卷调研，部分来自于全国农村固定观察点</w:t>
      </w:r>
      <w:r w:rsidR="008E5A85">
        <w:rPr>
          <w:rFonts w:ascii="Times New Roman" w:hAnsi="Times New Roman" w:cs="Times New Roman" w:hint="eastAsia"/>
          <w:sz w:val="24"/>
          <w:szCs w:val="24"/>
        </w:rPr>
        <w:t>）</w:t>
      </w:r>
      <w:r w:rsidR="008D0B94">
        <w:rPr>
          <w:rFonts w:ascii="Times New Roman" w:hAnsi="Times New Roman" w:cs="Times New Roman" w:hint="eastAsia"/>
          <w:sz w:val="24"/>
          <w:szCs w:val="24"/>
        </w:rPr>
        <w:t>，要么样本区域</w:t>
      </w:r>
      <w:r w:rsidR="00421B9C">
        <w:rPr>
          <w:rFonts w:ascii="Times New Roman" w:hAnsi="Times New Roman" w:cs="Times New Roman" w:hint="eastAsia"/>
          <w:sz w:val="24"/>
          <w:szCs w:val="24"/>
        </w:rPr>
        <w:t>跨度大</w:t>
      </w:r>
      <w:r w:rsidR="008D0B94">
        <w:rPr>
          <w:rFonts w:ascii="Times New Roman" w:hAnsi="Times New Roman" w:cs="Times New Roman" w:hint="eastAsia"/>
          <w:sz w:val="24"/>
          <w:szCs w:val="24"/>
        </w:rPr>
        <w:t>，</w:t>
      </w:r>
      <w:r w:rsidR="00421B9C">
        <w:rPr>
          <w:rFonts w:ascii="Times New Roman" w:hAnsi="Times New Roman" w:cs="Times New Roman" w:hint="eastAsia"/>
          <w:sz w:val="24"/>
          <w:szCs w:val="24"/>
        </w:rPr>
        <w:t>导致不同研究</w:t>
      </w:r>
      <w:r w:rsidR="00894326">
        <w:rPr>
          <w:rFonts w:ascii="Times New Roman" w:hAnsi="Times New Roman" w:cs="Times New Roman" w:hint="eastAsia"/>
          <w:sz w:val="24"/>
          <w:szCs w:val="24"/>
        </w:rPr>
        <w:t>估计的系数值存在一定的差异。</w:t>
      </w:r>
      <w:r w:rsidR="001D69CC">
        <w:rPr>
          <w:rFonts w:ascii="Times New Roman" w:hAnsi="Times New Roman" w:cs="Times New Roman" w:hint="eastAsia"/>
          <w:sz w:val="24"/>
          <w:szCs w:val="24"/>
        </w:rPr>
        <w:t>此外有</w:t>
      </w:r>
      <w:r w:rsidR="00A6383F">
        <w:rPr>
          <w:rFonts w:ascii="Times New Roman" w:hAnsi="Times New Roman" w:cs="Times New Roman" w:hint="eastAsia"/>
          <w:sz w:val="24"/>
          <w:szCs w:val="24"/>
        </w:rPr>
        <w:t>更多学术研究的由于采用的模型不同，难以直观的得到规模弹性，只能</w:t>
      </w:r>
      <w:r w:rsidR="00F45799">
        <w:rPr>
          <w:rFonts w:ascii="Times New Roman" w:hAnsi="Times New Roman" w:cs="Times New Roman" w:hint="eastAsia"/>
          <w:sz w:val="24"/>
          <w:szCs w:val="24"/>
        </w:rPr>
        <w:t>认识到</w:t>
      </w:r>
      <w:r w:rsidR="00A6383F">
        <w:rPr>
          <w:rFonts w:ascii="Times New Roman" w:hAnsi="Times New Roman" w:cs="Times New Roman" w:hint="eastAsia"/>
          <w:sz w:val="24"/>
          <w:szCs w:val="24"/>
        </w:rPr>
        <w:t>单产随着规模朝着哪个方向变化的信息。</w:t>
      </w:r>
      <w:r w:rsidR="00A6383F">
        <w:rPr>
          <w:rFonts w:ascii="Times New Roman" w:hAnsi="Times New Roman" w:cs="Times New Roman"/>
          <w:sz w:val="24"/>
          <w:szCs w:val="24"/>
        </w:rPr>
        <w:t>或者</w:t>
      </w:r>
      <w:r w:rsidR="00A6383F">
        <w:rPr>
          <w:rFonts w:ascii="Times New Roman" w:hAnsi="Times New Roman" w:cs="Times New Roman" w:hint="eastAsia"/>
          <w:sz w:val="24"/>
          <w:szCs w:val="24"/>
        </w:rPr>
        <w:t>由于</w:t>
      </w:r>
      <w:r w:rsidR="00AF69F7">
        <w:rPr>
          <w:rFonts w:ascii="Times New Roman" w:hAnsi="Times New Roman" w:cs="Times New Roman" w:hint="eastAsia"/>
          <w:sz w:val="24"/>
          <w:szCs w:val="24"/>
        </w:rPr>
        <w:t>土地生产率选取的指标</w:t>
      </w:r>
      <w:r w:rsidR="00A6383F">
        <w:rPr>
          <w:rFonts w:ascii="Times New Roman" w:hAnsi="Times New Roman" w:cs="Times New Roman" w:hint="eastAsia"/>
          <w:sz w:val="24"/>
          <w:szCs w:val="24"/>
        </w:rPr>
        <w:t>不同或者相同指标不同量纲，弹性值可比性不强，</w:t>
      </w:r>
      <w:r w:rsidR="00A6383F">
        <w:rPr>
          <w:rFonts w:ascii="Times New Roman" w:hAnsi="Times New Roman" w:cs="Times New Roman"/>
          <w:sz w:val="24"/>
          <w:szCs w:val="24"/>
        </w:rPr>
        <w:t>所以</w:t>
      </w:r>
      <w:r w:rsidR="00857231">
        <w:rPr>
          <w:rFonts w:ascii="Times New Roman" w:hAnsi="Times New Roman" w:cs="Times New Roman" w:hint="eastAsia"/>
          <w:sz w:val="24"/>
          <w:szCs w:val="24"/>
        </w:rPr>
        <w:t>表中归纳的规模弹性</w:t>
      </w:r>
      <w:r w:rsidR="00F45799">
        <w:rPr>
          <w:rFonts w:ascii="Times New Roman" w:hAnsi="Times New Roman" w:cs="Times New Roman" w:hint="eastAsia"/>
          <w:sz w:val="24"/>
          <w:szCs w:val="24"/>
        </w:rPr>
        <w:t>方向具有一定</w:t>
      </w:r>
      <w:r w:rsidR="00857231">
        <w:rPr>
          <w:rFonts w:ascii="Times New Roman" w:hAnsi="Times New Roman" w:cs="Times New Roman" w:hint="eastAsia"/>
          <w:sz w:val="24"/>
          <w:szCs w:val="24"/>
        </w:rPr>
        <w:t>参考作用</w:t>
      </w:r>
      <w:r w:rsidR="00F45799">
        <w:rPr>
          <w:rFonts w:ascii="Times New Roman" w:hAnsi="Times New Roman" w:cs="Times New Roman" w:hint="eastAsia"/>
          <w:sz w:val="24"/>
          <w:szCs w:val="24"/>
        </w:rPr>
        <w:t>价值，</w:t>
      </w:r>
      <w:r w:rsidR="00F45799">
        <w:rPr>
          <w:rFonts w:ascii="Times New Roman" w:hAnsi="Times New Roman" w:cs="Times New Roman"/>
          <w:sz w:val="24"/>
          <w:szCs w:val="24"/>
        </w:rPr>
        <w:t>具体</w:t>
      </w:r>
      <w:r w:rsidR="00F45799">
        <w:rPr>
          <w:rFonts w:ascii="Times New Roman" w:hAnsi="Times New Roman" w:cs="Times New Roman" w:hint="eastAsia"/>
          <w:sz w:val="24"/>
          <w:szCs w:val="24"/>
        </w:rPr>
        <w:t>数值的差异不做进一步讨论</w:t>
      </w:r>
      <w:r w:rsidR="00A6383F">
        <w:rPr>
          <w:rFonts w:ascii="Times New Roman" w:hAnsi="Times New Roman" w:cs="Times New Roman" w:hint="eastAsia"/>
          <w:sz w:val="24"/>
          <w:szCs w:val="24"/>
        </w:rPr>
        <w:t>。</w:t>
      </w: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3"/>
    </w:p>
    <w:p w14:paraId="0E6245FA" w14:textId="04EE230F" w:rsidR="00AC422B" w:rsidRDefault="00084C81" w:rsidP="0059576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我国户均耕地面积在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lastRenderedPageBreak/>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w:t>
      </w:r>
      <w:r w:rsidR="00B222B6">
        <w:rPr>
          <w:rFonts w:ascii="Times New Roman" w:hAnsi="Times New Roman" w:cs="Times New Roman" w:hint="eastAsia"/>
          <w:sz w:val="24"/>
          <w:szCs w:val="24"/>
        </w:rPr>
        <w:t>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4"/>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5"/>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5" w:name="_Toc2706346"/>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5"/>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6" w:name="_Toc2706348"/>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36"/>
    </w:p>
    <w:p w14:paraId="6CDEAEEE" w14:textId="101D602A"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小麦和稻谷为</w:t>
      </w:r>
      <w:r w:rsidR="00D555AA" w:rsidRPr="00DF59BF">
        <w:rPr>
          <w:rFonts w:ascii="Times New Roman" w:hAnsi="Times New Roman" w:cs="Times New Roman"/>
          <w:sz w:val="24"/>
          <w:szCs w:val="24"/>
        </w:rPr>
        <w:t>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w:t>
      </w:r>
      <w:r w:rsidR="000A715A">
        <w:rPr>
          <w:rFonts w:ascii="Times New Roman" w:hAnsi="Times New Roman" w:cs="Times New Roman" w:hint="eastAsia"/>
          <w:sz w:val="24"/>
          <w:szCs w:val="24"/>
        </w:rPr>
        <w:t>采取</w:t>
      </w:r>
      <w:r w:rsidR="00CD1817" w:rsidRPr="00DF59BF">
        <w:rPr>
          <w:rFonts w:ascii="Times New Roman" w:hAnsi="Times New Roman" w:cs="Times New Roman"/>
          <w:sz w:val="24"/>
          <w:szCs w:val="24"/>
        </w:rPr>
        <w:t>超越对数生</w:t>
      </w:r>
      <w:r w:rsidR="00CD1817" w:rsidRPr="00DF59BF">
        <w:rPr>
          <w:rFonts w:ascii="Times New Roman" w:hAnsi="Times New Roman" w:cs="Times New Roman" w:hint="eastAsia"/>
          <w:sz w:val="24"/>
          <w:szCs w:val="24"/>
        </w:rPr>
        <w:t>产函数，</w:t>
      </w:r>
      <w:r w:rsidR="000A715A">
        <w:rPr>
          <w:rFonts w:ascii="Times New Roman" w:hAnsi="Times New Roman" w:cs="Times New Roman" w:hint="eastAsia"/>
          <w:sz w:val="24"/>
          <w:szCs w:val="24"/>
        </w:rPr>
        <w:t>将</w:t>
      </w:r>
      <w:r w:rsidR="00910F01" w:rsidRPr="00DF59BF">
        <w:rPr>
          <w:rFonts w:ascii="Times New Roman" w:hAnsi="Times New Roman" w:cs="Times New Roman" w:hint="eastAsia"/>
          <w:sz w:val="24"/>
          <w:szCs w:val="24"/>
        </w:rPr>
        <w:t>实际收获面积的对数</w:t>
      </w:r>
      <w:r w:rsidR="000A715A">
        <w:rPr>
          <w:rFonts w:ascii="Times New Roman" w:hAnsi="Times New Roman" w:cs="Times New Roman" w:hint="eastAsia"/>
          <w:sz w:val="24"/>
          <w:szCs w:val="24"/>
        </w:rPr>
        <w:t>-</w:t>
      </w:r>
      <w:r w:rsidR="000A715A">
        <w:rPr>
          <w:rFonts w:ascii="Times New Roman" w:hAnsi="Times New Roman" w:cs="Times New Roman" w:hint="eastAsia"/>
          <w:sz w:val="24"/>
          <w:szCs w:val="24"/>
        </w:rPr>
        <w:t>线性</w:t>
      </w:r>
      <w:r w:rsidR="00910F01" w:rsidRPr="00DF59BF">
        <w:rPr>
          <w:rFonts w:ascii="Times New Roman" w:hAnsi="Times New Roman" w:cs="Times New Roman" w:hint="eastAsia"/>
          <w:sz w:val="24"/>
          <w:szCs w:val="24"/>
        </w:rPr>
        <w:t>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w:t>
      </w:r>
      <w:r w:rsidR="000A715A">
        <w:rPr>
          <w:rFonts w:ascii="Times New Roman" w:hAnsi="Times New Roman" w:cs="Times New Roman" w:hint="eastAsia"/>
          <w:sz w:val="24"/>
          <w:szCs w:val="24"/>
        </w:rPr>
        <w:t>最终</w:t>
      </w:r>
      <w:r w:rsidR="00910F01" w:rsidRPr="00DF59BF">
        <w:rPr>
          <w:rFonts w:ascii="Times New Roman" w:hAnsi="Times New Roman" w:cs="Times New Roman" w:hint="eastAsia"/>
          <w:sz w:val="24"/>
          <w:szCs w:val="24"/>
        </w:rPr>
        <w:t>采用</w:t>
      </w:r>
      <w:r w:rsidR="000A715A">
        <w:rPr>
          <w:rFonts w:ascii="Times New Roman" w:hAnsi="Times New Roman" w:cs="Times New Roman" w:hint="eastAsia"/>
          <w:sz w:val="24"/>
          <w:szCs w:val="24"/>
        </w:rPr>
        <w:t>聚类稳健</w:t>
      </w:r>
      <w:r w:rsidR="00910F01" w:rsidRPr="00DF59BF">
        <w:rPr>
          <w:rFonts w:ascii="Times New Roman" w:hAnsi="Times New Roman" w:cs="Times New Roman" w:hint="eastAsia"/>
          <w:sz w:val="24"/>
          <w:szCs w:val="24"/>
        </w:rPr>
        <w:t>固定效应</w:t>
      </w:r>
      <w:r w:rsidR="000A715A">
        <w:rPr>
          <w:rFonts w:ascii="Times New Roman" w:hAnsi="Times New Roman" w:cs="Times New Roman" w:hint="eastAsia"/>
          <w:sz w:val="24"/>
          <w:szCs w:val="24"/>
        </w:rPr>
        <w:t>的</w:t>
      </w:r>
      <w:r w:rsidR="00910F01" w:rsidRPr="00DF59BF">
        <w:rPr>
          <w:rFonts w:ascii="Times New Roman" w:hAnsi="Times New Roman" w:cs="Times New Roman" w:hint="eastAsia"/>
          <w:sz w:val="24"/>
          <w:szCs w:val="24"/>
        </w:rPr>
        <w:t>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7" w:name="_Toc2706349"/>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37"/>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38" w:name="_Toc2706350"/>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bookmarkEnd w:id="38"/>
      <w:r w:rsidR="00595768">
        <w:rPr>
          <w:rFonts w:ascii="Times New Roman" w:eastAsia="黑体" w:hAnsi="Times New Roman" w:cs="Times New Roman" w:hint="eastAsia"/>
          <w:sz w:val="28"/>
          <w:szCs w:val="28"/>
        </w:rPr>
        <w:t>进一步研究的建议</w:t>
      </w:r>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hint="eastAsia"/>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hint="eastAsia"/>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hint="eastAsia"/>
          <w:sz w:val="32"/>
          <w:szCs w:val="32"/>
        </w:rPr>
      </w:pPr>
      <w:bookmarkStart w:id="39" w:name="_Toc2706351"/>
      <w:r w:rsidRPr="00800039">
        <w:rPr>
          <w:rFonts w:eastAsia="黑体" w:hint="eastAsia"/>
          <w:sz w:val="32"/>
          <w:szCs w:val="32"/>
        </w:rPr>
        <w:lastRenderedPageBreak/>
        <w:t>参考文献</w:t>
      </w:r>
      <w:bookmarkEnd w:id="39"/>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40"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40"/>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41"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41"/>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42"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42"/>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43"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梁小民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43"/>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44"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44"/>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45"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45"/>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46"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46"/>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47"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47"/>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48"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48"/>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49"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49"/>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50"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50"/>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51"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51"/>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52"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52"/>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53"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53"/>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54"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4"/>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55"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55"/>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56"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56"/>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57"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57"/>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58"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58"/>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59"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59"/>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60"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60"/>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61"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61"/>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62"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62"/>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63"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63"/>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64"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4"/>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65"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65"/>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66"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66"/>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67"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67"/>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68"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68"/>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69"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69"/>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70"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70"/>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71"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71"/>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72"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72"/>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73"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73"/>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74"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74"/>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75"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75"/>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7"/>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76"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76"/>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77" w:name="_Toc2706352"/>
      <w:r>
        <w:rPr>
          <w:rFonts w:eastAsia="黑体" w:hint="eastAsia"/>
          <w:sz w:val="32"/>
          <w:szCs w:val="32"/>
        </w:rPr>
        <w:lastRenderedPageBreak/>
        <w:t>致谢</w:t>
      </w:r>
      <w:bookmarkEnd w:id="77"/>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8"/>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78" w:name="_Toc2706353"/>
      <w:r>
        <w:rPr>
          <w:rFonts w:eastAsia="黑体" w:hint="eastAsia"/>
          <w:sz w:val="32"/>
          <w:szCs w:val="32"/>
        </w:rPr>
        <w:lastRenderedPageBreak/>
        <w:t>作者简介</w:t>
      </w:r>
      <w:bookmarkEnd w:id="78"/>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bookmarkStart w:id="79" w:name="_GoBack"/>
      <w:bookmarkEnd w:id="79"/>
    </w:p>
    <w:sectPr w:rsidR="00B50D55" w:rsidRPr="00E52825" w:rsidSect="00117B67">
      <w:headerReference w:type="default" r:id="rId49"/>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35428" w14:textId="77777777" w:rsidR="00B03F55" w:rsidRDefault="00B03F55" w:rsidP="007E11B3">
      <w:pPr>
        <w:spacing w:line="240" w:lineRule="auto"/>
        <w:ind w:firstLine="440"/>
      </w:pPr>
      <w:r>
        <w:separator/>
      </w:r>
    </w:p>
  </w:endnote>
  <w:endnote w:type="continuationSeparator" w:id="0">
    <w:p w14:paraId="669B072C" w14:textId="77777777" w:rsidR="00B03F55" w:rsidRDefault="00B03F55"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226DDB" w:rsidRDefault="00226DDB">
    <w:pPr>
      <w:pStyle w:val="a6"/>
    </w:pPr>
  </w:p>
  <w:p w14:paraId="4804C9C1" w14:textId="77777777" w:rsidR="00226DDB" w:rsidRDefault="00226DDB">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226DDB" w:rsidRDefault="00226DDB"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19286DDF" w:rsidR="00226DDB" w:rsidRPr="00BF22DE" w:rsidRDefault="00226DDB">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42086F" w:rsidRPr="0042086F">
          <w:rPr>
            <w:rFonts w:ascii="Times New Roman" w:hAnsi="Times New Roman" w:cs="Times New Roman"/>
            <w:noProof/>
            <w:lang w:val="zh-CN"/>
          </w:rPr>
          <w:t>53</w:t>
        </w:r>
        <w:r w:rsidRPr="00BF22DE">
          <w:rPr>
            <w:rFonts w:ascii="Times New Roman" w:hAnsi="Times New Roman" w:cs="Times New Roman"/>
          </w:rPr>
          <w:fldChar w:fldCharType="end"/>
        </w:r>
      </w:p>
    </w:sdtContent>
  </w:sdt>
  <w:p w14:paraId="303079AF" w14:textId="77777777" w:rsidR="00226DDB" w:rsidRDefault="00226DDB"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226DDB" w:rsidRDefault="00226DDB"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226DDB" w:rsidRDefault="00226DDB"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226DDB" w:rsidRDefault="00226DDB">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226DDB" w:rsidRDefault="00226DDB">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226DDB" w:rsidRDefault="00226DDB"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226DDB" w:rsidRDefault="00226DDB">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71BBF906" w:rsidR="00226DDB" w:rsidRDefault="00226DDB">
        <w:pPr>
          <w:pStyle w:val="a6"/>
          <w:jc w:val="center"/>
        </w:pPr>
        <w:r>
          <w:fldChar w:fldCharType="begin"/>
        </w:r>
        <w:r>
          <w:instrText>PAGE   \* MERGEFORMAT</w:instrText>
        </w:r>
        <w:r>
          <w:fldChar w:fldCharType="separate"/>
        </w:r>
        <w:r w:rsidR="0042086F" w:rsidRPr="0042086F">
          <w:rPr>
            <w:noProof/>
            <w:lang w:val="zh-CN"/>
          </w:rPr>
          <w:t>I</w:t>
        </w:r>
        <w:r>
          <w:fldChar w:fldCharType="end"/>
        </w:r>
      </w:p>
    </w:sdtContent>
  </w:sdt>
  <w:p w14:paraId="7576B017" w14:textId="77777777" w:rsidR="00226DDB" w:rsidRDefault="00226DDB"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226DDB" w:rsidRDefault="00226DDB"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4B56EA51" w:rsidR="00226DDB" w:rsidRPr="00BF22DE" w:rsidRDefault="00226DDB">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42086F" w:rsidRPr="0042086F">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226DDB" w:rsidRDefault="00226DDB"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1370A" w14:textId="77777777" w:rsidR="00B03F55" w:rsidRDefault="00B03F55" w:rsidP="007E11B3">
      <w:pPr>
        <w:spacing w:line="240" w:lineRule="auto"/>
        <w:ind w:firstLine="440"/>
      </w:pPr>
      <w:r>
        <w:separator/>
      </w:r>
    </w:p>
  </w:footnote>
  <w:footnote w:type="continuationSeparator" w:id="0">
    <w:p w14:paraId="2DE37284" w14:textId="77777777" w:rsidR="00B03F55" w:rsidRDefault="00B03F55"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226DDB" w:rsidRPr="008C7B19" w:rsidRDefault="00226DDB"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226DDB" w:rsidRPr="008C7B19" w:rsidRDefault="00226DDB"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226DDB" w:rsidRPr="008C7B19" w:rsidRDefault="00226DDB"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226DDB" w:rsidRPr="008C7B19" w:rsidRDefault="00226DDB"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226DDB" w:rsidRPr="008C7B19" w:rsidRDefault="00226DDB"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226DDB" w:rsidRPr="008C7B19" w:rsidRDefault="00226DDB"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468EDC4D" w:rsidR="00226DDB" w:rsidRPr="008C7B19" w:rsidRDefault="00226DDB"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226DDB" w:rsidRPr="008C7B19" w:rsidRDefault="00226DDB"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226DDB" w:rsidRPr="008C7B19" w:rsidRDefault="00226DDB"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226DDB" w:rsidRPr="008C7B19" w:rsidRDefault="00226DDB"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226DDB" w:rsidRPr="008C7B19" w:rsidRDefault="00226DDB"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226DDB" w:rsidRPr="008C7B19" w:rsidRDefault="00226DDB"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226DDB" w:rsidRPr="008C7B19" w:rsidRDefault="00226DDB"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226DDB" w:rsidRDefault="00226DDB"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226DDB" w:rsidRPr="008C7B19" w:rsidRDefault="00226DDB"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226DDB" w:rsidRPr="008C7B19" w:rsidRDefault="00226DDB"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226DDB" w:rsidRPr="00E20470" w:rsidRDefault="00226DDB"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226DDB" w:rsidRPr="008C7B19" w:rsidRDefault="00226DDB"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226DDB" w:rsidRPr="008C7B19" w:rsidRDefault="00226DDB"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226DDB" w:rsidRPr="008C7B19" w:rsidRDefault="00226DDB"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618"/>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A27"/>
    <w:rsid w:val="00077E32"/>
    <w:rsid w:val="00080784"/>
    <w:rsid w:val="00080AC5"/>
    <w:rsid w:val="0008166A"/>
    <w:rsid w:val="00082286"/>
    <w:rsid w:val="000827CB"/>
    <w:rsid w:val="00082C71"/>
    <w:rsid w:val="00083462"/>
    <w:rsid w:val="00084347"/>
    <w:rsid w:val="00084C81"/>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6FD"/>
    <w:rsid w:val="000C5867"/>
    <w:rsid w:val="000C5A99"/>
    <w:rsid w:val="000C684E"/>
    <w:rsid w:val="000C68E8"/>
    <w:rsid w:val="000C6D47"/>
    <w:rsid w:val="000C7B05"/>
    <w:rsid w:val="000C7F14"/>
    <w:rsid w:val="000D03F1"/>
    <w:rsid w:val="000D04C4"/>
    <w:rsid w:val="000D0B7C"/>
    <w:rsid w:val="000D17C2"/>
    <w:rsid w:val="000D26D6"/>
    <w:rsid w:val="000D3577"/>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40C"/>
    <w:rsid w:val="0023158E"/>
    <w:rsid w:val="00231A37"/>
    <w:rsid w:val="00232903"/>
    <w:rsid w:val="00232AFE"/>
    <w:rsid w:val="002331B8"/>
    <w:rsid w:val="002331F4"/>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86F"/>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155"/>
    <w:rsid w:val="004A4554"/>
    <w:rsid w:val="004A4D8B"/>
    <w:rsid w:val="004A4E41"/>
    <w:rsid w:val="004A57F6"/>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4DDD"/>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04"/>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DEA"/>
    <w:rsid w:val="005452F2"/>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67AAF"/>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01E8"/>
    <w:rsid w:val="00601E2A"/>
    <w:rsid w:val="00602396"/>
    <w:rsid w:val="006024CB"/>
    <w:rsid w:val="006035CA"/>
    <w:rsid w:val="00603D97"/>
    <w:rsid w:val="006040AD"/>
    <w:rsid w:val="00604414"/>
    <w:rsid w:val="00604914"/>
    <w:rsid w:val="00605987"/>
    <w:rsid w:val="00605AE9"/>
    <w:rsid w:val="006060D5"/>
    <w:rsid w:val="006061D2"/>
    <w:rsid w:val="00606608"/>
    <w:rsid w:val="00606989"/>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43D"/>
    <w:rsid w:val="0064327F"/>
    <w:rsid w:val="00643DAC"/>
    <w:rsid w:val="00643EB7"/>
    <w:rsid w:val="0064417C"/>
    <w:rsid w:val="00644AC9"/>
    <w:rsid w:val="006453ED"/>
    <w:rsid w:val="0064559E"/>
    <w:rsid w:val="00645914"/>
    <w:rsid w:val="00645ACA"/>
    <w:rsid w:val="0064664B"/>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9E3"/>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E62"/>
    <w:rsid w:val="006D022B"/>
    <w:rsid w:val="006D1218"/>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1F45"/>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5E"/>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2D2F"/>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41D"/>
    <w:rsid w:val="00810F06"/>
    <w:rsid w:val="00811753"/>
    <w:rsid w:val="00812B87"/>
    <w:rsid w:val="00813275"/>
    <w:rsid w:val="00813379"/>
    <w:rsid w:val="00813744"/>
    <w:rsid w:val="0081559C"/>
    <w:rsid w:val="00815D32"/>
    <w:rsid w:val="00816EAD"/>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E91"/>
    <w:rsid w:val="00847EB9"/>
    <w:rsid w:val="00850085"/>
    <w:rsid w:val="00850DE2"/>
    <w:rsid w:val="00851046"/>
    <w:rsid w:val="00851B4A"/>
    <w:rsid w:val="00851F30"/>
    <w:rsid w:val="00852201"/>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58E0"/>
    <w:rsid w:val="008E5A85"/>
    <w:rsid w:val="008E6DF9"/>
    <w:rsid w:val="008E6F80"/>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F8A"/>
    <w:rsid w:val="00966FD0"/>
    <w:rsid w:val="009674E9"/>
    <w:rsid w:val="0096770B"/>
    <w:rsid w:val="00967BF6"/>
    <w:rsid w:val="00967ECD"/>
    <w:rsid w:val="0097012A"/>
    <w:rsid w:val="00970318"/>
    <w:rsid w:val="00970C5D"/>
    <w:rsid w:val="009710E9"/>
    <w:rsid w:val="00971227"/>
    <w:rsid w:val="00971399"/>
    <w:rsid w:val="0097157E"/>
    <w:rsid w:val="00971696"/>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222"/>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3CCB"/>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83F"/>
    <w:rsid w:val="00A63BDB"/>
    <w:rsid w:val="00A63FA5"/>
    <w:rsid w:val="00A63FDE"/>
    <w:rsid w:val="00A64041"/>
    <w:rsid w:val="00A64E96"/>
    <w:rsid w:val="00A65153"/>
    <w:rsid w:val="00A6519D"/>
    <w:rsid w:val="00A651D7"/>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985"/>
    <w:rsid w:val="00AC3A16"/>
    <w:rsid w:val="00AC3A23"/>
    <w:rsid w:val="00AC3C90"/>
    <w:rsid w:val="00AC3F8F"/>
    <w:rsid w:val="00AC41BE"/>
    <w:rsid w:val="00AC422B"/>
    <w:rsid w:val="00AC438B"/>
    <w:rsid w:val="00AC4C31"/>
    <w:rsid w:val="00AC4DC2"/>
    <w:rsid w:val="00AC4FE2"/>
    <w:rsid w:val="00AC5402"/>
    <w:rsid w:val="00AC59F5"/>
    <w:rsid w:val="00AC672D"/>
    <w:rsid w:val="00AC6C8F"/>
    <w:rsid w:val="00AC714C"/>
    <w:rsid w:val="00AC726B"/>
    <w:rsid w:val="00AD0232"/>
    <w:rsid w:val="00AD05B1"/>
    <w:rsid w:val="00AD05B8"/>
    <w:rsid w:val="00AD05D8"/>
    <w:rsid w:val="00AD0D8A"/>
    <w:rsid w:val="00AD101B"/>
    <w:rsid w:val="00AD1720"/>
    <w:rsid w:val="00AD2526"/>
    <w:rsid w:val="00AD2A06"/>
    <w:rsid w:val="00AD2BD8"/>
    <w:rsid w:val="00AD329E"/>
    <w:rsid w:val="00AD378A"/>
    <w:rsid w:val="00AD38C4"/>
    <w:rsid w:val="00AD3B37"/>
    <w:rsid w:val="00AD3E15"/>
    <w:rsid w:val="00AD44C0"/>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A10"/>
    <w:rsid w:val="00B64161"/>
    <w:rsid w:val="00B6421B"/>
    <w:rsid w:val="00B64415"/>
    <w:rsid w:val="00B64AAD"/>
    <w:rsid w:val="00B64B06"/>
    <w:rsid w:val="00B64D7A"/>
    <w:rsid w:val="00B653EA"/>
    <w:rsid w:val="00B65495"/>
    <w:rsid w:val="00B6557E"/>
    <w:rsid w:val="00B66584"/>
    <w:rsid w:val="00B66C3C"/>
    <w:rsid w:val="00B677B3"/>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4C"/>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AA1"/>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22A"/>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533"/>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8B"/>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0809"/>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CF5"/>
    <w:rsid w:val="00DB7D41"/>
    <w:rsid w:val="00DC215B"/>
    <w:rsid w:val="00DC2469"/>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BD3"/>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85C"/>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6576"/>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2F2E"/>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3.xml"/><Relationship Id="rId47" Type="http://schemas.openxmlformats.org/officeDocument/2006/relationships/header" Target="header18.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4.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103492608"/>
        <c:axId val="103507072"/>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103515264"/>
        <c:axId val="103508992"/>
      </c:lineChart>
      <c:catAx>
        <c:axId val="10349260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03507072"/>
        <c:crosses val="autoZero"/>
        <c:auto val="1"/>
        <c:lblAlgn val="ctr"/>
        <c:lblOffset val="100"/>
        <c:noMultiLvlLbl val="0"/>
      </c:catAx>
      <c:valAx>
        <c:axId val="103507072"/>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第一产业人员占比（</a:t>
                </a:r>
                <a:r>
                  <a:rPr lang="en-US" altLang="zh-CN" sz="1050" baseline="0">
                    <a:solidFill>
                      <a:schemeClr val="tx1"/>
                    </a:solidFill>
                  </a:rPr>
                  <a:t>%</a:t>
                </a:r>
                <a:r>
                  <a:rPr lang="zh-CN" altLang="en-US" sz="105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492608"/>
        <c:crosses val="autoZero"/>
        <c:crossBetween val="between"/>
      </c:valAx>
      <c:valAx>
        <c:axId val="103508992"/>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经营耕地面积（亩</a:t>
                </a:r>
                <a:r>
                  <a:rPr lang="en-US" altLang="zh-CN" sz="1050" baseline="0">
                    <a:solidFill>
                      <a:schemeClr val="tx1"/>
                    </a:solidFill>
                  </a:rPr>
                  <a:t>/</a:t>
                </a:r>
                <a:r>
                  <a:rPr lang="zh-CN" altLang="en-US" sz="1050" baseline="0">
                    <a:solidFill>
                      <a:schemeClr val="tx1"/>
                    </a:solidFill>
                  </a:rPr>
                  <a:t>人）</a:t>
                </a:r>
              </a:p>
            </c:rich>
          </c:tx>
          <c:layout>
            <c:manualLayout>
              <c:xMode val="edge"/>
              <c:yMode val="edge"/>
              <c:x val="0.95324081364829394"/>
              <c:y val="0.19459851729060182"/>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515264"/>
        <c:crosses val="max"/>
        <c:crossBetween val="between"/>
      </c:valAx>
      <c:catAx>
        <c:axId val="103515264"/>
        <c:scaling>
          <c:orientation val="minMax"/>
        </c:scaling>
        <c:delete val="1"/>
        <c:axPos val="b"/>
        <c:numFmt formatCode="General" sourceLinked="1"/>
        <c:majorTickMark val="out"/>
        <c:minorTickMark val="none"/>
        <c:tickLblPos val="nextTo"/>
        <c:crossAx val="103508992"/>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C6277-AD8A-4BD7-B14B-EBD10972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10044</TotalTime>
  <Pages>1</Pages>
  <Words>8358</Words>
  <Characters>47646</Characters>
  <Application>Microsoft Office Word</Application>
  <DocSecurity>0</DocSecurity>
  <Lines>397</Lines>
  <Paragraphs>111</Paragraphs>
  <ScaleCrop>false</ScaleCrop>
  <Company>Microsoft</Company>
  <LinksUpToDate>false</LinksUpToDate>
  <CharactersWithSpaces>55893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3492</cp:revision>
  <cp:lastPrinted>2019-03-05T14:43:00Z</cp:lastPrinted>
  <dcterms:created xsi:type="dcterms:W3CDTF">2019-02-03T07:42:00Z</dcterms:created>
  <dcterms:modified xsi:type="dcterms:W3CDTF">2019-03-12T13:46:00Z</dcterms:modified>
</cp:coreProperties>
</file>