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F909B" w14:textId="2AF0F451" w:rsidR="009A73B9" w:rsidRPr="009E6DD7" w:rsidRDefault="004408E7" w:rsidP="00D46EC0">
      <w:pPr>
        <w:pStyle w:val="HTML"/>
        <w:shd w:val="clear" w:color="auto" w:fill="FFFFFF"/>
        <w:spacing w:beforeLines="50" w:before="156" w:afterLines="50" w:after="156" w:line="440" w:lineRule="exact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E6DD7">
        <w:rPr>
          <w:rFonts w:ascii="Times New Roman" w:hAnsi="Times New Roman" w:cs="Times New Roman" w:hint="eastAsia"/>
          <w:b/>
          <w:sz w:val="32"/>
          <w:szCs w:val="28"/>
        </w:rPr>
        <w:t>修改意见整理</w:t>
      </w:r>
    </w:p>
    <w:p w14:paraId="37E9319A" w14:textId="31095AA3" w:rsidR="009A73B9" w:rsidRP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 w:rsidRPr="009A73B9">
        <w:rPr>
          <w:rFonts w:ascii="Times New Roman" w:hAnsi="Times New Roman" w:cs="Times New Roman" w:hint="eastAsia"/>
        </w:rPr>
        <w:t>论文的主要问题是模型的具体设定与解释；</w:t>
      </w:r>
    </w:p>
    <w:p w14:paraId="12BE7E8B" w14:textId="37C97A2E" w:rsidR="009A73B9" w:rsidRP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 w:rsidRPr="009A73B9">
        <w:rPr>
          <w:rFonts w:ascii="Times New Roman" w:hAnsi="Times New Roman" w:cs="Times New Roman" w:hint="eastAsia"/>
        </w:rPr>
        <w:t>应对</w:t>
      </w:r>
      <w:proofErr w:type="spellStart"/>
      <w:r w:rsidRPr="009A73B9">
        <w:rPr>
          <w:rFonts w:ascii="Times New Roman" w:hAnsi="Times New Roman" w:cs="Times New Roman"/>
        </w:rPr>
        <w:t>lnland</w:t>
      </w:r>
      <w:proofErr w:type="spellEnd"/>
      <w:r w:rsidRPr="009A73B9">
        <w:rPr>
          <w:rFonts w:ascii="Times New Roman" w:hAnsi="Times New Roman" w:cs="Times New Roman" w:hint="eastAsia"/>
        </w:rPr>
        <w:t>和</w:t>
      </w:r>
      <w:r w:rsidRPr="009A73B9">
        <w:rPr>
          <w:rFonts w:ascii="Times New Roman" w:hAnsi="Times New Roman" w:cs="Times New Roman" w:hint="eastAsia"/>
        </w:rPr>
        <w:t>l</w:t>
      </w:r>
      <w:r w:rsidRPr="009A73B9">
        <w:rPr>
          <w:rFonts w:ascii="Times New Roman" w:hAnsi="Times New Roman" w:cs="Times New Roman"/>
        </w:rPr>
        <w:t>and</w:t>
      </w:r>
      <w:r w:rsidRPr="009A73B9">
        <w:rPr>
          <w:rFonts w:ascii="Times New Roman" w:hAnsi="Times New Roman" w:cs="Times New Roman" w:hint="eastAsia"/>
        </w:rPr>
        <w:t>进行联合显著性检验；</w:t>
      </w:r>
    </w:p>
    <w:p w14:paraId="476107EF" w14:textId="2AD1BFAB" w:rsidR="009A73B9" w:rsidRP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 w:rsidRPr="009A73B9">
        <w:rPr>
          <w:rFonts w:ascii="Times New Roman" w:hAnsi="Times New Roman" w:cs="Times New Roman" w:hint="eastAsia"/>
        </w:rPr>
        <w:t>应具体说明论文使用的是哪个层面的固定效应；</w:t>
      </w:r>
    </w:p>
    <w:p w14:paraId="4BB2BA1E" w14:textId="4FE7EEF7" w:rsidR="009A73B9" w:rsidRP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 w:rsidRPr="009A73B9">
        <w:rPr>
          <w:rFonts w:ascii="Times New Roman" w:hAnsi="Times New Roman" w:cs="Times New Roman" w:hint="eastAsia"/>
        </w:rPr>
        <w:t>劳动等要素总体产出弹性应给予估算过程，并对结果有所解释；</w:t>
      </w:r>
    </w:p>
    <w:p w14:paraId="0FC75898" w14:textId="101EF87B" w:rsid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 w:rsidRPr="009A73B9">
        <w:rPr>
          <w:rFonts w:ascii="Times New Roman" w:hAnsi="Times New Roman" w:cs="Times New Roman" w:hint="eastAsia"/>
        </w:rPr>
        <w:t>对玉米种植的规模经济的解释</w:t>
      </w:r>
      <w:r>
        <w:rPr>
          <w:rFonts w:ascii="Times New Roman" w:hAnsi="Times New Roman" w:cs="Times New Roman" w:hint="eastAsia"/>
        </w:rPr>
        <w:t>建议</w:t>
      </w:r>
      <w:r w:rsidRPr="009A73B9">
        <w:rPr>
          <w:rFonts w:ascii="Times New Roman" w:hAnsi="Times New Roman" w:cs="Times New Roman" w:hint="eastAsia"/>
        </w:rPr>
        <w:t>用“可分性”或生产函数的规模报酬递增</w:t>
      </w:r>
      <w:r>
        <w:rPr>
          <w:rFonts w:ascii="Times New Roman" w:hAnsi="Times New Roman" w:cs="Times New Roman" w:hint="eastAsia"/>
        </w:rPr>
        <w:t>之类的技术属性来解释；</w:t>
      </w:r>
      <w:bookmarkStart w:id="0" w:name="_GoBack"/>
      <w:bookmarkEnd w:id="0"/>
    </w:p>
    <w:p w14:paraId="0F2F3F25" w14:textId="62AF1E68" w:rsidR="009A73B9" w:rsidRP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核对全文文字，修改表意不清的部分。</w:t>
      </w:r>
    </w:p>
    <w:p w14:paraId="554B429C" w14:textId="77777777" w:rsidR="00460934" w:rsidRDefault="00460934" w:rsidP="009A73B9">
      <w:pPr>
        <w:pStyle w:val="HTML"/>
        <w:shd w:val="clear" w:color="auto" w:fill="FFFFFF"/>
        <w:spacing w:line="440" w:lineRule="exact"/>
        <w:jc w:val="both"/>
        <w:rPr>
          <w:rFonts w:ascii="Times New Roman" w:hAnsi="Times New Roman" w:cs="Times New Roman"/>
          <w:color w:val="FF0000"/>
        </w:rPr>
      </w:pPr>
    </w:p>
    <w:p w14:paraId="1070DB21" w14:textId="12085820" w:rsidR="00404DA6" w:rsidRDefault="009A73B9" w:rsidP="00404DA6">
      <w:pPr>
        <w:pStyle w:val="HTML"/>
        <w:shd w:val="clear" w:color="auto" w:fill="FFFFFF"/>
        <w:spacing w:line="440" w:lineRule="exact"/>
        <w:jc w:val="both"/>
        <w:rPr>
          <w:rFonts w:ascii="Times New Roman" w:hAnsi="Times New Roman" w:cs="Times New Roman"/>
          <w:color w:val="FF0000"/>
        </w:rPr>
      </w:pPr>
      <w:r w:rsidRPr="009A73B9">
        <w:rPr>
          <w:rFonts w:ascii="Times New Roman" w:hAnsi="Times New Roman" w:cs="Times New Roman" w:hint="eastAsia"/>
          <w:color w:val="FF0000"/>
        </w:rPr>
        <w:t>评语</w:t>
      </w:r>
      <w:r w:rsidR="00404DA6">
        <w:rPr>
          <w:rFonts w:ascii="Times New Roman" w:hAnsi="Times New Roman" w:cs="Times New Roman"/>
          <w:color w:val="FF0000"/>
        </w:rPr>
        <w:t>原文</w:t>
      </w:r>
      <w:r w:rsidR="00404DA6">
        <w:rPr>
          <w:rFonts w:ascii="Times New Roman" w:hAnsi="Times New Roman" w:cs="Times New Roman" w:hint="eastAsia"/>
          <w:color w:val="FF0000"/>
        </w:rPr>
        <w:t>：</w:t>
      </w:r>
    </w:p>
    <w:p w14:paraId="1753A46F" w14:textId="2242BA30" w:rsidR="00F9309A" w:rsidRPr="00F9309A" w:rsidRDefault="00F9309A" w:rsidP="00404DA6">
      <w:pPr>
        <w:pStyle w:val="HTML"/>
        <w:shd w:val="clear" w:color="auto" w:fill="FFFFFF"/>
        <w:spacing w:line="440" w:lineRule="exact"/>
        <w:jc w:val="both"/>
        <w:rPr>
          <w:rFonts w:ascii="Times New Roman" w:hAnsi="Times New Roman" w:cs="Times New Roman"/>
          <w:color w:val="000000"/>
          <w:spacing w:val="15"/>
        </w:rPr>
      </w:pPr>
      <w:r>
        <w:rPr>
          <w:rFonts w:ascii="Times New Roman" w:hAnsi="Times New Roman" w:cs="Times New Roman" w:hint="eastAsia"/>
          <w:b/>
        </w:rPr>
        <w:t>意见</w:t>
      </w:r>
      <w:proofErr w:type="gramStart"/>
      <w:r>
        <w:rPr>
          <w:rFonts w:ascii="Times New Roman" w:hAnsi="Times New Roman" w:cs="Times New Roman" w:hint="eastAsia"/>
          <w:b/>
        </w:rPr>
        <w:t>一</w:t>
      </w:r>
      <w:proofErr w:type="gramEnd"/>
      <w:r w:rsidRPr="00F9309A">
        <w:rPr>
          <w:rFonts w:ascii="Times New Roman" w:hAnsi="Times New Roman" w:cs="Times New Roman"/>
          <w:b/>
        </w:rPr>
        <w:t>：</w:t>
      </w:r>
      <w:r w:rsidRPr="00F9309A">
        <w:rPr>
          <w:rFonts w:ascii="Times New Roman" w:hAnsi="Times New Roman" w:cs="Times New Roman"/>
          <w:color w:val="000000"/>
          <w:spacing w:val="15"/>
        </w:rPr>
        <w:t>土地生产率与农地规模的关系不仅是农业经济学里的重要问题，也是当前土地等要素市场化改革的逻辑起点之一，所以，本文的选题具有较好的学术与现实意义。同时，本文所用全国农村固定观察点的农户数据，相比现有研究中常用的数据样本更大，覆盖面更广，质量也更高，提高了本文的学术价值。在方法的运用上，本文从多个方面考察了单产和</w:t>
      </w:r>
      <w:proofErr w:type="gramStart"/>
      <w:r w:rsidRPr="00F9309A">
        <w:rPr>
          <w:rFonts w:ascii="Times New Roman" w:hAnsi="Times New Roman" w:cs="Times New Roman"/>
          <w:color w:val="000000"/>
          <w:spacing w:val="15"/>
        </w:rPr>
        <w:t>投入间</w:t>
      </w:r>
      <w:proofErr w:type="gramEnd"/>
      <w:r w:rsidRPr="00F9309A">
        <w:rPr>
          <w:rFonts w:ascii="Times New Roman" w:hAnsi="Times New Roman" w:cs="Times New Roman"/>
          <w:color w:val="000000"/>
          <w:spacing w:val="15"/>
        </w:rPr>
        <w:t>的组别差异，并对回归结果的解释较为注意，表明作者对当前的学术论文写作方式有较好的了解。</w:t>
      </w:r>
      <w:r w:rsidRPr="008B3CFB">
        <w:rPr>
          <w:rFonts w:ascii="Times New Roman" w:hAnsi="Times New Roman" w:cs="Times New Roman"/>
          <w:b/>
          <w:color w:val="000000"/>
          <w:spacing w:val="15"/>
        </w:rPr>
        <w:t>本文的问题主要是在模型的具体设定与解释上。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1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其中，回归方程同时引入了</w:t>
      </w:r>
      <w:proofErr w:type="spellStart"/>
      <w:r w:rsidRPr="00F9309A">
        <w:rPr>
          <w:rFonts w:ascii="Times New Roman" w:hAnsi="Times New Roman" w:cs="Times New Roman"/>
          <w:color w:val="000000"/>
          <w:spacing w:val="15"/>
        </w:rPr>
        <w:t>lnland</w:t>
      </w:r>
      <w:proofErr w:type="spellEnd"/>
      <w:r w:rsidRPr="00F9309A">
        <w:rPr>
          <w:rFonts w:ascii="Times New Roman" w:hAnsi="Times New Roman" w:cs="Times New Roman"/>
          <w:color w:val="000000"/>
          <w:spacing w:val="15"/>
        </w:rPr>
        <w:t>和</w:t>
      </w:r>
      <w:r w:rsidRPr="00F9309A">
        <w:rPr>
          <w:rFonts w:ascii="Times New Roman" w:hAnsi="Times New Roman" w:cs="Times New Roman"/>
          <w:color w:val="000000"/>
          <w:spacing w:val="15"/>
        </w:rPr>
        <w:t>land</w:t>
      </w:r>
      <w:r w:rsidRPr="00F9309A">
        <w:rPr>
          <w:rFonts w:ascii="Times New Roman" w:hAnsi="Times New Roman" w:cs="Times New Roman"/>
          <w:color w:val="000000"/>
          <w:spacing w:val="15"/>
        </w:rPr>
        <w:t>，即使它们的共线性不太严重，对土地规模的检验也有必要考虑联合显著检验；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2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文中提到用固定效应来控制自然环境，但未具体说明是哪个层面的固定效应，而且，文中所论及的农机市场、土壤质量等因素都有可能包含在固定效应内，有必要更仔细地予以区分；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3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第四章所估计的劳动等要素总体产出弹性普遍偏小，而且从表中的估计结果难以直接看出，有必要交代估算过程，并对结果有所解释；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4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文中用农机市场相对的不发达来解释玉米种植的规模经济令人费解，这不仅是因为机械投入已经控制住了（当然可以将机械投入与土地规模交叉，以进一步控制），而且农机市场效率对小农具和大农具应该都有影响（对机械投入多的大农户影响可能还更大），所以，用</w:t>
      </w:r>
      <w:r w:rsidR="006D357A" w:rsidRPr="00F9309A">
        <w:rPr>
          <w:rFonts w:ascii="Times New Roman" w:hAnsi="Times New Roman" w:cs="Times New Roman" w:hint="eastAsia"/>
          <w:color w:val="000000"/>
          <w:spacing w:val="15"/>
        </w:rPr>
        <w:t>“</w:t>
      </w:r>
      <w:r w:rsidRPr="00F9309A">
        <w:rPr>
          <w:rFonts w:ascii="Times New Roman" w:hAnsi="Times New Roman" w:cs="Times New Roman"/>
          <w:color w:val="000000"/>
          <w:spacing w:val="15"/>
        </w:rPr>
        <w:t>可分性</w:t>
      </w:r>
      <w:r w:rsidR="006D357A" w:rsidRPr="00F9309A">
        <w:rPr>
          <w:rFonts w:ascii="Times New Roman" w:hAnsi="Times New Roman" w:cs="Times New Roman" w:hint="eastAsia"/>
          <w:color w:val="000000"/>
          <w:spacing w:val="15"/>
        </w:rPr>
        <w:t>”</w:t>
      </w:r>
      <w:r w:rsidRPr="00F9309A">
        <w:rPr>
          <w:rFonts w:ascii="Times New Roman" w:hAnsi="Times New Roman" w:cs="Times New Roman"/>
          <w:color w:val="000000"/>
          <w:spacing w:val="15"/>
        </w:rPr>
        <w:t>或生产函数的规模报酬递增之类技术属性来解释可能更说得通。</w:t>
      </w:r>
      <w:r w:rsidRPr="00F9309A">
        <w:rPr>
          <w:rFonts w:ascii="Times New Roman" w:hAnsi="Times New Roman" w:cs="Times New Roman"/>
          <w:color w:val="000000"/>
          <w:spacing w:val="15"/>
        </w:rPr>
        <w:t> </w:t>
      </w:r>
    </w:p>
    <w:p w14:paraId="31D3843E" w14:textId="2CE715EC" w:rsidR="00F9309A" w:rsidRPr="00F9309A" w:rsidRDefault="00F9309A" w:rsidP="00404DA6">
      <w:pPr>
        <w:pStyle w:val="HTML"/>
        <w:shd w:val="clear" w:color="auto" w:fill="FFFFFF"/>
        <w:spacing w:beforeLines="50" w:before="156" w:line="440" w:lineRule="exact"/>
        <w:rPr>
          <w:rFonts w:ascii="Times New Roman" w:hAnsi="Times New Roman" w:cs="Times New Roman"/>
          <w:color w:val="000000"/>
          <w:spacing w:val="15"/>
        </w:rPr>
      </w:pPr>
      <w:r>
        <w:rPr>
          <w:rFonts w:ascii="Times New Roman" w:hAnsi="Times New Roman" w:cs="Times New Roman" w:hint="eastAsia"/>
          <w:b/>
        </w:rPr>
        <w:lastRenderedPageBreak/>
        <w:t>意见二</w:t>
      </w:r>
      <w:r w:rsidRPr="00F9309A">
        <w:rPr>
          <w:rFonts w:ascii="Times New Roman" w:hAnsi="Times New Roman" w:cs="Times New Roman"/>
          <w:b/>
        </w:rPr>
        <w:t>：</w:t>
      </w:r>
      <w:r w:rsidRPr="00F9309A">
        <w:rPr>
          <w:rFonts w:ascii="Times New Roman" w:hAnsi="Times New Roman" w:cs="Times New Roman"/>
          <w:color w:val="000000"/>
          <w:spacing w:val="15"/>
        </w:rPr>
        <w:t>论文选题农地经营规模与粮食单产的关系，是一个热点问题，具有重要理论意义和现实价值。文献阅读全面，综述较为准确。论文研究框架合理，逻辑清楚，样本数据量大，研究方法规范，研究结论分析合理。论文显示，作者已经很好掌握了本专业的研究方法和技能，具有从事科研的素质和能力。修改意见：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1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在小麦、稻米分析部分，出现了玉米字样，请全文核对文字。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2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部分文字表述含义含糊、不准确，如</w:t>
      </w:r>
      <w:r w:rsidRPr="00F9309A">
        <w:rPr>
          <w:rFonts w:ascii="Times New Roman" w:hAnsi="Times New Roman" w:cs="Times New Roman"/>
          <w:color w:val="000000"/>
          <w:spacing w:val="15"/>
        </w:rPr>
        <w:t>“</w:t>
      </w:r>
      <w:r w:rsidRPr="00F9309A">
        <w:rPr>
          <w:rFonts w:ascii="Times New Roman" w:hAnsi="Times New Roman" w:cs="Times New Roman"/>
          <w:color w:val="000000"/>
          <w:spacing w:val="15"/>
        </w:rPr>
        <w:t>反之亦反</w:t>
      </w:r>
      <w:r w:rsidRPr="00F9309A">
        <w:rPr>
          <w:rFonts w:ascii="Times New Roman" w:hAnsi="Times New Roman" w:cs="Times New Roman"/>
          <w:color w:val="000000"/>
          <w:spacing w:val="15"/>
        </w:rPr>
        <w:t>”</w:t>
      </w:r>
      <w:r w:rsidRPr="00F9309A">
        <w:rPr>
          <w:rFonts w:ascii="Times New Roman" w:hAnsi="Times New Roman" w:cs="Times New Roman"/>
          <w:color w:val="000000"/>
          <w:spacing w:val="15"/>
        </w:rPr>
        <w:t>之类，请修改。</w:t>
      </w:r>
      <w:r w:rsidRPr="00F9309A">
        <w:rPr>
          <w:rFonts w:ascii="Times New Roman" w:hAnsi="Times New Roman" w:cs="Times New Roman"/>
          <w:color w:val="000000"/>
          <w:spacing w:val="15"/>
        </w:rPr>
        <w:t> </w:t>
      </w:r>
    </w:p>
    <w:p w14:paraId="22514DEC" w14:textId="1FE3C867" w:rsidR="006B000B" w:rsidRPr="00F9309A" w:rsidRDefault="006C6FC1" w:rsidP="00F9309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6B000B" w:rsidRPr="00F93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5A889" w14:textId="77777777" w:rsidR="006C6FC1" w:rsidRDefault="006C6FC1" w:rsidP="00F9309A">
      <w:r>
        <w:separator/>
      </w:r>
    </w:p>
  </w:endnote>
  <w:endnote w:type="continuationSeparator" w:id="0">
    <w:p w14:paraId="551C62C8" w14:textId="77777777" w:rsidR="006C6FC1" w:rsidRDefault="006C6FC1" w:rsidP="00F9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8EFCE" w14:textId="77777777" w:rsidR="006C6FC1" w:rsidRDefault="006C6FC1" w:rsidP="00F9309A">
      <w:r>
        <w:separator/>
      </w:r>
    </w:p>
  </w:footnote>
  <w:footnote w:type="continuationSeparator" w:id="0">
    <w:p w14:paraId="70D78008" w14:textId="77777777" w:rsidR="006C6FC1" w:rsidRDefault="006C6FC1" w:rsidP="00F93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60AF6"/>
    <w:multiLevelType w:val="hybridMultilevel"/>
    <w:tmpl w:val="5338ED24"/>
    <w:lvl w:ilvl="0" w:tplc="37F668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68"/>
    <w:rsid w:val="00260C68"/>
    <w:rsid w:val="00404DA6"/>
    <w:rsid w:val="004408E7"/>
    <w:rsid w:val="00460934"/>
    <w:rsid w:val="006C6FC1"/>
    <w:rsid w:val="006D357A"/>
    <w:rsid w:val="0089059A"/>
    <w:rsid w:val="008B3CFB"/>
    <w:rsid w:val="00936681"/>
    <w:rsid w:val="009A73B9"/>
    <w:rsid w:val="009E6DD7"/>
    <w:rsid w:val="009F719F"/>
    <w:rsid w:val="00A012E4"/>
    <w:rsid w:val="00A65586"/>
    <w:rsid w:val="00BF6D5C"/>
    <w:rsid w:val="00C6144A"/>
    <w:rsid w:val="00D46EC0"/>
    <w:rsid w:val="00D877BC"/>
    <w:rsid w:val="00E97B20"/>
    <w:rsid w:val="00F1755F"/>
    <w:rsid w:val="00F67D2F"/>
    <w:rsid w:val="00F9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5EEEC"/>
  <w15:chartTrackingRefBased/>
  <w15:docId w15:val="{15FC1906-3199-456C-AFBF-4ED26160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0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09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93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30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6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沛东</dc:creator>
  <cp:keywords/>
  <dc:description/>
  <cp:lastModifiedBy>钟 沛东</cp:lastModifiedBy>
  <cp:revision>15</cp:revision>
  <dcterms:created xsi:type="dcterms:W3CDTF">2019-04-25T11:27:00Z</dcterms:created>
  <dcterms:modified xsi:type="dcterms:W3CDTF">2019-04-25T11:53:00Z</dcterms:modified>
</cp:coreProperties>
</file>