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土地生产率与农地经营规模的关系在农经学界存在长久的争议。自</w:t>
      </w:r>
      <w:r w:rsidRPr="00B26ACE">
        <w:rPr>
          <w:rFonts w:eastAsiaTheme="minorEastAsia"/>
          <w:sz w:val="21"/>
          <w:szCs w:val="21"/>
        </w:rPr>
        <w:t>1962</w:t>
      </w:r>
      <w:r w:rsidRPr="00B26ACE">
        <w:rPr>
          <w:rFonts w:eastAsiaTheme="minorEastAsia" w:hint="eastAsia"/>
          <w:sz w:val="21"/>
          <w:szCs w:val="21"/>
        </w:rPr>
        <w:t>年印度土地生产率与农地经营规模的负向关系被观察到以来，农业由于资源不可分性而具有规模效应的传统认识不断被推翻，两者的负向关系也被认为是传统农业的典型特征。接着，舒尔茨（</w:t>
      </w:r>
      <w:r w:rsidRPr="00B26ACE">
        <w:rPr>
          <w:rFonts w:eastAsiaTheme="minorEastAsia"/>
          <w:sz w:val="21"/>
          <w:szCs w:val="21"/>
        </w:rPr>
        <w:t>1983</w:t>
      </w:r>
      <w:r w:rsidRPr="00B26ACE">
        <w:rPr>
          <w:rFonts w:eastAsiaTheme="minorEastAsia" w:hint="eastAsia"/>
          <w:sz w:val="21"/>
          <w:szCs w:val="21"/>
        </w:rPr>
        <w:t>）进一步提出大部分农业资源是假不可分性的说法，他认为大部分的投入品诸如良种、牲畜、机器等都很少属于不可分的要素，而真不可分的农民或者农场管理者也并不必然需要大农场才更有效。这种与传统认识相悖的事实和说法吸引了一众学者就农户经营规模与土地生产率的关系展开研究，然而多年以来大家始终无法形成一致的认识，对背后原因的解释相异，使得土地生产率与农地经营规模的关系长期成为农经学界的疑点。</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土地生产率与农地经营规模关系的研究结论尚未达成共识，本文通过分析总结现有的研究把握作物间土地投入和产出的共性和特性。李谷成等（</w:t>
      </w:r>
      <w:r w:rsidRPr="00B26ACE">
        <w:rPr>
          <w:rFonts w:eastAsiaTheme="minorEastAsia" w:hint="eastAsia"/>
          <w:sz w:val="21"/>
          <w:szCs w:val="21"/>
        </w:rPr>
        <w:t>2009</w:t>
      </w:r>
      <w:r w:rsidRPr="00B26ACE">
        <w:rPr>
          <w:rFonts w:eastAsiaTheme="minorEastAsia" w:hint="eastAsia"/>
          <w:sz w:val="21"/>
          <w:szCs w:val="21"/>
        </w:rPr>
        <w:t>）、郭庆海（</w:t>
      </w:r>
      <w:r w:rsidRPr="00B26ACE">
        <w:rPr>
          <w:rFonts w:eastAsiaTheme="minorEastAsia" w:hint="eastAsia"/>
          <w:sz w:val="21"/>
          <w:szCs w:val="21"/>
        </w:rPr>
        <w:t>2014</w:t>
      </w:r>
      <w:r w:rsidRPr="00B26ACE">
        <w:rPr>
          <w:rFonts w:eastAsiaTheme="minorEastAsia" w:hint="eastAsia"/>
          <w:sz w:val="21"/>
          <w:szCs w:val="21"/>
        </w:rPr>
        <w:t>）、任治君（</w:t>
      </w:r>
      <w:r w:rsidRPr="00B26ACE">
        <w:rPr>
          <w:rFonts w:eastAsiaTheme="minorEastAsia" w:hint="eastAsia"/>
          <w:sz w:val="21"/>
          <w:szCs w:val="21"/>
        </w:rPr>
        <w:t>1995</w:t>
      </w:r>
      <w:r w:rsidRPr="00B26ACE">
        <w:rPr>
          <w:rFonts w:eastAsiaTheme="minorEastAsia" w:hint="eastAsia"/>
          <w:sz w:val="21"/>
          <w:szCs w:val="21"/>
        </w:rPr>
        <w:t>）、陈海磊等（</w:t>
      </w:r>
      <w:r w:rsidRPr="00B26ACE">
        <w:rPr>
          <w:rFonts w:eastAsiaTheme="minorEastAsia" w:hint="eastAsia"/>
          <w:sz w:val="21"/>
          <w:szCs w:val="21"/>
        </w:rPr>
        <w:t>2014</w:t>
      </w:r>
      <w:r w:rsidRPr="00B26ACE">
        <w:rPr>
          <w:rFonts w:eastAsiaTheme="minorEastAsia" w:hint="eastAsia"/>
          <w:sz w:val="21"/>
          <w:szCs w:val="21"/>
        </w:rPr>
        <w:t>）、辛良杰等（</w:t>
      </w:r>
      <w:r w:rsidRPr="00B26ACE">
        <w:rPr>
          <w:rFonts w:eastAsiaTheme="minorEastAsia" w:hint="eastAsia"/>
          <w:sz w:val="21"/>
          <w:szCs w:val="21"/>
        </w:rPr>
        <w:t>2009</w:t>
      </w:r>
      <w:r w:rsidRPr="00B26ACE">
        <w:rPr>
          <w:rFonts w:eastAsiaTheme="minorEastAsia" w:hint="eastAsia"/>
          <w:sz w:val="21"/>
          <w:szCs w:val="21"/>
        </w:rPr>
        <w:t>）以及张悦和刘文勇（</w:t>
      </w:r>
      <w:r w:rsidRPr="00B26ACE">
        <w:rPr>
          <w:rFonts w:eastAsiaTheme="minorEastAsia" w:hint="eastAsia"/>
          <w:sz w:val="21"/>
          <w:szCs w:val="21"/>
        </w:rPr>
        <w:t>2016</w:t>
      </w:r>
      <w:r w:rsidRPr="00B26ACE">
        <w:rPr>
          <w:rFonts w:eastAsiaTheme="minorEastAsia" w:hint="eastAsia"/>
          <w:sz w:val="21"/>
          <w:szCs w:val="21"/>
        </w:rPr>
        <w:t>）等的研究结果保持传统农业的观点，认同土地生产率与农地经营规模的负向关系；而王建英等（</w:t>
      </w:r>
      <w:r w:rsidRPr="00B26ACE">
        <w:rPr>
          <w:rFonts w:eastAsiaTheme="minorEastAsia" w:hint="eastAsia"/>
          <w:sz w:val="21"/>
          <w:szCs w:val="21"/>
        </w:rPr>
        <w:t>2015</w:t>
      </w:r>
      <w:r w:rsidRPr="00B26ACE">
        <w:rPr>
          <w:rFonts w:eastAsiaTheme="minorEastAsia" w:hint="eastAsia"/>
          <w:sz w:val="21"/>
          <w:szCs w:val="21"/>
        </w:rPr>
        <w:t>）、钱龙和洪名勇（</w:t>
      </w:r>
      <w:r w:rsidRPr="00B26ACE">
        <w:rPr>
          <w:rFonts w:eastAsiaTheme="minorEastAsia" w:hint="eastAsia"/>
          <w:sz w:val="21"/>
          <w:szCs w:val="21"/>
        </w:rPr>
        <w:t>2016</w:t>
      </w:r>
      <w:r w:rsidRPr="00B26ACE">
        <w:rPr>
          <w:rFonts w:eastAsiaTheme="minorEastAsia" w:hint="eastAsia"/>
          <w:sz w:val="21"/>
          <w:szCs w:val="21"/>
        </w:rPr>
        <w:t>）以及范红忠和周启良（</w:t>
      </w:r>
      <w:r w:rsidRPr="00B26ACE">
        <w:rPr>
          <w:rFonts w:eastAsiaTheme="minorEastAsia" w:hint="eastAsia"/>
          <w:sz w:val="21"/>
          <w:szCs w:val="21"/>
        </w:rPr>
        <w:t>2016</w:t>
      </w:r>
      <w:r w:rsidRPr="00B26ACE">
        <w:rPr>
          <w:rFonts w:eastAsiaTheme="minorEastAsia" w:hint="eastAsia"/>
          <w:sz w:val="21"/>
          <w:szCs w:val="21"/>
        </w:rPr>
        <w:t>）则表明，随着经营规模的扩大，土地生产率增加；此外，还有部分学者认为农业生产的特点存在较为复杂的关系，如罗丹等（</w:t>
      </w:r>
      <w:r w:rsidRPr="00B26ACE">
        <w:rPr>
          <w:rFonts w:eastAsiaTheme="minorEastAsia" w:hint="eastAsia"/>
          <w:sz w:val="21"/>
          <w:szCs w:val="21"/>
        </w:rPr>
        <w:t>2013</w:t>
      </w:r>
      <w:r w:rsidRPr="00B26ACE">
        <w:rPr>
          <w:rFonts w:eastAsiaTheme="minorEastAsia" w:hint="eastAsia"/>
          <w:sz w:val="21"/>
          <w:szCs w:val="21"/>
        </w:rPr>
        <w:t>）通过比较农户调查数据得出两者呈“倒</w:t>
      </w:r>
      <w:r w:rsidRPr="00B26ACE">
        <w:rPr>
          <w:rFonts w:eastAsiaTheme="minorEastAsia" w:hint="eastAsia"/>
          <w:sz w:val="21"/>
          <w:szCs w:val="21"/>
        </w:rPr>
        <w:t>U</w:t>
      </w:r>
      <w:r w:rsidRPr="00B26ACE">
        <w:rPr>
          <w:rFonts w:eastAsiaTheme="minorEastAsia" w:hint="eastAsia"/>
          <w:sz w:val="21"/>
          <w:szCs w:val="21"/>
        </w:rPr>
        <w:t>型”关系的结论，王嫚嫚等（</w:t>
      </w:r>
      <w:r w:rsidRPr="00B26ACE">
        <w:rPr>
          <w:rFonts w:eastAsiaTheme="minorEastAsia" w:hint="eastAsia"/>
          <w:sz w:val="21"/>
          <w:szCs w:val="21"/>
        </w:rPr>
        <w:t>2017</w:t>
      </w:r>
      <w:r w:rsidRPr="00B26ACE">
        <w:rPr>
          <w:rFonts w:eastAsiaTheme="minorEastAsia" w:hint="eastAsia"/>
          <w:sz w:val="21"/>
          <w:szCs w:val="21"/>
        </w:rPr>
        <w:t>）在江汉平原水稻种植户的研究中发现土地生产率与经营规模呈现“</w:t>
      </w:r>
      <w:r w:rsidRPr="00B26ACE">
        <w:rPr>
          <w:rFonts w:eastAsiaTheme="minorEastAsia" w:hint="eastAsia"/>
          <w:sz w:val="21"/>
          <w:szCs w:val="21"/>
        </w:rPr>
        <w:t>N</w:t>
      </w:r>
      <w:r w:rsidRPr="00B26ACE">
        <w:rPr>
          <w:rFonts w:eastAsiaTheme="minorEastAsia" w:hint="eastAsia"/>
          <w:sz w:val="21"/>
          <w:szCs w:val="21"/>
        </w:rPr>
        <w:t>型”关系，李文明等（</w:t>
      </w:r>
      <w:r w:rsidRPr="00B26ACE">
        <w:rPr>
          <w:rFonts w:eastAsiaTheme="minorEastAsia" w:hint="eastAsia"/>
          <w:sz w:val="21"/>
          <w:szCs w:val="21"/>
        </w:rPr>
        <w:t>2015</w:t>
      </w:r>
      <w:r w:rsidRPr="00B26ACE">
        <w:rPr>
          <w:rFonts w:eastAsiaTheme="minorEastAsia" w:hint="eastAsia"/>
          <w:sz w:val="21"/>
          <w:szCs w:val="21"/>
        </w:rPr>
        <w:t>）则认为两者关系呈现“倒</w:t>
      </w:r>
      <w:r w:rsidRPr="00B26ACE">
        <w:rPr>
          <w:rFonts w:eastAsiaTheme="minorEastAsia" w:hint="eastAsia"/>
          <w:sz w:val="21"/>
          <w:szCs w:val="21"/>
        </w:rPr>
        <w:t>N</w:t>
      </w:r>
      <w:r w:rsidRPr="00B26ACE">
        <w:rPr>
          <w:rFonts w:eastAsiaTheme="minorEastAsia"/>
          <w:sz w:val="21"/>
          <w:szCs w:val="21"/>
        </w:rPr>
        <w:t>”</w:t>
      </w:r>
      <w:r w:rsidRPr="00B26ACE">
        <w:rPr>
          <w:rFonts w:eastAsiaTheme="minorEastAsia" w:hint="eastAsia"/>
          <w:sz w:val="21"/>
          <w:szCs w:val="21"/>
        </w:rPr>
        <w:t>型的趋向。</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上述研究呈现的土地生产率与农地经营规模的关系存在较大的争议，有如下几点原因。首先，研究对；其次，文献中因变量和关键变量的选择存在差异。如土地生产率与农地经营规模变量。土地生产率的指标各式各样，包括亩均产量、亩均利润和亩均收入等。而其中利润的计量方法又存在差异，如何衡量家庭投入要素的机会成本使得估算的利润不一致；其次，文献中</w:t>
      </w:r>
    </w:p>
    <w:p w:rsid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中国经历了四十年的高速发展，劳动力结构随着经济的发展不断调整，农业劳动力逐步流出至其他产业。我国农业劳动力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此外，“看的见的手”—国家政策的引导对当前农村劳动力的现状起了非常重要的作用。</w:t>
      </w:r>
      <w:r w:rsidRPr="00B26ACE">
        <w:rPr>
          <w:rFonts w:eastAsiaTheme="minorEastAsia"/>
          <w:sz w:val="21"/>
          <w:szCs w:val="21"/>
        </w:rPr>
        <w:t>1982</w:t>
      </w:r>
      <w:r w:rsidRPr="00B26ACE">
        <w:rPr>
          <w:rFonts w:eastAsiaTheme="minorEastAsia" w:hint="eastAsia"/>
          <w:sz w:val="21"/>
          <w:szCs w:val="21"/>
        </w:rPr>
        <w:t>年实行的计划生育政策使得人口红利消失的时间提前，不仅是农村，全国的人口自然增长率均有所下降，老龄化问题开始显现，农村劳动力规模也相应缩小。以及新世纪以来国家经济的腾飞，城市化的进程和政府近几年农村的系列政策的改革，都为农村劳动力转向非农行业、农民兼业化提供了良好的条件。另外，从农户微观视角出发，</w:t>
      </w:r>
    </w:p>
    <w:p w:rsidR="00C3412A" w:rsidRPr="00B26ACE" w:rsidRDefault="00C3412A" w:rsidP="00B26ACE">
      <w:pPr>
        <w:spacing w:line="360" w:lineRule="exact"/>
        <w:ind w:firstLine="420"/>
        <w:rPr>
          <w:rFonts w:eastAsiaTheme="minorEastAsia" w:hint="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lastRenderedPageBreak/>
        <w:t xml:space="preserve">1.2   </w:t>
      </w:r>
      <w:r w:rsidRPr="0094185A">
        <w:rPr>
          <w:rFonts w:eastAsia="黑体" w:hint="eastAsia"/>
          <w:color w:val="FF0000"/>
          <w:sz w:val="28"/>
          <w:szCs w:val="28"/>
        </w:rPr>
        <w:t>研究意义</w:t>
      </w:r>
    </w:p>
    <w:p w:rsidR="00C3412A" w:rsidRPr="00B26ACE" w:rsidRDefault="00C3412A" w:rsidP="00C3412A">
      <w:pPr>
        <w:spacing w:line="360" w:lineRule="exact"/>
        <w:ind w:firstLine="420"/>
        <w:rPr>
          <w:rFonts w:eastAsiaTheme="minorEastAsia" w:hint="eastAsia"/>
          <w:sz w:val="21"/>
          <w:szCs w:val="21"/>
        </w:rPr>
      </w:pPr>
      <w:r w:rsidRPr="00B26ACE">
        <w:rPr>
          <w:rFonts w:eastAsiaTheme="minorEastAsia" w:hint="eastAsia"/>
          <w:sz w:val="21"/>
          <w:szCs w:val="21"/>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本研究的总体目标致力于证实农户调整农地经营规模过程中土地生产率的倒“</w:t>
      </w:r>
      <w:r w:rsidRPr="00C3412A">
        <w:rPr>
          <w:rFonts w:eastAsiaTheme="minorEastAsia" w:hint="eastAsia"/>
          <w:sz w:val="21"/>
          <w:szCs w:val="21"/>
        </w:rPr>
        <w:t>U</w:t>
      </w:r>
      <w:r w:rsidRPr="00C3412A">
        <w:rPr>
          <w:rFonts w:eastAsiaTheme="minorEastAsia" w:hint="eastAsia"/>
          <w:sz w:val="21"/>
          <w:szCs w:val="21"/>
        </w:rPr>
        <w:t>”型关系。具体目标是识别影响土地生产率的主要因素，得到不同作物单产与种植面积的关系，证实不同作物的土地投入产出关系具有共同的规律，最后找到土地生产率与农地经营规模关系的经济学解释。</w:t>
      </w:r>
    </w:p>
    <w:p w:rsidR="00C3412A" w:rsidRPr="00C3412A" w:rsidRDefault="00C3412A" w:rsidP="00C3412A">
      <w:pPr>
        <w:spacing w:line="360" w:lineRule="exact"/>
        <w:ind w:firstLine="420"/>
        <w:rPr>
          <w:rFonts w:eastAsiaTheme="minorEastAsia" w:hint="eastAsia"/>
          <w:sz w:val="21"/>
          <w:szCs w:val="21"/>
        </w:rPr>
      </w:pPr>
      <w:r w:rsidRPr="00C3412A">
        <w:rPr>
          <w:rFonts w:eastAsiaTheme="minorEastAsia"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1.4   </w:t>
      </w:r>
      <w:r w:rsidRPr="0094185A">
        <w:rPr>
          <w:rFonts w:eastAsia="黑体" w:hint="eastAsia"/>
          <w:sz w:val="28"/>
          <w:szCs w:val="28"/>
        </w:rPr>
        <w:t>研究方法与技术路线</w:t>
      </w:r>
    </w:p>
    <w:p w:rsidR="0094185A" w:rsidRP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1.5   </w:t>
      </w:r>
      <w:r w:rsidRPr="0094185A">
        <w:rPr>
          <w:rFonts w:eastAsia="黑体" w:hint="eastAsia"/>
          <w:sz w:val="28"/>
          <w:szCs w:val="28"/>
        </w:rPr>
        <w:t>可能的创新性与不足</w:t>
      </w: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94185A" w:rsidRDefault="0094185A"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2.1   </w:t>
      </w:r>
      <w:r w:rsidR="00B50D55" w:rsidRPr="00B50D55">
        <w:rPr>
          <w:rFonts w:eastAsia="黑体" w:hint="eastAsia"/>
          <w:sz w:val="28"/>
          <w:szCs w:val="28"/>
        </w:rPr>
        <w:t>概念界定</w:t>
      </w:r>
    </w:p>
    <w:p w:rsidR="00B50D55" w:rsidRDefault="00B50D55" w:rsidP="00B50D55">
      <w:pPr>
        <w:spacing w:beforeLines="100" w:before="326" w:afterLines="100" w:after="326" w:line="360" w:lineRule="exact"/>
        <w:ind w:firstLineChars="0" w:firstLine="0"/>
        <w:jc w:val="left"/>
        <w:outlineLvl w:val="2"/>
        <w:rPr>
          <w:rFonts w:eastAsia="黑体"/>
        </w:rPr>
      </w:pPr>
      <w:r w:rsidRPr="00B50D55">
        <w:rPr>
          <w:rFonts w:eastAsia="黑体" w:hint="eastAsia"/>
        </w:rPr>
        <w:t xml:space="preserve">2.1.1   </w:t>
      </w:r>
      <w:r w:rsidRPr="00B50D55">
        <w:rPr>
          <w:rFonts w:eastAsia="黑体" w:hint="eastAsia"/>
        </w:rPr>
        <w:t>农地经营规模</w:t>
      </w:r>
    </w:p>
    <w:p w:rsidR="00AB467E" w:rsidRPr="00B50D55" w:rsidRDefault="00AB467E" w:rsidP="00B50D55">
      <w:pPr>
        <w:spacing w:beforeLines="100" w:before="326" w:afterLines="100" w:after="326" w:line="360" w:lineRule="exact"/>
        <w:ind w:firstLineChars="0" w:firstLine="0"/>
        <w:jc w:val="left"/>
        <w:outlineLvl w:val="2"/>
        <w:rPr>
          <w:rFonts w:eastAsia="黑体"/>
        </w:rPr>
      </w:pPr>
      <w:r>
        <w:rPr>
          <w:rFonts w:eastAsia="黑体" w:hint="eastAsia"/>
        </w:rPr>
        <w:t xml:space="preserve">2.1.2   </w:t>
      </w:r>
      <w:r>
        <w:rPr>
          <w:rFonts w:eastAsia="黑体" w:hint="eastAsia"/>
        </w:rPr>
        <w:t>土地生产率</w:t>
      </w:r>
    </w:p>
    <w:p w:rsidR="00B50D55" w:rsidRP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2.2   </w:t>
      </w:r>
      <w:r w:rsidRPr="00B50D55">
        <w:rPr>
          <w:rFonts w:eastAsia="黑体" w:hint="eastAsia"/>
          <w:sz w:val="28"/>
          <w:szCs w:val="28"/>
        </w:rPr>
        <w:t>文献综述</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2.3   </w:t>
      </w:r>
      <w:r w:rsidRPr="00B50D55">
        <w:rPr>
          <w:rFonts w:eastAsia="黑体" w:hint="eastAsia"/>
          <w:sz w:val="28"/>
          <w:szCs w:val="28"/>
        </w:rPr>
        <w:t>本章小结</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4"/>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7212B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3.1.1   </w:t>
      </w:r>
      <w:r w:rsidRPr="007944EE">
        <w:rPr>
          <w:rFonts w:eastAsia="黑体" w:hint="eastAsia"/>
        </w:rPr>
        <w:t>产业结构调整理论</w:t>
      </w:r>
    </w:p>
    <w:p w:rsidR="007C43F7" w:rsidRPr="007944EE" w:rsidRDefault="007C43F7"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3.1.2   </w:t>
      </w:r>
      <w:r>
        <w:rPr>
          <w:rFonts w:eastAsia="黑体" w:hint="eastAsia"/>
        </w:rPr>
        <w:t>生产可能</w:t>
      </w:r>
      <w:r w:rsidR="00196E08">
        <w:rPr>
          <w:rFonts w:eastAsia="黑体" w:hint="eastAsia"/>
        </w:rPr>
        <w:t>集</w:t>
      </w:r>
    </w:p>
    <w:p w:rsidR="007944EE" w:rsidRP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3.1.</w:t>
      </w:r>
      <w:r w:rsidR="007C43F7">
        <w:rPr>
          <w:rFonts w:eastAsia="黑体" w:hint="eastAsia"/>
        </w:rPr>
        <w:t>3</w:t>
      </w:r>
      <w:r>
        <w:rPr>
          <w:rFonts w:eastAsia="黑体" w:hint="eastAsia"/>
        </w:rPr>
        <w:t xml:space="preserve">   </w:t>
      </w:r>
      <w:r w:rsidR="00971A59">
        <w:rPr>
          <w:rFonts w:eastAsia="黑体" w:hint="eastAsia"/>
        </w:rPr>
        <w:t>农民经济组织（恰亚诺夫）</w:t>
      </w: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EB1F11" w:rsidRPr="00271BBF" w:rsidRDefault="00870349" w:rsidP="00EB1F11">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highlight w:val="yellow"/>
        </w:rPr>
        <w:t>农民的生产要素配置是高效率的，</w:t>
      </w:r>
      <w:r w:rsidR="00271BBF">
        <w:rPr>
          <w:rFonts w:asciiTheme="minorEastAsia" w:eastAsiaTheme="minorEastAsia" w:hAnsiTheme="minorEastAsia" w:hint="eastAsia"/>
          <w:sz w:val="21"/>
          <w:szCs w:val="21"/>
          <w:highlight w:val="yellow"/>
        </w:rPr>
        <w:t>他们善于利用掌握的要素和生产技术（舒尔茨，</w:t>
      </w:r>
      <w:r w:rsidR="00271BBF" w:rsidRPr="00E575FE">
        <w:rPr>
          <w:rFonts w:asciiTheme="minorEastAsia" w:eastAsiaTheme="minorEastAsia" w:hAnsiTheme="minorEastAsia" w:hint="eastAsia"/>
          <w:sz w:val="21"/>
          <w:szCs w:val="21"/>
          <w:highlight w:val="yellow"/>
        </w:rPr>
        <w:t>200</w:t>
      </w:r>
      <w:r w:rsidR="00E575FE" w:rsidRPr="00E575FE">
        <w:rPr>
          <w:rFonts w:asciiTheme="minorEastAsia" w:eastAsiaTheme="minorEastAsia" w:hAnsiTheme="minorEastAsia" w:hint="eastAsia"/>
          <w:sz w:val="21"/>
          <w:szCs w:val="21"/>
          <w:highlight w:val="yellow"/>
        </w:rPr>
        <w:t>6</w:t>
      </w:r>
      <w:r w:rsidR="00E575FE" w:rsidRPr="00E575FE">
        <w:rPr>
          <w:rFonts w:asciiTheme="minorEastAsia" w:eastAsiaTheme="minorEastAsia" w:hAnsiTheme="minorEastAsia"/>
          <w:sz w:val="21"/>
          <w:szCs w:val="21"/>
          <w:highlight w:val="yellow"/>
        </w:rPr>
        <w:t>）</w:t>
      </w:r>
      <w:r w:rsidR="00C345D9">
        <w:rPr>
          <w:rFonts w:asciiTheme="minorEastAsia" w:eastAsiaTheme="minorEastAsia" w:hAnsiTheme="minorEastAsia" w:hint="eastAsia"/>
          <w:sz w:val="21"/>
          <w:szCs w:val="21"/>
        </w:rPr>
        <w:t>，</w:t>
      </w:r>
      <w:r w:rsidR="003E29DD">
        <w:rPr>
          <w:rFonts w:asciiTheme="minorEastAsia" w:eastAsiaTheme="minorEastAsia" w:hAnsiTheme="minorEastAsia" w:hint="eastAsia"/>
          <w:sz w:val="21"/>
          <w:szCs w:val="21"/>
        </w:rPr>
        <w:t>追逐利润。</w:t>
      </w:r>
    </w:p>
    <w:p w:rsidR="004936D2" w:rsidRDefault="004936D2" w:rsidP="00B26ACE">
      <w:pPr>
        <w:spacing w:line="360" w:lineRule="exact"/>
        <w:ind w:firstLine="420"/>
        <w:jc w:val="left"/>
        <w:rPr>
          <w:rFonts w:eastAsiaTheme="minorEastAsia"/>
          <w:sz w:val="21"/>
          <w:szCs w:val="21"/>
        </w:rPr>
      </w:pPr>
      <w:r>
        <w:rPr>
          <w:rFonts w:eastAsiaTheme="minorEastAsia" w:hint="eastAsia"/>
          <w:sz w:val="21"/>
          <w:szCs w:val="21"/>
        </w:rPr>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B26ACE">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c"/>
        <w:spacing w:before="326" w:after="326"/>
      </w:pPr>
      <w:r w:rsidRPr="00F35EE4">
        <w:rPr>
          <w:rFonts w:hint="eastAsia"/>
        </w:rPr>
        <w:tab/>
      </w:r>
      <w:r w:rsidRPr="00F35EE4">
        <w:object w:dxaOrig="6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8.75pt" o:ole="">
            <v:imagedata r:id="rId15" o:title=""/>
          </v:shape>
          <o:OLEObject Type="Embed" ProgID="Equation.DSMT4" ShapeID="_x0000_i1025" DrawAspect="Content" ObjectID="_1605955479" r:id="rId16"/>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lastRenderedPageBreak/>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假说一：</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7"/>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部分省</w:t>
      </w:r>
      <w:r w:rsidR="00BE61BE" w:rsidRPr="00281365">
        <w:rPr>
          <w:rFonts w:eastAsiaTheme="minorEastAsia"/>
          <w:sz w:val="21"/>
          <w:szCs w:val="21"/>
        </w:rPr>
        <w:t>存在单双季稻混种的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；周桐宇等，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；张培</w:t>
      </w:r>
      <w:r w:rsidR="00DE3598" w:rsidRPr="00281365">
        <w:rPr>
          <w:rFonts w:eastAsiaTheme="minorEastAsia"/>
          <w:sz w:val="21"/>
          <w:szCs w:val="21"/>
        </w:rPr>
        <w:t>江</w:t>
      </w:r>
      <w:r w:rsidR="001A03DB" w:rsidRPr="00281365">
        <w:rPr>
          <w:rFonts w:eastAsiaTheme="minorEastAsia"/>
          <w:sz w:val="21"/>
          <w:szCs w:val="21"/>
        </w:rPr>
        <w:t>等，</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（王红营等，</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AA4970" w:rsidRDefault="00B7191B"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农产品的生产情况取决于该时期生产者的生产技术和生产计划，生产技术是客观条件，生产计划取决于</w:t>
      </w:r>
      <w:r w:rsidR="00DA59EB">
        <w:rPr>
          <w:rFonts w:asciiTheme="minorEastAsia" w:eastAsiaTheme="minorEastAsia" w:hAnsiTheme="minorEastAsia" w:hint="eastAsia"/>
          <w:sz w:val="21"/>
          <w:szCs w:val="21"/>
        </w:rPr>
        <w:t>市场</w:t>
      </w:r>
      <w:r>
        <w:rPr>
          <w:rFonts w:asciiTheme="minorEastAsia" w:eastAsiaTheme="minorEastAsia" w:hAnsiTheme="minorEastAsia" w:hint="eastAsia"/>
          <w:sz w:val="21"/>
          <w:szCs w:val="21"/>
        </w:rPr>
        <w:t>（</w:t>
      </w:r>
      <w:r w:rsidR="00127D37">
        <w:rPr>
          <w:rFonts w:asciiTheme="minorEastAsia" w:eastAsiaTheme="minorEastAsia" w:hAnsiTheme="minorEastAsia" w:hint="eastAsia"/>
          <w:sz w:val="21"/>
          <w:szCs w:val="21"/>
        </w:rPr>
        <w:t>李周等，2017）</w:t>
      </w:r>
      <w:r>
        <w:rPr>
          <w:rFonts w:asciiTheme="minorEastAsia" w:eastAsiaTheme="minorEastAsia" w:hAnsiTheme="minorEastAsia" w:hint="eastAsia"/>
          <w:sz w:val="21"/>
          <w:szCs w:val="21"/>
        </w:rPr>
        <w:t>。</w:t>
      </w:r>
      <w:r w:rsidR="00AA4970" w:rsidRPr="0097322B">
        <w:rPr>
          <w:rFonts w:asciiTheme="minorEastAsia" w:eastAsiaTheme="minorEastAsia" w:hAnsiTheme="minorEastAsia" w:hint="eastAsia"/>
          <w:sz w:val="21"/>
          <w:szCs w:val="21"/>
          <w:highlight w:val="yellow"/>
        </w:rPr>
        <w:t>在解释农业生长率的差别中，有土地、物质资本和农民的差别三个原因，农民</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关键</w:t>
      </w:r>
      <w:r w:rsidR="00AA4970" w:rsidRPr="0097322B">
        <w:rPr>
          <w:rFonts w:asciiTheme="minorEastAsia" w:eastAsiaTheme="minorEastAsia" w:hAnsiTheme="minorEastAsia" w:hint="eastAsia"/>
          <w:sz w:val="21"/>
          <w:szCs w:val="21"/>
          <w:highlight w:val="yellow"/>
        </w:rPr>
        <w:t>，物质资本</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重点</w:t>
      </w:r>
      <w:r w:rsidR="00AA4970" w:rsidRPr="0097322B">
        <w:rPr>
          <w:rFonts w:asciiTheme="minorEastAsia" w:eastAsiaTheme="minorEastAsia" w:hAnsiTheme="minorEastAsia" w:hint="eastAsia"/>
          <w:sz w:val="21"/>
          <w:szCs w:val="21"/>
          <w:highlight w:val="yellow"/>
        </w:rPr>
        <w:t>，土地</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w:t>
      </w:r>
      <w:r w:rsidR="00561BDB">
        <w:rPr>
          <w:rFonts w:asciiTheme="minorEastAsia" w:eastAsiaTheme="minorEastAsia" w:hAnsiTheme="minorEastAsia" w:hint="eastAsia"/>
          <w:sz w:val="21"/>
          <w:szCs w:val="21"/>
          <w:highlight w:val="yellow"/>
        </w:rPr>
        <w:t>并不足以解释农业生产的变化</w:t>
      </w:r>
      <w:r w:rsidR="0097322B">
        <w:rPr>
          <w:rFonts w:asciiTheme="minorEastAsia" w:eastAsiaTheme="minorEastAsia" w:hAnsiTheme="minorEastAsia" w:hint="eastAsia"/>
          <w:sz w:val="21"/>
          <w:szCs w:val="21"/>
          <w:highlight w:val="yellow"/>
        </w:rPr>
        <w:t>（舒尔茨，</w:t>
      </w:r>
      <w:r w:rsidR="0097322B" w:rsidRPr="0097322B">
        <w:rPr>
          <w:rFonts w:eastAsiaTheme="minorEastAsia"/>
          <w:sz w:val="21"/>
          <w:szCs w:val="21"/>
          <w:highlight w:val="yellow"/>
        </w:rPr>
        <w:t>2006</w:t>
      </w:r>
      <w:r w:rsidR="0097322B">
        <w:rPr>
          <w:rFonts w:asciiTheme="minorEastAsia" w:eastAsiaTheme="minorEastAsia" w:hAnsiTheme="minorEastAsia" w:hint="eastAsia"/>
          <w:sz w:val="21"/>
          <w:szCs w:val="21"/>
          <w:highlight w:val="yellow"/>
        </w:rPr>
        <w:t>）</w:t>
      </w:r>
      <w:r w:rsidR="00AA4970" w:rsidRPr="0097322B">
        <w:rPr>
          <w:rFonts w:asciiTheme="minorEastAsia" w:eastAsiaTheme="minorEastAsia" w:hAnsiTheme="minorEastAsia" w:hint="eastAsia"/>
          <w:sz w:val="21"/>
          <w:szCs w:val="21"/>
          <w:highlight w:val="yellow"/>
        </w:rPr>
        <w:t>。</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lastRenderedPageBreak/>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型”模样。耕地细碎化指标通过年末经营耕地面积除以地块数得到。一般来说，地块数量多，分布分散不利于农户集中管理经营，限制农机具的使用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若农村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千公顷</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8A25FF">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18"/>
          <w:headerReference w:type="default" r:id="rId19"/>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272A80" w:rsidRPr="00272A80" w:rsidRDefault="00272A80" w:rsidP="00272A80">
      <w:pPr>
        <w:spacing w:line="360" w:lineRule="exact"/>
        <w:ind w:firstLine="420"/>
        <w:rPr>
          <w:rFonts w:hint="eastAsia"/>
          <w:sz w:val="21"/>
          <w:szCs w:val="21"/>
        </w:rPr>
      </w:pPr>
      <w:r>
        <w:rPr>
          <w:rFonts w:hint="eastAsia"/>
          <w:sz w:val="21"/>
          <w:szCs w:val="21"/>
        </w:rPr>
        <w:t>在进行实证分析前，先对不同种植制度下的水稻、小麦和玉米土地生产率与农地经营规模的关系进行简单的相关性分析。</w:t>
      </w:r>
      <w:r w:rsidR="00225E34">
        <w:rPr>
          <w:rFonts w:hint="eastAsia"/>
          <w:sz w:val="21"/>
          <w:szCs w:val="21"/>
        </w:rPr>
        <w:t>（水稻单产对数值与农户实际耕地面积相关系数为</w:t>
      </w:r>
      <w:r w:rsidR="00225E34">
        <w:rPr>
          <w:rFonts w:hint="eastAsia"/>
          <w:sz w:val="21"/>
          <w:szCs w:val="21"/>
        </w:rPr>
        <w:t>**</w:t>
      </w:r>
      <w:r w:rsidR="00225E34">
        <w:rPr>
          <w:rFonts w:hint="eastAsia"/>
          <w:sz w:val="21"/>
          <w:szCs w:val="21"/>
        </w:rPr>
        <w:t>，在</w:t>
      </w:r>
      <w:r w:rsidR="00225E34">
        <w:rPr>
          <w:rFonts w:hint="eastAsia"/>
          <w:sz w:val="21"/>
          <w:szCs w:val="21"/>
        </w:rPr>
        <w:t>**</w:t>
      </w:r>
      <w:r w:rsidR="00225E34">
        <w:rPr>
          <w:rFonts w:hint="eastAsia"/>
          <w:sz w:val="21"/>
          <w:szCs w:val="21"/>
        </w:rPr>
        <w:t>的显著性水平上显著</w:t>
      </w:r>
      <w:r w:rsidR="00225E34">
        <w:rPr>
          <w:rFonts w:hint="eastAsia"/>
          <w:sz w:val="21"/>
          <w:szCs w:val="21"/>
        </w:rPr>
        <w:t>/</w:t>
      </w:r>
      <w:r w:rsidR="00225E34">
        <w:rPr>
          <w:rFonts w:hint="eastAsia"/>
          <w:sz w:val="21"/>
          <w:szCs w:val="21"/>
        </w:rPr>
        <w:t>不显著</w:t>
      </w:r>
      <w:r w:rsidR="00B41876">
        <w:rPr>
          <w:rFonts w:hint="eastAsia"/>
          <w:sz w:val="21"/>
          <w:szCs w:val="21"/>
        </w:rPr>
        <w:t>、小麦、玉米等等</w:t>
      </w:r>
      <w:r w:rsidR="00225E34">
        <w:rPr>
          <w:rFonts w:hint="eastAsia"/>
          <w:sz w:val="21"/>
          <w:szCs w:val="21"/>
        </w:rPr>
        <w:t>）</w:t>
      </w:r>
      <w:r w:rsidR="00793042">
        <w:rPr>
          <w:rFonts w:hint="eastAsia"/>
          <w:sz w:val="21"/>
          <w:szCs w:val="21"/>
        </w:rPr>
        <w:t>。</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c"/>
        <w:spacing w:before="326" w:after="326"/>
      </w:pPr>
      <w:r w:rsidRPr="00F45B56">
        <w:rPr>
          <w:rFonts w:hint="eastAsia"/>
        </w:rPr>
        <w:tab/>
      </w:r>
      <w:r w:rsidR="007E36F7" w:rsidRPr="00F45B56">
        <w:object w:dxaOrig="200" w:dyaOrig="300">
          <v:shape id="_x0000_i1026" type="#_x0000_t75" style="width:9.75pt;height:15pt" o:ole="">
            <v:imagedata r:id="rId20" o:title=""/>
          </v:shape>
          <o:OLEObject Type="Embed" ProgID="Equation.DSMT4" ShapeID="_x0000_i1026" DrawAspect="Content" ObjectID="_1605955480" r:id="rId21"/>
        </w:object>
      </w:r>
      <w:r w:rsidR="003327A5" w:rsidRPr="00F45B56">
        <w:object w:dxaOrig="7940" w:dyaOrig="2360">
          <v:shape id="_x0000_i1027" type="#_x0000_t75" style="width:396.75pt;height:117.75pt" o:ole="">
            <v:imagedata r:id="rId22" o:title=""/>
          </v:shape>
          <o:OLEObject Type="Embed" ProgID="Equation.DSMT4" ShapeID="_x0000_i1027" DrawAspect="Content" ObjectID="_1605955481" r:id="rId23"/>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W w:w="9070" w:type="dxa"/>
        <w:jc w:val="center"/>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r w:rsidRPr="00780798">
              <w:rPr>
                <w:sz w:val="18"/>
                <w:szCs w:val="18"/>
              </w:rPr>
              <w:t>Likelyhood</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bookmarkStart w:id="0" w:name="_GoBack"/>
      <w:bookmarkEnd w:id="0"/>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4"/>
          <w:headerReference w:type="default" r:id="rId25"/>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6"/>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7"/>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Benjamin D. Can Unobserved Land Quality Explain the Inverse Productivity Relationship?.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Heltberg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董旭光，李胜利，石振彬，邱粲．近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林本喜，邓衡山．农业劳动力老龄化对土地利用效率影响的实证分析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卢华，胡浩．土地细碎化、种植多样化对农业生产利润和效率的影响分析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冒佩华，徐骥．农地制度、土地经营权流转与农民收入增长．管理世界（月刊），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石晓平，郎海如．农地经营规模与农业生产率研究综述．南京农业大学学报（社会科学版），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．速水佑次郎，弗农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王嫚嫚，刘颖，陈实．规模报酬、产出利润与生产成本视角下的农业适度规模经营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．辛良杰，李秀彬，朱会义，刘学军，谈明洪，田玉军．农户土地规模与生产率的关系及其解释的印证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夏玉莲，匡远配，曾福生．农地流转、区域差异与效率协调．经济学家，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许恒周，郭玉燕，吴冠岑．农民分化对耕地利用效率的影响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b"/>
        <w:numPr>
          <w:ilvl w:val="0"/>
          <w:numId w:val="1"/>
        </w:numPr>
        <w:spacing w:line="360" w:lineRule="exact"/>
        <w:ind w:left="0" w:firstLine="420"/>
        <w:jc w:val="left"/>
        <w:rPr>
          <w:rFonts w:eastAsiaTheme="minorEastAsia"/>
          <w:sz w:val="21"/>
          <w:szCs w:val="21"/>
        </w:rPr>
        <w:sectPr w:rsidR="00E52825" w:rsidRPr="00701DC5" w:rsidSect="00117B67">
          <w:headerReference w:type="default" r:id="rId28"/>
          <w:pgSz w:w="11906" w:h="16838"/>
          <w:pgMar w:top="1701" w:right="1418" w:bottom="1418" w:left="1701" w:header="1304" w:footer="1020" w:gutter="0"/>
          <w:cols w:space="425"/>
          <w:docGrid w:type="lines" w:linePitch="326"/>
        </w:sectPr>
      </w:pPr>
      <w:r w:rsidRPr="00987F64">
        <w:rPr>
          <w:rFonts w:eastAsiaTheme="minorEastAsia"/>
          <w:sz w:val="21"/>
          <w:szCs w:val="21"/>
        </w:rPr>
        <w:t>朱满德，李辛一，程国强．综合性收入补贴对中国玉米全要素生产率的影响分析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29"/>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F20" w:rsidRDefault="00EC2F20" w:rsidP="007E11B3">
      <w:pPr>
        <w:spacing w:line="240" w:lineRule="auto"/>
        <w:ind w:firstLine="480"/>
      </w:pPr>
      <w:r>
        <w:separator/>
      </w:r>
    </w:p>
  </w:endnote>
  <w:endnote w:type="continuationSeparator" w:id="0">
    <w:p w:rsidR="00EC2F20" w:rsidRDefault="00EC2F20"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686792"/>
      <w:docPartObj>
        <w:docPartGallery w:val="Page Numbers (Bottom of Page)"/>
        <w:docPartUnique/>
      </w:docPartObj>
    </w:sdtPr>
    <w:sdtEndPr/>
    <w:sdtContent>
      <w:p w:rsidR="00E50923" w:rsidRDefault="00E50923" w:rsidP="00FD516E">
        <w:pPr>
          <w:pStyle w:val="a5"/>
          <w:ind w:firstLineChars="0" w:firstLine="0"/>
        </w:pPr>
        <w:r>
          <w:fldChar w:fldCharType="begin"/>
        </w:r>
        <w:r>
          <w:instrText>PAGE   \* MERGEFORMAT</w:instrText>
        </w:r>
        <w:r>
          <w:fldChar w:fldCharType="separate"/>
        </w:r>
        <w:r w:rsidR="00C3412A" w:rsidRPr="00C3412A">
          <w:rPr>
            <w:noProof/>
            <w:lang w:val="zh-CN"/>
          </w:rPr>
          <w:t>14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4724"/>
      <w:docPartObj>
        <w:docPartGallery w:val="Page Numbers (Bottom of Page)"/>
        <w:docPartUnique/>
      </w:docPartObj>
    </w:sdtPr>
    <w:sdtEndPr/>
    <w:sdtContent>
      <w:p w:rsidR="00E50923" w:rsidRDefault="00E50923" w:rsidP="00FD516E">
        <w:pPr>
          <w:pStyle w:val="a5"/>
          <w:tabs>
            <w:tab w:val="clear" w:pos="8306"/>
            <w:tab w:val="right" w:pos="8789"/>
          </w:tabs>
          <w:ind w:firstLine="360"/>
          <w:jc w:val="right"/>
        </w:pPr>
        <w:r>
          <w:fldChar w:fldCharType="begin"/>
        </w:r>
        <w:r>
          <w:instrText>PAGE   \* MERGEFORMAT</w:instrText>
        </w:r>
        <w:r>
          <w:fldChar w:fldCharType="separate"/>
        </w:r>
        <w:r w:rsidR="00C3412A" w:rsidRPr="00C3412A">
          <w:rPr>
            <w:noProof/>
            <w:lang w:val="zh-CN"/>
          </w:rPr>
          <w:t>15</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Default="00E50923" w:rsidP="007E11B3">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F20" w:rsidRDefault="00EC2F20" w:rsidP="007E11B3">
      <w:pPr>
        <w:spacing w:line="240" w:lineRule="auto"/>
        <w:ind w:firstLine="480"/>
      </w:pPr>
      <w:r>
        <w:separator/>
      </w:r>
    </w:p>
  </w:footnote>
  <w:footnote w:type="continuationSeparator" w:id="0">
    <w:p w:rsidR="00EC2F20" w:rsidRDefault="00EC2F20"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Pr="00A32D9D" w:rsidRDefault="00A32D9D"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55" w:rsidRPr="008C7B19" w:rsidRDefault="00B50D5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D55" w:rsidRPr="008C7B19" w:rsidRDefault="00B50D55"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825" w:rsidRPr="008C7B19" w:rsidRDefault="00E5282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825" w:rsidRPr="008C7B19" w:rsidRDefault="00E5282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Pr="005C3F95" w:rsidRDefault="00E50923"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sidR="0094185A">
      <w:rPr>
        <w:rFonts w:hint="eastAsia"/>
      </w:rPr>
      <w:t>绪论</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23" w:rsidRDefault="00E50923" w:rsidP="007E11B3">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85A" w:rsidRPr="00A32D9D" w:rsidRDefault="0094185A"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85A" w:rsidRPr="005C3F95" w:rsidRDefault="0094185A"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866" w:rsidRPr="005C3F95" w:rsidRDefault="00183866"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9D" w:rsidRPr="005C3F95" w:rsidRDefault="00A32D9D"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9D" w:rsidRPr="008C7B19" w:rsidRDefault="00A32D9D"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866" w:rsidRPr="008C7B19" w:rsidRDefault="00183866"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D7A"/>
    <w:rsid w:val="00002865"/>
    <w:rsid w:val="00005368"/>
    <w:rsid w:val="000076A7"/>
    <w:rsid w:val="00013445"/>
    <w:rsid w:val="00013E3D"/>
    <w:rsid w:val="00014FC1"/>
    <w:rsid w:val="0001630B"/>
    <w:rsid w:val="00017D20"/>
    <w:rsid w:val="0002137B"/>
    <w:rsid w:val="00022DD8"/>
    <w:rsid w:val="00024BAC"/>
    <w:rsid w:val="00030A8A"/>
    <w:rsid w:val="00041EC8"/>
    <w:rsid w:val="00042530"/>
    <w:rsid w:val="00052170"/>
    <w:rsid w:val="0005240E"/>
    <w:rsid w:val="000536E4"/>
    <w:rsid w:val="00054113"/>
    <w:rsid w:val="00057185"/>
    <w:rsid w:val="00064C03"/>
    <w:rsid w:val="0006611B"/>
    <w:rsid w:val="0006633F"/>
    <w:rsid w:val="00071088"/>
    <w:rsid w:val="00071551"/>
    <w:rsid w:val="000757E1"/>
    <w:rsid w:val="00082C71"/>
    <w:rsid w:val="00085755"/>
    <w:rsid w:val="00091D3B"/>
    <w:rsid w:val="0009292D"/>
    <w:rsid w:val="00093D60"/>
    <w:rsid w:val="00095746"/>
    <w:rsid w:val="00097A04"/>
    <w:rsid w:val="00097B62"/>
    <w:rsid w:val="000A38CE"/>
    <w:rsid w:val="000A683B"/>
    <w:rsid w:val="000A75E0"/>
    <w:rsid w:val="000B2F72"/>
    <w:rsid w:val="000B3792"/>
    <w:rsid w:val="000C1BBC"/>
    <w:rsid w:val="000C568E"/>
    <w:rsid w:val="000C5867"/>
    <w:rsid w:val="000C5A99"/>
    <w:rsid w:val="000C684E"/>
    <w:rsid w:val="000D03F1"/>
    <w:rsid w:val="000D65B3"/>
    <w:rsid w:val="000E01B7"/>
    <w:rsid w:val="000E2CF7"/>
    <w:rsid w:val="000E73C6"/>
    <w:rsid w:val="000E7A9E"/>
    <w:rsid w:val="000E7B40"/>
    <w:rsid w:val="000F1F51"/>
    <w:rsid w:val="000F30AB"/>
    <w:rsid w:val="000F5D4E"/>
    <w:rsid w:val="00105509"/>
    <w:rsid w:val="00107668"/>
    <w:rsid w:val="00110B71"/>
    <w:rsid w:val="0011134C"/>
    <w:rsid w:val="0011678E"/>
    <w:rsid w:val="00116899"/>
    <w:rsid w:val="00117B67"/>
    <w:rsid w:val="00121A02"/>
    <w:rsid w:val="00121EB7"/>
    <w:rsid w:val="00122406"/>
    <w:rsid w:val="001270BA"/>
    <w:rsid w:val="0012778C"/>
    <w:rsid w:val="00127D37"/>
    <w:rsid w:val="001330EA"/>
    <w:rsid w:val="00135382"/>
    <w:rsid w:val="00140036"/>
    <w:rsid w:val="00140CFE"/>
    <w:rsid w:val="001439F2"/>
    <w:rsid w:val="001451FB"/>
    <w:rsid w:val="00151E77"/>
    <w:rsid w:val="00152071"/>
    <w:rsid w:val="001535A2"/>
    <w:rsid w:val="0015396B"/>
    <w:rsid w:val="00161A89"/>
    <w:rsid w:val="0016330D"/>
    <w:rsid w:val="0016531E"/>
    <w:rsid w:val="00165D66"/>
    <w:rsid w:val="001708B3"/>
    <w:rsid w:val="00170B94"/>
    <w:rsid w:val="001717BB"/>
    <w:rsid w:val="00172509"/>
    <w:rsid w:val="00182A79"/>
    <w:rsid w:val="00183866"/>
    <w:rsid w:val="001868DD"/>
    <w:rsid w:val="00186D9C"/>
    <w:rsid w:val="0019055E"/>
    <w:rsid w:val="00190B7B"/>
    <w:rsid w:val="00191E01"/>
    <w:rsid w:val="00196E08"/>
    <w:rsid w:val="001A03DB"/>
    <w:rsid w:val="001A4B6B"/>
    <w:rsid w:val="001A740E"/>
    <w:rsid w:val="001B25F5"/>
    <w:rsid w:val="001B2626"/>
    <w:rsid w:val="001B29D0"/>
    <w:rsid w:val="001B69AA"/>
    <w:rsid w:val="001B76C4"/>
    <w:rsid w:val="001C2516"/>
    <w:rsid w:val="001C7380"/>
    <w:rsid w:val="001D0C46"/>
    <w:rsid w:val="001D130A"/>
    <w:rsid w:val="001D1579"/>
    <w:rsid w:val="001D4E9D"/>
    <w:rsid w:val="001E0B2C"/>
    <w:rsid w:val="001E1AB8"/>
    <w:rsid w:val="001E3585"/>
    <w:rsid w:val="001E476A"/>
    <w:rsid w:val="001E490A"/>
    <w:rsid w:val="001F03F4"/>
    <w:rsid w:val="001F09A5"/>
    <w:rsid w:val="001F3D15"/>
    <w:rsid w:val="00201896"/>
    <w:rsid w:val="0020240A"/>
    <w:rsid w:val="0020529B"/>
    <w:rsid w:val="00206C7C"/>
    <w:rsid w:val="0021265A"/>
    <w:rsid w:val="002210FA"/>
    <w:rsid w:val="00222A76"/>
    <w:rsid w:val="00224CC4"/>
    <w:rsid w:val="00225E34"/>
    <w:rsid w:val="0022605E"/>
    <w:rsid w:val="00226463"/>
    <w:rsid w:val="0024221B"/>
    <w:rsid w:val="0024569F"/>
    <w:rsid w:val="0025452B"/>
    <w:rsid w:val="00255339"/>
    <w:rsid w:val="00261B4C"/>
    <w:rsid w:val="002707BD"/>
    <w:rsid w:val="00271BBF"/>
    <w:rsid w:val="00272A80"/>
    <w:rsid w:val="00275428"/>
    <w:rsid w:val="00277F69"/>
    <w:rsid w:val="0028000D"/>
    <w:rsid w:val="00281052"/>
    <w:rsid w:val="00281365"/>
    <w:rsid w:val="00283941"/>
    <w:rsid w:val="00283DDE"/>
    <w:rsid w:val="0028464C"/>
    <w:rsid w:val="00284D89"/>
    <w:rsid w:val="002859D6"/>
    <w:rsid w:val="002866B6"/>
    <w:rsid w:val="00287042"/>
    <w:rsid w:val="00290BFB"/>
    <w:rsid w:val="00291711"/>
    <w:rsid w:val="00292893"/>
    <w:rsid w:val="0029395D"/>
    <w:rsid w:val="002976B8"/>
    <w:rsid w:val="002B0DF4"/>
    <w:rsid w:val="002B1B92"/>
    <w:rsid w:val="002B732D"/>
    <w:rsid w:val="002C0E8B"/>
    <w:rsid w:val="002C3317"/>
    <w:rsid w:val="002C4030"/>
    <w:rsid w:val="002C4FFA"/>
    <w:rsid w:val="002C78E7"/>
    <w:rsid w:val="002D0C60"/>
    <w:rsid w:val="002D1B23"/>
    <w:rsid w:val="002D252B"/>
    <w:rsid w:val="002D3865"/>
    <w:rsid w:val="002D4B1A"/>
    <w:rsid w:val="002D4BF5"/>
    <w:rsid w:val="002D799C"/>
    <w:rsid w:val="002D7B12"/>
    <w:rsid w:val="002D7B89"/>
    <w:rsid w:val="002D7FF2"/>
    <w:rsid w:val="002E0E71"/>
    <w:rsid w:val="002E2214"/>
    <w:rsid w:val="002E2639"/>
    <w:rsid w:val="002E41F7"/>
    <w:rsid w:val="002E53F8"/>
    <w:rsid w:val="002E60E1"/>
    <w:rsid w:val="002F1E99"/>
    <w:rsid w:val="002F4298"/>
    <w:rsid w:val="002F5459"/>
    <w:rsid w:val="002F614E"/>
    <w:rsid w:val="00300532"/>
    <w:rsid w:val="00300A0E"/>
    <w:rsid w:val="0030317A"/>
    <w:rsid w:val="00303A0F"/>
    <w:rsid w:val="0030423A"/>
    <w:rsid w:val="0030638D"/>
    <w:rsid w:val="003075BC"/>
    <w:rsid w:val="00307691"/>
    <w:rsid w:val="00315B9A"/>
    <w:rsid w:val="00316E22"/>
    <w:rsid w:val="00321C26"/>
    <w:rsid w:val="0033027F"/>
    <w:rsid w:val="00330DB4"/>
    <w:rsid w:val="003327A5"/>
    <w:rsid w:val="00333DDA"/>
    <w:rsid w:val="003342A3"/>
    <w:rsid w:val="00334B2F"/>
    <w:rsid w:val="00337F2F"/>
    <w:rsid w:val="00341CD3"/>
    <w:rsid w:val="00343491"/>
    <w:rsid w:val="003447EE"/>
    <w:rsid w:val="00345774"/>
    <w:rsid w:val="0034633C"/>
    <w:rsid w:val="00346524"/>
    <w:rsid w:val="003617CC"/>
    <w:rsid w:val="00367D60"/>
    <w:rsid w:val="003711B5"/>
    <w:rsid w:val="0037233E"/>
    <w:rsid w:val="00377C1A"/>
    <w:rsid w:val="00381A17"/>
    <w:rsid w:val="003834FD"/>
    <w:rsid w:val="00391E1E"/>
    <w:rsid w:val="00392567"/>
    <w:rsid w:val="0039358A"/>
    <w:rsid w:val="0039753E"/>
    <w:rsid w:val="003A3EDD"/>
    <w:rsid w:val="003A55E1"/>
    <w:rsid w:val="003A7087"/>
    <w:rsid w:val="003B3ED4"/>
    <w:rsid w:val="003B41D2"/>
    <w:rsid w:val="003B7964"/>
    <w:rsid w:val="003C05C2"/>
    <w:rsid w:val="003C1577"/>
    <w:rsid w:val="003C19AC"/>
    <w:rsid w:val="003C503F"/>
    <w:rsid w:val="003C5888"/>
    <w:rsid w:val="003C5D13"/>
    <w:rsid w:val="003C6862"/>
    <w:rsid w:val="003D2AFD"/>
    <w:rsid w:val="003D560E"/>
    <w:rsid w:val="003D58E5"/>
    <w:rsid w:val="003E29DD"/>
    <w:rsid w:val="003E4475"/>
    <w:rsid w:val="003E5649"/>
    <w:rsid w:val="003F0EF7"/>
    <w:rsid w:val="003F2A2A"/>
    <w:rsid w:val="003F2A58"/>
    <w:rsid w:val="003F42D4"/>
    <w:rsid w:val="003F46AC"/>
    <w:rsid w:val="003F5A1A"/>
    <w:rsid w:val="0040022C"/>
    <w:rsid w:val="00402DB7"/>
    <w:rsid w:val="004037B3"/>
    <w:rsid w:val="0040628D"/>
    <w:rsid w:val="00407390"/>
    <w:rsid w:val="00407B51"/>
    <w:rsid w:val="00407CC0"/>
    <w:rsid w:val="00414DBB"/>
    <w:rsid w:val="004164AE"/>
    <w:rsid w:val="00421248"/>
    <w:rsid w:val="0042208E"/>
    <w:rsid w:val="00422795"/>
    <w:rsid w:val="00422DD3"/>
    <w:rsid w:val="00423A5F"/>
    <w:rsid w:val="00423B43"/>
    <w:rsid w:val="00424A67"/>
    <w:rsid w:val="0042602E"/>
    <w:rsid w:val="00426567"/>
    <w:rsid w:val="00430C68"/>
    <w:rsid w:val="00431387"/>
    <w:rsid w:val="004403BA"/>
    <w:rsid w:val="004429BA"/>
    <w:rsid w:val="004438FC"/>
    <w:rsid w:val="0044602F"/>
    <w:rsid w:val="00447974"/>
    <w:rsid w:val="004525FB"/>
    <w:rsid w:val="00452A74"/>
    <w:rsid w:val="00453747"/>
    <w:rsid w:val="0045486A"/>
    <w:rsid w:val="004573E2"/>
    <w:rsid w:val="00457C0A"/>
    <w:rsid w:val="00457D2E"/>
    <w:rsid w:val="004635C4"/>
    <w:rsid w:val="0046382A"/>
    <w:rsid w:val="00463DBB"/>
    <w:rsid w:val="00467AE5"/>
    <w:rsid w:val="004704A5"/>
    <w:rsid w:val="004728D8"/>
    <w:rsid w:val="0047509E"/>
    <w:rsid w:val="004775C4"/>
    <w:rsid w:val="004807A0"/>
    <w:rsid w:val="004825FE"/>
    <w:rsid w:val="00482B99"/>
    <w:rsid w:val="00482D03"/>
    <w:rsid w:val="00482E2F"/>
    <w:rsid w:val="00482F6A"/>
    <w:rsid w:val="004866D5"/>
    <w:rsid w:val="004902F4"/>
    <w:rsid w:val="00491A09"/>
    <w:rsid w:val="00492965"/>
    <w:rsid w:val="00492FDD"/>
    <w:rsid w:val="004936D2"/>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5BED"/>
    <w:rsid w:val="004C6E78"/>
    <w:rsid w:val="004D110E"/>
    <w:rsid w:val="004D35EA"/>
    <w:rsid w:val="004D7F06"/>
    <w:rsid w:val="004E692C"/>
    <w:rsid w:val="004E730C"/>
    <w:rsid w:val="004F13F9"/>
    <w:rsid w:val="00500348"/>
    <w:rsid w:val="005007DC"/>
    <w:rsid w:val="00500B5A"/>
    <w:rsid w:val="005018C8"/>
    <w:rsid w:val="0050338A"/>
    <w:rsid w:val="005037EB"/>
    <w:rsid w:val="00503E46"/>
    <w:rsid w:val="005058F8"/>
    <w:rsid w:val="00507564"/>
    <w:rsid w:val="00511147"/>
    <w:rsid w:val="005118C7"/>
    <w:rsid w:val="005123D3"/>
    <w:rsid w:val="005152D8"/>
    <w:rsid w:val="005219B8"/>
    <w:rsid w:val="00521A6B"/>
    <w:rsid w:val="00522BC6"/>
    <w:rsid w:val="00527578"/>
    <w:rsid w:val="00532097"/>
    <w:rsid w:val="005324B2"/>
    <w:rsid w:val="00532706"/>
    <w:rsid w:val="00535C8D"/>
    <w:rsid w:val="00536230"/>
    <w:rsid w:val="00536D3F"/>
    <w:rsid w:val="005374C5"/>
    <w:rsid w:val="005415AD"/>
    <w:rsid w:val="00543FA0"/>
    <w:rsid w:val="00545C2D"/>
    <w:rsid w:val="00552DA4"/>
    <w:rsid w:val="0055311D"/>
    <w:rsid w:val="0055330A"/>
    <w:rsid w:val="005541ED"/>
    <w:rsid w:val="00555E7D"/>
    <w:rsid w:val="00556607"/>
    <w:rsid w:val="005568E7"/>
    <w:rsid w:val="00561BDB"/>
    <w:rsid w:val="00561CE6"/>
    <w:rsid w:val="005624AB"/>
    <w:rsid w:val="005643C8"/>
    <w:rsid w:val="00566C0B"/>
    <w:rsid w:val="0057574A"/>
    <w:rsid w:val="00576DFD"/>
    <w:rsid w:val="00577CCA"/>
    <w:rsid w:val="0058000A"/>
    <w:rsid w:val="0058310D"/>
    <w:rsid w:val="00583F12"/>
    <w:rsid w:val="0058665A"/>
    <w:rsid w:val="00586A7F"/>
    <w:rsid w:val="005903C6"/>
    <w:rsid w:val="005952A5"/>
    <w:rsid w:val="005A13A4"/>
    <w:rsid w:val="005A31CB"/>
    <w:rsid w:val="005A3BBB"/>
    <w:rsid w:val="005A62D2"/>
    <w:rsid w:val="005A7C13"/>
    <w:rsid w:val="005B11D1"/>
    <w:rsid w:val="005B7612"/>
    <w:rsid w:val="005B7FC8"/>
    <w:rsid w:val="005C1AA0"/>
    <w:rsid w:val="005C3F95"/>
    <w:rsid w:val="005C7F70"/>
    <w:rsid w:val="005D0AD4"/>
    <w:rsid w:val="005D11E8"/>
    <w:rsid w:val="005D1C8B"/>
    <w:rsid w:val="005D2E10"/>
    <w:rsid w:val="005D4644"/>
    <w:rsid w:val="005D4C68"/>
    <w:rsid w:val="005D5934"/>
    <w:rsid w:val="005E111C"/>
    <w:rsid w:val="005E3AFD"/>
    <w:rsid w:val="005F1E21"/>
    <w:rsid w:val="005F52CB"/>
    <w:rsid w:val="005F52F3"/>
    <w:rsid w:val="005F55F1"/>
    <w:rsid w:val="005F6F7D"/>
    <w:rsid w:val="006000B2"/>
    <w:rsid w:val="00601E2A"/>
    <w:rsid w:val="006035CA"/>
    <w:rsid w:val="00603D97"/>
    <w:rsid w:val="00604414"/>
    <w:rsid w:val="006105C4"/>
    <w:rsid w:val="00611D84"/>
    <w:rsid w:val="006152D4"/>
    <w:rsid w:val="00615EB9"/>
    <w:rsid w:val="0061646B"/>
    <w:rsid w:val="00621EEF"/>
    <w:rsid w:val="00621FCA"/>
    <w:rsid w:val="0062335B"/>
    <w:rsid w:val="00624088"/>
    <w:rsid w:val="00624979"/>
    <w:rsid w:val="0062798F"/>
    <w:rsid w:val="0063058F"/>
    <w:rsid w:val="00630D29"/>
    <w:rsid w:val="00631CA2"/>
    <w:rsid w:val="006330F1"/>
    <w:rsid w:val="006348F6"/>
    <w:rsid w:val="00634917"/>
    <w:rsid w:val="00640465"/>
    <w:rsid w:val="00647315"/>
    <w:rsid w:val="006502EA"/>
    <w:rsid w:val="00651992"/>
    <w:rsid w:val="00653C66"/>
    <w:rsid w:val="00654BE0"/>
    <w:rsid w:val="00655A68"/>
    <w:rsid w:val="0065629A"/>
    <w:rsid w:val="00661976"/>
    <w:rsid w:val="00662553"/>
    <w:rsid w:val="0066530D"/>
    <w:rsid w:val="00666CC8"/>
    <w:rsid w:val="0067208A"/>
    <w:rsid w:val="00672EE3"/>
    <w:rsid w:val="00673DAC"/>
    <w:rsid w:val="00675A58"/>
    <w:rsid w:val="006828C7"/>
    <w:rsid w:val="00682F7D"/>
    <w:rsid w:val="006845DC"/>
    <w:rsid w:val="0068474E"/>
    <w:rsid w:val="00684A2E"/>
    <w:rsid w:val="0068730B"/>
    <w:rsid w:val="0069265A"/>
    <w:rsid w:val="00697E7F"/>
    <w:rsid w:val="006A4D3D"/>
    <w:rsid w:val="006B471F"/>
    <w:rsid w:val="006B5348"/>
    <w:rsid w:val="006B5FDE"/>
    <w:rsid w:val="006C1DF8"/>
    <w:rsid w:val="006C2711"/>
    <w:rsid w:val="006C3A98"/>
    <w:rsid w:val="006D182D"/>
    <w:rsid w:val="006D239F"/>
    <w:rsid w:val="006D48B9"/>
    <w:rsid w:val="006D539E"/>
    <w:rsid w:val="006D60D0"/>
    <w:rsid w:val="006E20FC"/>
    <w:rsid w:val="006E78FB"/>
    <w:rsid w:val="006F010C"/>
    <w:rsid w:val="006F2125"/>
    <w:rsid w:val="006F2262"/>
    <w:rsid w:val="006F31B1"/>
    <w:rsid w:val="006F350D"/>
    <w:rsid w:val="006F38EA"/>
    <w:rsid w:val="006F444C"/>
    <w:rsid w:val="006F5772"/>
    <w:rsid w:val="006F6C8B"/>
    <w:rsid w:val="0070112D"/>
    <w:rsid w:val="00701972"/>
    <w:rsid w:val="00701DC5"/>
    <w:rsid w:val="007057EB"/>
    <w:rsid w:val="00711F42"/>
    <w:rsid w:val="00714EBB"/>
    <w:rsid w:val="0071562C"/>
    <w:rsid w:val="007157ED"/>
    <w:rsid w:val="00721117"/>
    <w:rsid w:val="007212B7"/>
    <w:rsid w:val="00722131"/>
    <w:rsid w:val="00725CA7"/>
    <w:rsid w:val="00727B48"/>
    <w:rsid w:val="00730C7D"/>
    <w:rsid w:val="00740F76"/>
    <w:rsid w:val="0075166A"/>
    <w:rsid w:val="0075300A"/>
    <w:rsid w:val="00760AB1"/>
    <w:rsid w:val="00761ED8"/>
    <w:rsid w:val="007632B7"/>
    <w:rsid w:val="00766C2B"/>
    <w:rsid w:val="00767066"/>
    <w:rsid w:val="00767BD4"/>
    <w:rsid w:val="007705C2"/>
    <w:rsid w:val="00770CF4"/>
    <w:rsid w:val="0077182D"/>
    <w:rsid w:val="00775D19"/>
    <w:rsid w:val="00780798"/>
    <w:rsid w:val="00782028"/>
    <w:rsid w:val="00792F28"/>
    <w:rsid w:val="00793042"/>
    <w:rsid w:val="00793756"/>
    <w:rsid w:val="007944EE"/>
    <w:rsid w:val="00794B5C"/>
    <w:rsid w:val="0079569C"/>
    <w:rsid w:val="00796D08"/>
    <w:rsid w:val="007974F2"/>
    <w:rsid w:val="007A0E34"/>
    <w:rsid w:val="007A1785"/>
    <w:rsid w:val="007A20F0"/>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61CF"/>
    <w:rsid w:val="007C63F9"/>
    <w:rsid w:val="007C7620"/>
    <w:rsid w:val="007D3CC5"/>
    <w:rsid w:val="007E11B3"/>
    <w:rsid w:val="007E2B8F"/>
    <w:rsid w:val="007E36F7"/>
    <w:rsid w:val="007E3833"/>
    <w:rsid w:val="007E547B"/>
    <w:rsid w:val="007E598A"/>
    <w:rsid w:val="007E5BE3"/>
    <w:rsid w:val="007E7ACB"/>
    <w:rsid w:val="007F1702"/>
    <w:rsid w:val="007F2278"/>
    <w:rsid w:val="007F3154"/>
    <w:rsid w:val="007F724C"/>
    <w:rsid w:val="00800B42"/>
    <w:rsid w:val="00802A69"/>
    <w:rsid w:val="008036B5"/>
    <w:rsid w:val="00804BF4"/>
    <w:rsid w:val="00806D64"/>
    <w:rsid w:val="00812B87"/>
    <w:rsid w:val="00817DAB"/>
    <w:rsid w:val="008234B4"/>
    <w:rsid w:val="0082470B"/>
    <w:rsid w:val="00824F88"/>
    <w:rsid w:val="00826AD2"/>
    <w:rsid w:val="008315A3"/>
    <w:rsid w:val="00831D33"/>
    <w:rsid w:val="0083214A"/>
    <w:rsid w:val="00833F99"/>
    <w:rsid w:val="008347AB"/>
    <w:rsid w:val="00837390"/>
    <w:rsid w:val="00837E28"/>
    <w:rsid w:val="0084202E"/>
    <w:rsid w:val="00844BA7"/>
    <w:rsid w:val="00845CAF"/>
    <w:rsid w:val="00860069"/>
    <w:rsid w:val="00860F8D"/>
    <w:rsid w:val="00863CF8"/>
    <w:rsid w:val="00864829"/>
    <w:rsid w:val="00866B77"/>
    <w:rsid w:val="00867DD8"/>
    <w:rsid w:val="00870349"/>
    <w:rsid w:val="008703B1"/>
    <w:rsid w:val="0087510B"/>
    <w:rsid w:val="00883B21"/>
    <w:rsid w:val="008846CA"/>
    <w:rsid w:val="00887692"/>
    <w:rsid w:val="008938C6"/>
    <w:rsid w:val="00893AB9"/>
    <w:rsid w:val="0089512B"/>
    <w:rsid w:val="00897080"/>
    <w:rsid w:val="00897CFD"/>
    <w:rsid w:val="008A1347"/>
    <w:rsid w:val="008A1780"/>
    <w:rsid w:val="008A19B7"/>
    <w:rsid w:val="008A272F"/>
    <w:rsid w:val="008A343A"/>
    <w:rsid w:val="008A40A2"/>
    <w:rsid w:val="008A45D1"/>
    <w:rsid w:val="008B03A7"/>
    <w:rsid w:val="008B0621"/>
    <w:rsid w:val="008B2322"/>
    <w:rsid w:val="008B40AD"/>
    <w:rsid w:val="008B6605"/>
    <w:rsid w:val="008B68E3"/>
    <w:rsid w:val="008C0750"/>
    <w:rsid w:val="008C40B7"/>
    <w:rsid w:val="008C6B08"/>
    <w:rsid w:val="008C7487"/>
    <w:rsid w:val="008C7AF5"/>
    <w:rsid w:val="008C7B19"/>
    <w:rsid w:val="008D01F2"/>
    <w:rsid w:val="008D178A"/>
    <w:rsid w:val="008D7DE0"/>
    <w:rsid w:val="008E282B"/>
    <w:rsid w:val="008E3C82"/>
    <w:rsid w:val="008E4148"/>
    <w:rsid w:val="008E4C13"/>
    <w:rsid w:val="008E7E1E"/>
    <w:rsid w:val="008F383C"/>
    <w:rsid w:val="008F418B"/>
    <w:rsid w:val="008F68EB"/>
    <w:rsid w:val="008F7B6D"/>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31C01"/>
    <w:rsid w:val="00932C14"/>
    <w:rsid w:val="00933E1A"/>
    <w:rsid w:val="00937805"/>
    <w:rsid w:val="00940D17"/>
    <w:rsid w:val="0094185A"/>
    <w:rsid w:val="0095049C"/>
    <w:rsid w:val="009506D4"/>
    <w:rsid w:val="009507FC"/>
    <w:rsid w:val="0095254A"/>
    <w:rsid w:val="00952E0E"/>
    <w:rsid w:val="0095362F"/>
    <w:rsid w:val="009545E5"/>
    <w:rsid w:val="00957207"/>
    <w:rsid w:val="0097157E"/>
    <w:rsid w:val="00971A59"/>
    <w:rsid w:val="00972E0B"/>
    <w:rsid w:val="0097322B"/>
    <w:rsid w:val="009739E4"/>
    <w:rsid w:val="00976F5F"/>
    <w:rsid w:val="0097728F"/>
    <w:rsid w:val="00981AB6"/>
    <w:rsid w:val="00982F7A"/>
    <w:rsid w:val="009841B1"/>
    <w:rsid w:val="00984ACB"/>
    <w:rsid w:val="009878C5"/>
    <w:rsid w:val="00987F64"/>
    <w:rsid w:val="00990FDE"/>
    <w:rsid w:val="00991154"/>
    <w:rsid w:val="00992514"/>
    <w:rsid w:val="00993DB7"/>
    <w:rsid w:val="009940F6"/>
    <w:rsid w:val="00994A68"/>
    <w:rsid w:val="009969F2"/>
    <w:rsid w:val="009A1467"/>
    <w:rsid w:val="009A1500"/>
    <w:rsid w:val="009A3E96"/>
    <w:rsid w:val="009B0DE9"/>
    <w:rsid w:val="009B2A59"/>
    <w:rsid w:val="009B2A7B"/>
    <w:rsid w:val="009B51FB"/>
    <w:rsid w:val="009B64F2"/>
    <w:rsid w:val="009C27B1"/>
    <w:rsid w:val="009C403F"/>
    <w:rsid w:val="009C484C"/>
    <w:rsid w:val="009C4C1A"/>
    <w:rsid w:val="009C7806"/>
    <w:rsid w:val="009D0BEA"/>
    <w:rsid w:val="009D3B3D"/>
    <w:rsid w:val="009D438E"/>
    <w:rsid w:val="009F1A48"/>
    <w:rsid w:val="009F3014"/>
    <w:rsid w:val="00A0172E"/>
    <w:rsid w:val="00A018CD"/>
    <w:rsid w:val="00A06932"/>
    <w:rsid w:val="00A1202B"/>
    <w:rsid w:val="00A12ADF"/>
    <w:rsid w:val="00A13063"/>
    <w:rsid w:val="00A131E3"/>
    <w:rsid w:val="00A137AA"/>
    <w:rsid w:val="00A14382"/>
    <w:rsid w:val="00A1539E"/>
    <w:rsid w:val="00A1669A"/>
    <w:rsid w:val="00A215B6"/>
    <w:rsid w:val="00A21D5E"/>
    <w:rsid w:val="00A220AD"/>
    <w:rsid w:val="00A2263D"/>
    <w:rsid w:val="00A2269A"/>
    <w:rsid w:val="00A22AF0"/>
    <w:rsid w:val="00A259B5"/>
    <w:rsid w:val="00A27863"/>
    <w:rsid w:val="00A30261"/>
    <w:rsid w:val="00A32D9D"/>
    <w:rsid w:val="00A32DFF"/>
    <w:rsid w:val="00A33F2E"/>
    <w:rsid w:val="00A41026"/>
    <w:rsid w:val="00A436ED"/>
    <w:rsid w:val="00A44352"/>
    <w:rsid w:val="00A44B2B"/>
    <w:rsid w:val="00A47A67"/>
    <w:rsid w:val="00A47CD2"/>
    <w:rsid w:val="00A523E0"/>
    <w:rsid w:val="00A57A33"/>
    <w:rsid w:val="00A6003B"/>
    <w:rsid w:val="00A61275"/>
    <w:rsid w:val="00A62103"/>
    <w:rsid w:val="00A626ED"/>
    <w:rsid w:val="00A65D69"/>
    <w:rsid w:val="00A662B2"/>
    <w:rsid w:val="00A702DD"/>
    <w:rsid w:val="00A758B5"/>
    <w:rsid w:val="00A75DBD"/>
    <w:rsid w:val="00A7787B"/>
    <w:rsid w:val="00A81B04"/>
    <w:rsid w:val="00A84F25"/>
    <w:rsid w:val="00A85979"/>
    <w:rsid w:val="00A85DB7"/>
    <w:rsid w:val="00A91D84"/>
    <w:rsid w:val="00A92394"/>
    <w:rsid w:val="00A9251B"/>
    <w:rsid w:val="00A969CA"/>
    <w:rsid w:val="00AA1108"/>
    <w:rsid w:val="00AA2C70"/>
    <w:rsid w:val="00AA4970"/>
    <w:rsid w:val="00AA5B1A"/>
    <w:rsid w:val="00AA6296"/>
    <w:rsid w:val="00AB3B40"/>
    <w:rsid w:val="00AB467E"/>
    <w:rsid w:val="00AC726B"/>
    <w:rsid w:val="00AD0232"/>
    <w:rsid w:val="00AD3B37"/>
    <w:rsid w:val="00AD582A"/>
    <w:rsid w:val="00AD6A2A"/>
    <w:rsid w:val="00AD77D6"/>
    <w:rsid w:val="00AD7AFC"/>
    <w:rsid w:val="00AE7416"/>
    <w:rsid w:val="00AF2845"/>
    <w:rsid w:val="00B01109"/>
    <w:rsid w:val="00B012DB"/>
    <w:rsid w:val="00B01B9F"/>
    <w:rsid w:val="00B03724"/>
    <w:rsid w:val="00B03989"/>
    <w:rsid w:val="00B06CCC"/>
    <w:rsid w:val="00B12D90"/>
    <w:rsid w:val="00B21317"/>
    <w:rsid w:val="00B22128"/>
    <w:rsid w:val="00B26ACE"/>
    <w:rsid w:val="00B26DFB"/>
    <w:rsid w:val="00B27506"/>
    <w:rsid w:val="00B3151C"/>
    <w:rsid w:val="00B34B28"/>
    <w:rsid w:val="00B40328"/>
    <w:rsid w:val="00B4077C"/>
    <w:rsid w:val="00B40ABE"/>
    <w:rsid w:val="00B41876"/>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191B"/>
    <w:rsid w:val="00B75058"/>
    <w:rsid w:val="00B75095"/>
    <w:rsid w:val="00B81F1D"/>
    <w:rsid w:val="00B83E02"/>
    <w:rsid w:val="00B852E6"/>
    <w:rsid w:val="00B86C7F"/>
    <w:rsid w:val="00B943A5"/>
    <w:rsid w:val="00BA0865"/>
    <w:rsid w:val="00BA24B0"/>
    <w:rsid w:val="00BA76AD"/>
    <w:rsid w:val="00BB368B"/>
    <w:rsid w:val="00BB47C2"/>
    <w:rsid w:val="00BB7F4C"/>
    <w:rsid w:val="00BC2B88"/>
    <w:rsid w:val="00BC33D7"/>
    <w:rsid w:val="00BC649B"/>
    <w:rsid w:val="00BC6706"/>
    <w:rsid w:val="00BD0F64"/>
    <w:rsid w:val="00BD1387"/>
    <w:rsid w:val="00BD4084"/>
    <w:rsid w:val="00BD4909"/>
    <w:rsid w:val="00BD6EC1"/>
    <w:rsid w:val="00BE3B5A"/>
    <w:rsid w:val="00BE61BE"/>
    <w:rsid w:val="00BF0262"/>
    <w:rsid w:val="00BF0492"/>
    <w:rsid w:val="00BF0E52"/>
    <w:rsid w:val="00BF5FB6"/>
    <w:rsid w:val="00BF7669"/>
    <w:rsid w:val="00BF7CDF"/>
    <w:rsid w:val="00C002AD"/>
    <w:rsid w:val="00C03BF2"/>
    <w:rsid w:val="00C04397"/>
    <w:rsid w:val="00C04C7D"/>
    <w:rsid w:val="00C0509B"/>
    <w:rsid w:val="00C05BE2"/>
    <w:rsid w:val="00C0751C"/>
    <w:rsid w:val="00C07C37"/>
    <w:rsid w:val="00C07C92"/>
    <w:rsid w:val="00C129B7"/>
    <w:rsid w:val="00C16461"/>
    <w:rsid w:val="00C16BC1"/>
    <w:rsid w:val="00C176B2"/>
    <w:rsid w:val="00C17EBD"/>
    <w:rsid w:val="00C269CC"/>
    <w:rsid w:val="00C27611"/>
    <w:rsid w:val="00C32C25"/>
    <w:rsid w:val="00C32DD7"/>
    <w:rsid w:val="00C3412A"/>
    <w:rsid w:val="00C345D9"/>
    <w:rsid w:val="00C35B1E"/>
    <w:rsid w:val="00C36FDF"/>
    <w:rsid w:val="00C376CE"/>
    <w:rsid w:val="00C432AB"/>
    <w:rsid w:val="00C43418"/>
    <w:rsid w:val="00C45622"/>
    <w:rsid w:val="00C5097E"/>
    <w:rsid w:val="00C5185B"/>
    <w:rsid w:val="00C557BE"/>
    <w:rsid w:val="00C55853"/>
    <w:rsid w:val="00C55DD6"/>
    <w:rsid w:val="00C56AB9"/>
    <w:rsid w:val="00C63A83"/>
    <w:rsid w:val="00C6498E"/>
    <w:rsid w:val="00C65B34"/>
    <w:rsid w:val="00C6602F"/>
    <w:rsid w:val="00C7063C"/>
    <w:rsid w:val="00C722D5"/>
    <w:rsid w:val="00C73007"/>
    <w:rsid w:val="00C77946"/>
    <w:rsid w:val="00C82DF7"/>
    <w:rsid w:val="00C838EB"/>
    <w:rsid w:val="00CA50C1"/>
    <w:rsid w:val="00CA6702"/>
    <w:rsid w:val="00CA69A8"/>
    <w:rsid w:val="00CB12D9"/>
    <w:rsid w:val="00CB565B"/>
    <w:rsid w:val="00CB66DD"/>
    <w:rsid w:val="00CC1028"/>
    <w:rsid w:val="00CC35AB"/>
    <w:rsid w:val="00CC3D3D"/>
    <w:rsid w:val="00CC4073"/>
    <w:rsid w:val="00CC5FA3"/>
    <w:rsid w:val="00CC5FD1"/>
    <w:rsid w:val="00CC61F7"/>
    <w:rsid w:val="00CC7571"/>
    <w:rsid w:val="00CD3E45"/>
    <w:rsid w:val="00CD5B2B"/>
    <w:rsid w:val="00CE01EF"/>
    <w:rsid w:val="00CE097C"/>
    <w:rsid w:val="00CE0CC0"/>
    <w:rsid w:val="00CE1674"/>
    <w:rsid w:val="00CE2162"/>
    <w:rsid w:val="00CE28FD"/>
    <w:rsid w:val="00CE2ACD"/>
    <w:rsid w:val="00CE446B"/>
    <w:rsid w:val="00CE7975"/>
    <w:rsid w:val="00CF0540"/>
    <w:rsid w:val="00CF1B6B"/>
    <w:rsid w:val="00CF21D6"/>
    <w:rsid w:val="00D02EF9"/>
    <w:rsid w:val="00D0385A"/>
    <w:rsid w:val="00D03FAC"/>
    <w:rsid w:val="00D167F1"/>
    <w:rsid w:val="00D17781"/>
    <w:rsid w:val="00D17E54"/>
    <w:rsid w:val="00D17F13"/>
    <w:rsid w:val="00D25793"/>
    <w:rsid w:val="00D25AAE"/>
    <w:rsid w:val="00D33730"/>
    <w:rsid w:val="00D34156"/>
    <w:rsid w:val="00D35D83"/>
    <w:rsid w:val="00D37917"/>
    <w:rsid w:val="00D40CA8"/>
    <w:rsid w:val="00D40DA0"/>
    <w:rsid w:val="00D44267"/>
    <w:rsid w:val="00D45334"/>
    <w:rsid w:val="00D455DE"/>
    <w:rsid w:val="00D45D77"/>
    <w:rsid w:val="00D4748B"/>
    <w:rsid w:val="00D5113D"/>
    <w:rsid w:val="00D51D98"/>
    <w:rsid w:val="00D53AB9"/>
    <w:rsid w:val="00D6440B"/>
    <w:rsid w:val="00D70851"/>
    <w:rsid w:val="00D71FA8"/>
    <w:rsid w:val="00D721A2"/>
    <w:rsid w:val="00D7285F"/>
    <w:rsid w:val="00D738A6"/>
    <w:rsid w:val="00D75BCF"/>
    <w:rsid w:val="00D760D4"/>
    <w:rsid w:val="00D76CAE"/>
    <w:rsid w:val="00D77B90"/>
    <w:rsid w:val="00D801EB"/>
    <w:rsid w:val="00D84E19"/>
    <w:rsid w:val="00D91001"/>
    <w:rsid w:val="00D91132"/>
    <w:rsid w:val="00D92C1C"/>
    <w:rsid w:val="00D93025"/>
    <w:rsid w:val="00DA138F"/>
    <w:rsid w:val="00DA1772"/>
    <w:rsid w:val="00DA2C90"/>
    <w:rsid w:val="00DA47EB"/>
    <w:rsid w:val="00DA59EB"/>
    <w:rsid w:val="00DA799C"/>
    <w:rsid w:val="00DB1F02"/>
    <w:rsid w:val="00DB208A"/>
    <w:rsid w:val="00DB241A"/>
    <w:rsid w:val="00DB43D1"/>
    <w:rsid w:val="00DB7D41"/>
    <w:rsid w:val="00DC33D3"/>
    <w:rsid w:val="00DC59FB"/>
    <w:rsid w:val="00DC6C8F"/>
    <w:rsid w:val="00DD3513"/>
    <w:rsid w:val="00DD43B9"/>
    <w:rsid w:val="00DD6272"/>
    <w:rsid w:val="00DD64DE"/>
    <w:rsid w:val="00DD64E0"/>
    <w:rsid w:val="00DD75FE"/>
    <w:rsid w:val="00DE05A6"/>
    <w:rsid w:val="00DE3598"/>
    <w:rsid w:val="00DE4295"/>
    <w:rsid w:val="00DE5483"/>
    <w:rsid w:val="00DE5631"/>
    <w:rsid w:val="00DE7A9F"/>
    <w:rsid w:val="00DF0015"/>
    <w:rsid w:val="00DF3380"/>
    <w:rsid w:val="00DF72D4"/>
    <w:rsid w:val="00E0216C"/>
    <w:rsid w:val="00E05965"/>
    <w:rsid w:val="00E078A1"/>
    <w:rsid w:val="00E1137A"/>
    <w:rsid w:val="00E131EF"/>
    <w:rsid w:val="00E157F1"/>
    <w:rsid w:val="00E24283"/>
    <w:rsid w:val="00E24B89"/>
    <w:rsid w:val="00E27E72"/>
    <w:rsid w:val="00E30ECE"/>
    <w:rsid w:val="00E31109"/>
    <w:rsid w:val="00E31F46"/>
    <w:rsid w:val="00E324CE"/>
    <w:rsid w:val="00E34F77"/>
    <w:rsid w:val="00E40045"/>
    <w:rsid w:val="00E42F56"/>
    <w:rsid w:val="00E42F93"/>
    <w:rsid w:val="00E507BD"/>
    <w:rsid w:val="00E50923"/>
    <w:rsid w:val="00E52825"/>
    <w:rsid w:val="00E5376C"/>
    <w:rsid w:val="00E5415F"/>
    <w:rsid w:val="00E54547"/>
    <w:rsid w:val="00E575FE"/>
    <w:rsid w:val="00E60982"/>
    <w:rsid w:val="00E62C78"/>
    <w:rsid w:val="00E65113"/>
    <w:rsid w:val="00E7060A"/>
    <w:rsid w:val="00E710BC"/>
    <w:rsid w:val="00E717FD"/>
    <w:rsid w:val="00E74BF9"/>
    <w:rsid w:val="00E862DD"/>
    <w:rsid w:val="00E86A4E"/>
    <w:rsid w:val="00E86FEE"/>
    <w:rsid w:val="00E872ED"/>
    <w:rsid w:val="00E92426"/>
    <w:rsid w:val="00E92935"/>
    <w:rsid w:val="00E93FEC"/>
    <w:rsid w:val="00E97E94"/>
    <w:rsid w:val="00EA5016"/>
    <w:rsid w:val="00EA7F06"/>
    <w:rsid w:val="00EB0449"/>
    <w:rsid w:val="00EB1F11"/>
    <w:rsid w:val="00EB4A52"/>
    <w:rsid w:val="00EB4DD2"/>
    <w:rsid w:val="00EB6709"/>
    <w:rsid w:val="00EB7558"/>
    <w:rsid w:val="00EC2B96"/>
    <w:rsid w:val="00EC2F20"/>
    <w:rsid w:val="00EC4306"/>
    <w:rsid w:val="00EC5583"/>
    <w:rsid w:val="00EC58D7"/>
    <w:rsid w:val="00EC64DD"/>
    <w:rsid w:val="00EC7931"/>
    <w:rsid w:val="00EC7FEC"/>
    <w:rsid w:val="00ED3CAF"/>
    <w:rsid w:val="00EE01B3"/>
    <w:rsid w:val="00EE1D9A"/>
    <w:rsid w:val="00EE214D"/>
    <w:rsid w:val="00EE4716"/>
    <w:rsid w:val="00EE4C2B"/>
    <w:rsid w:val="00EE54ED"/>
    <w:rsid w:val="00EE63CE"/>
    <w:rsid w:val="00EE77E1"/>
    <w:rsid w:val="00EF037B"/>
    <w:rsid w:val="00EF04BD"/>
    <w:rsid w:val="00EF0ED3"/>
    <w:rsid w:val="00EF3B76"/>
    <w:rsid w:val="00EF40A4"/>
    <w:rsid w:val="00EF4903"/>
    <w:rsid w:val="00EF7E22"/>
    <w:rsid w:val="00F02D49"/>
    <w:rsid w:val="00F03485"/>
    <w:rsid w:val="00F06D8D"/>
    <w:rsid w:val="00F11F7D"/>
    <w:rsid w:val="00F12305"/>
    <w:rsid w:val="00F152B3"/>
    <w:rsid w:val="00F15380"/>
    <w:rsid w:val="00F16111"/>
    <w:rsid w:val="00F20F1A"/>
    <w:rsid w:val="00F216E6"/>
    <w:rsid w:val="00F23BA6"/>
    <w:rsid w:val="00F275A1"/>
    <w:rsid w:val="00F30614"/>
    <w:rsid w:val="00F3359B"/>
    <w:rsid w:val="00F359DA"/>
    <w:rsid w:val="00F35EE4"/>
    <w:rsid w:val="00F403FC"/>
    <w:rsid w:val="00F416D3"/>
    <w:rsid w:val="00F43393"/>
    <w:rsid w:val="00F44409"/>
    <w:rsid w:val="00F45391"/>
    <w:rsid w:val="00F45B56"/>
    <w:rsid w:val="00F466E7"/>
    <w:rsid w:val="00F519A2"/>
    <w:rsid w:val="00F5229B"/>
    <w:rsid w:val="00F5259C"/>
    <w:rsid w:val="00F52E32"/>
    <w:rsid w:val="00F533D0"/>
    <w:rsid w:val="00F53D46"/>
    <w:rsid w:val="00F57385"/>
    <w:rsid w:val="00F628BB"/>
    <w:rsid w:val="00F63660"/>
    <w:rsid w:val="00F7456B"/>
    <w:rsid w:val="00F74D6D"/>
    <w:rsid w:val="00F75669"/>
    <w:rsid w:val="00F75695"/>
    <w:rsid w:val="00F75F92"/>
    <w:rsid w:val="00F76D55"/>
    <w:rsid w:val="00F77A1D"/>
    <w:rsid w:val="00F77B77"/>
    <w:rsid w:val="00F77C61"/>
    <w:rsid w:val="00F80912"/>
    <w:rsid w:val="00F821D5"/>
    <w:rsid w:val="00F83238"/>
    <w:rsid w:val="00F83568"/>
    <w:rsid w:val="00F83BFA"/>
    <w:rsid w:val="00F83D57"/>
    <w:rsid w:val="00F86E4C"/>
    <w:rsid w:val="00F90C73"/>
    <w:rsid w:val="00F92AD3"/>
    <w:rsid w:val="00F96931"/>
    <w:rsid w:val="00F96F95"/>
    <w:rsid w:val="00FA247F"/>
    <w:rsid w:val="00FA6B51"/>
    <w:rsid w:val="00FB34D2"/>
    <w:rsid w:val="00FB4221"/>
    <w:rsid w:val="00FC2D7F"/>
    <w:rsid w:val="00FC3D16"/>
    <w:rsid w:val="00FC45C2"/>
    <w:rsid w:val="00FD0164"/>
    <w:rsid w:val="00FD0A0E"/>
    <w:rsid w:val="00FD0B47"/>
    <w:rsid w:val="00FD516E"/>
    <w:rsid w:val="00FD546A"/>
    <w:rsid w:val="00FD6BCF"/>
    <w:rsid w:val="00FD7448"/>
    <w:rsid w:val="00FD7FB4"/>
    <w:rsid w:val="00FE023F"/>
    <w:rsid w:val="00FE0776"/>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CB810"/>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ind w:firstLineChars="0" w:firstLine="0"/>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rsid w:val="0024221B"/>
    <w:pPr>
      <w:ind w:firstLine="420"/>
    </w:pPr>
  </w:style>
  <w:style w:type="paragraph" w:customStyle="1" w:styleId="ac">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2.wmf"/><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oleObject" Target="embeddings/oleObject3.bin"/><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wmf"/><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8080C-6D69-4FD9-94E2-E12C33F9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20</Pages>
  <Words>1791</Words>
  <Characters>10211</Characters>
  <Application>Microsoft Office Word</Application>
  <DocSecurity>0</DocSecurity>
  <Lines>85</Lines>
  <Paragraphs>23</Paragraphs>
  <ScaleCrop>false</ScaleCrop>
  <Company>Microsoft</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lzjf</cp:lastModifiedBy>
  <cp:revision>1042</cp:revision>
  <dcterms:created xsi:type="dcterms:W3CDTF">2018-06-16T02:36:00Z</dcterms:created>
  <dcterms:modified xsi:type="dcterms:W3CDTF">2018-12-10T05:58:00Z</dcterms:modified>
</cp:coreProperties>
</file>