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4E" w:rsidRPr="00C6194E" w:rsidRDefault="00C6194E" w:rsidP="00C619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en-IN"/>
        </w:rPr>
      </w:pPr>
      <w:r w:rsidRPr="00C6194E">
        <w:rPr>
          <w:rFonts w:ascii="Arial" w:eastAsia="Times New Roman" w:hAnsi="Arial" w:cs="Arial"/>
          <w:color w:val="333333"/>
          <w:kern w:val="36"/>
          <w:sz w:val="48"/>
          <w:szCs w:val="48"/>
          <w:lang w:eastAsia="en-IN"/>
        </w:rPr>
        <w:t>NewGL Planning with Profit Center Combination</w:t>
      </w:r>
    </w:p>
    <w:p w:rsidR="00C6194E" w:rsidRPr="00C6194E" w:rsidRDefault="00C6194E" w:rsidP="00C619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"/>
          <w:szCs w:val="2"/>
          <w:lang w:eastAsia="en-IN"/>
        </w:rPr>
      </w:pPr>
      <w:bookmarkStart w:id="0" w:name="_GoBack"/>
      <w:bookmarkEnd w:id="0"/>
      <w:r w:rsidRPr="00C6194E">
        <w:rPr>
          <w:rFonts w:ascii="Arial" w:eastAsia="Times New Roman" w:hAnsi="Arial" w:cs="Arial"/>
          <w:color w:val="999999"/>
          <w:sz w:val="2"/>
          <w:szCs w:val="2"/>
          <w:bdr w:val="none" w:sz="0" w:space="0" w:color="auto" w:frame="1"/>
          <w:lang w:eastAsia="en-IN"/>
        </w:rPr>
        <w:t>12 Likes 4,908 Views 10 Comments 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Planning function in General Ledger Accounting is use to have forecast values for Profit &amp; Loss GL Account &amp; Balance Sheet Accounts. Planning can be done with combination of Profit Centers against GL Accounts for a given period or for a particular fiscal year.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Steps: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3714750" cy="1971675"/>
            <wp:effectExtent l="0" t="0" r="0" b="9525"/>
            <wp:docPr id="16" name="Picture 16" descr="IMG Path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Path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A) Plan Periods: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Plan Period determines the posting periods allowed for entering plan data. Plan periods are assigned to Co. Codes.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3848100" cy="1581150"/>
            <wp:effectExtent l="0" t="0" r="0" b="0"/>
            <wp:docPr id="15" name="Picture 15" descr="Plan period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 period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B) Plan Versions: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Multiple Plan Versions can be created for comparision of Plan datas.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4400550" cy="1209675"/>
            <wp:effectExtent l="0" t="0" r="0" b="9525"/>
            <wp:docPr id="14" name="Picture 14" descr="Plan Version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 Version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C) Assign Plan Versions to Fiscal Year &amp; Co. Codes: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905250" cy="1171575"/>
            <wp:effectExtent l="0" t="0" r="0" b="9525"/>
            <wp:docPr id="13" name="Picture 13" descr="Plan Version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 Version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D) Activation of Line Item Planning: Activation is required for updating plan values in</w:t>
      </w:r>
      <w:r w:rsidRPr="00C6194E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bdr w:val="none" w:sz="0" w:space="0" w:color="auto" w:frame="1"/>
          <w:lang w:eastAsia="en-IN"/>
        </w:rPr>
        <w:t>“</w:t>
      </w:r>
      <w:r w:rsidRPr="00C6194E">
        <w:rPr>
          <w:rFonts w:ascii="Arial" w:eastAsia="Times New Roman" w:hAnsi="Arial" w:cs="Arial"/>
          <w:b/>
          <w:bCs/>
          <w:color w:val="0000FF"/>
          <w:sz w:val="20"/>
          <w:szCs w:val="20"/>
          <w:bdr w:val="none" w:sz="0" w:space="0" w:color="auto" w:frame="1"/>
          <w:lang w:eastAsia="en-IN"/>
        </w:rPr>
        <w:t>FAGLFLEXP/FAGLFLEXT”</w:t>
      </w: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 table.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noProof/>
          <w:color w:val="008FD3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3362325" cy="3857625"/>
            <wp:effectExtent l="0" t="0" r="9525" b="9525"/>
            <wp:docPr id="12" name="Picture 12" descr="Act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E) Creating Planning Profile: Planning Profile defaults the parameters for which planning is to be done. Before executing any GL Planning Planner Profile is mandatory to be assigned.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Standard Planning Profile </w:t>
      </w:r>
      <w:r w:rsidRPr="00C6194E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“SAPFAGL – Planner Profile for Planning in Gen. Ledger (New)”</w:t>
      </w: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 can be copied for creating Client specific Planning Profile.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Before creating Planner Profile – GL Tables needs to be activated as below: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Tcode: GLPLINSTALL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2838450" cy="685800"/>
            <wp:effectExtent l="0" t="0" r="0" b="0"/>
            <wp:docPr id="11" name="Picture 11" descr="Act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143250" cy="2562225"/>
            <wp:effectExtent l="0" t="0" r="0" b="9525"/>
            <wp:docPr id="10" name="Picture 10" descr="1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5715000" cy="5172075"/>
            <wp:effectExtent l="0" t="0" r="0" b="9525"/>
            <wp:docPr id="9" name="Picture 9" descr="1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F) Document Type for Planning: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229100" cy="828675"/>
            <wp:effectExtent l="0" t="0" r="0" b="9525"/>
            <wp:docPr id="8" name="Picture 8" descr="1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G) Number Ranges for Plan Documents: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noProof/>
          <w:color w:val="008FD3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4667250" cy="3171825"/>
            <wp:effectExtent l="0" t="0" r="0" b="9525"/>
            <wp:docPr id="7" name="Picture 7" descr="1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Above steps are the Configuration part for GL Planning with Combination of Profit Center.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  <w:lang w:eastAsia="en-IN"/>
        </w:rPr>
        <w:t>TRANSACTION CODE FOR GL PLANNING: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b/>
          <w:bCs/>
          <w:noProof/>
          <w:color w:val="008FD3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933825" cy="3743325"/>
            <wp:effectExtent l="0" t="0" r="9525" b="9525"/>
            <wp:docPr id="6" name="Picture 6" descr="1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For Setting Planner Profile Default: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noProof/>
          <w:color w:val="008FD3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2219325" cy="361950"/>
            <wp:effectExtent l="0" t="0" r="9525" b="0"/>
            <wp:docPr id="5" name="Picture 5" descr="1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noProof/>
          <w:color w:val="008FD3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2171700" cy="2266950"/>
            <wp:effectExtent l="0" t="0" r="0" b="0"/>
            <wp:docPr id="4" name="Picture 4" descr="1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Execute T Code: GP12N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noProof/>
          <w:color w:val="008FD3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2771775" cy="2743200"/>
            <wp:effectExtent l="0" t="0" r="9525" b="0"/>
            <wp:docPr id="3" name="Picture 3" descr="1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Enter the Plan Values: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noProof/>
          <w:color w:val="008FD3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4295775" cy="1771650"/>
            <wp:effectExtent l="0" t="0" r="9525" b="0"/>
            <wp:docPr id="2" name="Picture 2" descr="1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 would get generated.</w:t>
      </w:r>
    </w:p>
    <w:p w:rsidR="00C6194E" w:rsidRPr="00C6194E" w:rsidRDefault="00C6194E" w:rsidP="00C619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Table: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FAGLFLEXP/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FAGLFLEXT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color w:val="333333"/>
          <w:sz w:val="20"/>
          <w:szCs w:val="20"/>
          <w:bdr w:val="none" w:sz="0" w:space="0" w:color="auto" w:frame="1"/>
          <w:lang w:eastAsia="en-IN"/>
        </w:rPr>
        <w:t>gets updated with Record Type:1</w:t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Trebuchet MS" w:eastAsia="Times New Roman" w:hAnsi="Trebuchet MS" w:cs="Arial"/>
          <w:noProof/>
          <w:color w:val="008FD3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143500" cy="1790700"/>
            <wp:effectExtent l="0" t="0" r="0" b="0"/>
            <wp:docPr id="1" name="Picture 1" descr="1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4E" w:rsidRPr="00C6194E" w:rsidRDefault="00C6194E" w:rsidP="00C6194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  <w:lang w:eastAsia="en-IN"/>
        </w:rPr>
        <w:lastRenderedPageBreak/>
        <w:t>Report for Plan Vs. Actual:</w:t>
      </w:r>
    </w:p>
    <w:p w:rsidR="00C6194E" w:rsidRPr="00C6194E" w:rsidRDefault="00C6194E" w:rsidP="00C619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194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S_PL0_86000029</w:t>
      </w:r>
    </w:p>
    <w:p w:rsidR="006426BB" w:rsidRDefault="006426BB"/>
    <w:sectPr w:rsidR="006426B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731" w:rsidRDefault="00BF6731" w:rsidP="00C6194E">
      <w:pPr>
        <w:spacing w:after="0" w:line="240" w:lineRule="auto"/>
      </w:pPr>
      <w:r>
        <w:separator/>
      </w:r>
    </w:p>
  </w:endnote>
  <w:endnote w:type="continuationSeparator" w:id="0">
    <w:p w:rsidR="00BF6731" w:rsidRDefault="00BF6731" w:rsidP="00C6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4E" w:rsidRDefault="00C61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4E" w:rsidRDefault="00C6194E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7" name="MSIPCM9ae447989970488823047a1a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6194E" w:rsidRPr="00C6194E" w:rsidRDefault="00C6194E" w:rsidP="00C6194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6194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ae447989970488823047a1a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:rsidR="00C6194E" w:rsidRPr="00C6194E" w:rsidRDefault="00C6194E" w:rsidP="00C6194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6194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4E" w:rsidRDefault="00C61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731" w:rsidRDefault="00BF6731" w:rsidP="00C6194E">
      <w:pPr>
        <w:spacing w:after="0" w:line="240" w:lineRule="auto"/>
      </w:pPr>
      <w:r>
        <w:separator/>
      </w:r>
    </w:p>
  </w:footnote>
  <w:footnote w:type="continuationSeparator" w:id="0">
    <w:p w:rsidR="00BF6731" w:rsidRDefault="00BF6731" w:rsidP="00C6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4E" w:rsidRDefault="00C61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4E" w:rsidRDefault="00C61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4E" w:rsidRDefault="00C61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BB"/>
    <w:rsid w:val="006426BB"/>
    <w:rsid w:val="00B44ABB"/>
    <w:rsid w:val="00BF6731"/>
    <w:rsid w:val="00C6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9B221-D661-4DF6-8574-520493B7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dm-button-text">
    <w:name w:val="dm-button-text"/>
    <w:basedOn w:val="DefaultParagraphFont"/>
    <w:rsid w:val="00C6194E"/>
  </w:style>
  <w:style w:type="character" w:customStyle="1" w:styleId="dm-contentherometadata--item">
    <w:name w:val="dm-contenthero__metadata--item"/>
    <w:basedOn w:val="DefaultParagraphFont"/>
    <w:rsid w:val="00C6194E"/>
  </w:style>
  <w:style w:type="paragraph" w:styleId="NormalWeb">
    <w:name w:val="Normal (Web)"/>
    <w:basedOn w:val="Normal"/>
    <w:uiPriority w:val="99"/>
    <w:semiHidden/>
    <w:unhideWhenUsed/>
    <w:rsid w:val="00C6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19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1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4E"/>
  </w:style>
  <w:style w:type="paragraph" w:styleId="Footer">
    <w:name w:val="footer"/>
    <w:basedOn w:val="Normal"/>
    <w:link w:val="FooterChar"/>
    <w:uiPriority w:val="99"/>
    <w:unhideWhenUsed/>
    <w:rsid w:val="00C61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p.com/wp-content/uploads/2012/11/plan_period_158224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blogs.sap.com/wp-content/uploads/2012/11/1_158238.jpg" TargetMode="External"/><Relationship Id="rId26" Type="http://schemas.openxmlformats.org/officeDocument/2006/relationships/hyperlink" Target="https://blogs.sap.com/wp-content/uploads/2012/11/1_158251.jpg" TargetMode="External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34" Type="http://schemas.openxmlformats.org/officeDocument/2006/relationships/hyperlink" Target="https://blogs.sap.com/wp-content/uploads/2012/11/1_158267.jpg" TargetMode="External"/><Relationship Id="rId42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yperlink" Target="https://blogs.sap.com/wp-content/uploads/2012/11/plan_version_158232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blogs.sap.com/wp-content/uploads/2012/11/act_158237.jpg" TargetMode="External"/><Relationship Id="rId20" Type="http://schemas.openxmlformats.org/officeDocument/2006/relationships/hyperlink" Target="https://blogs.sap.com/wp-content/uploads/2012/11/1_158239.jpg" TargetMode="External"/><Relationship Id="rId29" Type="http://schemas.openxmlformats.org/officeDocument/2006/relationships/image" Target="media/image12.jpeg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blogs.sap.com/wp-content/uploads/2012/11/img_path_158223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blogs.sap.com/wp-content/uploads/2012/11/1_158250.jpg" TargetMode="External"/><Relationship Id="rId32" Type="http://schemas.openxmlformats.org/officeDocument/2006/relationships/hyperlink" Target="https://blogs.sap.com/wp-content/uploads/2012/11/1_158260.jpg" TargetMode="External"/><Relationship Id="rId37" Type="http://schemas.openxmlformats.org/officeDocument/2006/relationships/image" Target="media/image16.jpe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blogs.sap.com/wp-content/uploads/2012/11/1_158258.jpg" TargetMode="External"/><Relationship Id="rId36" Type="http://schemas.openxmlformats.org/officeDocument/2006/relationships/hyperlink" Target="https://blogs.sap.com/wp-content/uploads/2012/11/1_158268.jpg" TargetMode="External"/><Relationship Id="rId10" Type="http://schemas.openxmlformats.org/officeDocument/2006/relationships/hyperlink" Target="https://blogs.sap.com/wp-content/uploads/2012/11/plan_version_158231.jp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blogs.sap.com/wp-content/uploads/2012/11/act_158233.jpg" TargetMode="External"/><Relationship Id="rId22" Type="http://schemas.openxmlformats.org/officeDocument/2006/relationships/hyperlink" Target="https://blogs.sap.com/wp-content/uploads/2012/11/1_158249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s://blogs.sap.com/wp-content/uploads/2012/11/1_158259.jpg" TargetMode="External"/><Relationship Id="rId35" Type="http://schemas.openxmlformats.org/officeDocument/2006/relationships/image" Target="media/image15.jpe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239</Words>
  <Characters>1363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visunagari (MAS)</dc:creator>
  <cp:keywords/>
  <dc:description/>
  <cp:lastModifiedBy>Ramesh visunagari (MAS)</cp:lastModifiedBy>
  <cp:revision>2</cp:revision>
  <dcterms:created xsi:type="dcterms:W3CDTF">2019-07-31T11:28:00Z</dcterms:created>
  <dcterms:modified xsi:type="dcterms:W3CDTF">2019-07-31T11:29:00Z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rvisu@wipro.com</vt:lpwstr>
  </property>
  <property fmtid="{D5CDD505-2E9C-101B-9397-08002B2CF9AE}" pid="6" name="MSIP_Label_b9a70571-31c6-4603-80c1-ef2fb871a62a_SetDate">
    <vt:lpwstr>2019-07-31T16:59:26.3891845+05:30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