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E65C9">
      <w:pPr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软件过程与管理课程作业</w:t>
      </w:r>
    </w:p>
    <w:p w14:paraId="41D8619E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1  项目概述</w:t>
      </w:r>
    </w:p>
    <w:p w14:paraId="7E26FA0A">
      <w:pPr>
        <w:spacing w:line="360" w:lineRule="auto"/>
        <w:ind w:firstLine="420"/>
        <w:jc w:val="both"/>
        <w:rPr>
          <w:rFonts w:hint="eastAsia" w:ascii="宋体" w:hAnsi="宋体" w:eastAsia="宋体" w:cs="宋体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b w:val="0"/>
          <w:color w:val="000000"/>
          <w:sz w:val="21"/>
          <w:szCs w:val="21"/>
          <w:shd w:val="clear" w:color="auto" w:fill="auto"/>
        </w:rPr>
        <w:t>智能交通 OD 预测项目面向城市交通需求分析场景，</w:t>
      </w: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主要任务是利用历史订单、天气、POI、节假日与时间上下文等多源数据，预测未来若干时间步内城市不同区域之间的出行需求。项目采用16×16的空间网格和60分钟时间粒度输出了未来12个时间步OD需求矩阵，可以实现运力调度、热点区域识别和趋势分析。和一般信息系统相比，该项目具有数据处理链路长、实验迭代频繁、模型评估依赖度高等特征，因此，需要一个规范又不过于复杂的软件过程来支持项目开发、实验管理和持续改进。</w:t>
      </w:r>
    </w:p>
    <w:p w14:paraId="732625DC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2  软件过程定义的来源</w:t>
      </w:r>
    </w:p>
    <w:p w14:paraId="27796CD9">
      <w:pPr>
        <w:spacing w:line="360" w:lineRule="auto"/>
        <w:ind w:firstLine="420" w:firstLineChars="200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本项目的软件过程定义主要参考三方面。第一，参考ISO/IEC/IEEE 12207生命周期过程框架作为总体结构，用于识别在项目中应当存在的计划、开发、验证、配置、质量与交付活动；第二，参考ISO/IEC 15504的过程能力评估思想，强调过程应该具有明确的目的、观测到的结果与跟踪的活动；第三，参考ISO/IEC 33001的过程评估与改进思想，通过度量结果对项目过程的有效性进行分析，并将分析结论反馈到下一轮迭代中；</w:t>
      </w:r>
    </w:p>
    <w:p w14:paraId="673AC8AF">
      <w:pPr>
        <w:spacing w:line="360" w:lineRule="auto"/>
        <w:ind w:firstLine="420" w:firstLineChars="200"/>
        <w:rPr>
          <w:rFonts w:ascii="Noto Sans SC" w:hAnsi="Noto Sans SC" w:eastAsia="Noto Sans SC" w:cs="Noto Sans SC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因此，本文并不是简单罗列标准条款，而是把标准作为“过程定义模板”，再与OD预测项目的实际需求相结合，形成一个轻量级、研究型、可执行的软件过程。</w:t>
      </w:r>
    </w:p>
    <w:p w14:paraId="12D91951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3  项目软件过程定义</w:t>
      </w:r>
    </w:p>
    <w:p w14:paraId="5BCD9E97">
      <w:pPr>
        <w:spacing w:line="360" w:lineRule="auto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结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</w:rPr>
        <w:t>合项目特点，本项目的软件过程可以概括为“以数据治理和模型开发为核心，以验证评估和结果反馈为闭环”的轻量级软件过程。其主链路如图 3-1 所示。</w:t>
      </w:r>
    </w:p>
    <w:p w14:paraId="34C49EB1">
      <w:pPr>
        <w:jc w:val="center"/>
      </w:pPr>
    </w:p>
    <w:p w14:paraId="33712A72">
      <w:pPr>
        <w:jc w:val="center"/>
      </w:pPr>
      <w:r>
        <w:drawing>
          <wp:inline distT="0" distB="0" distL="114300" distR="114300">
            <wp:extent cx="6119495" cy="1075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184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5C8F"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3-1  智能交通 OD 预测项目的软件过程主链路</w:t>
      </w:r>
    </w:p>
    <w:p w14:paraId="60446D0E">
      <w:p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该主链路突出了本项目的工程特点，前期注重多源数据采集和治理，中期注重OD构建和模型训练，后期注重验证评估与可视化发布形成结果闭环。相比标准框架而言，数据治理和验证评估在本项目中更具权重性。</w:t>
      </w:r>
    </w:p>
    <w:p w14:paraId="445053E8"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 3-1 进一步给出了项目核心过程、关键活动和主要工作产品。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30A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4BF15D3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过程</w:t>
            </w:r>
          </w:p>
        </w:tc>
        <w:tc>
          <w:tcPr>
            <w:tcW w:w="3022" w:type="dxa"/>
            <w:vAlign w:val="center"/>
          </w:tcPr>
          <w:p w14:paraId="64C9419E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关键活动</w:t>
            </w:r>
          </w:p>
        </w:tc>
        <w:tc>
          <w:tcPr>
            <w:tcW w:w="3022" w:type="dxa"/>
            <w:vAlign w:val="center"/>
          </w:tcPr>
          <w:p w14:paraId="42D65579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主要工作产品</w:t>
            </w:r>
          </w:p>
        </w:tc>
      </w:tr>
      <w:tr w14:paraId="2D20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C2F3078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项目计划与需求分析</w:t>
            </w:r>
          </w:p>
        </w:tc>
        <w:tc>
          <w:tcPr>
            <w:tcW w:w="3022" w:type="dxa"/>
            <w:vAlign w:val="center"/>
          </w:tcPr>
          <w:p w14:paraId="50303D2A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明确研究目标、指标体系、时间计划与角色分工</w:t>
            </w:r>
          </w:p>
        </w:tc>
        <w:tc>
          <w:tcPr>
            <w:tcW w:w="3022" w:type="dxa"/>
            <w:vAlign w:val="center"/>
          </w:tcPr>
          <w:p w14:paraId="0A2D9C69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项目计划、需求说明、任务分解表</w:t>
            </w:r>
          </w:p>
        </w:tc>
      </w:tr>
      <w:tr w14:paraId="6FC9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2124762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数据治理过程</w:t>
            </w:r>
          </w:p>
        </w:tc>
        <w:tc>
          <w:tcPr>
            <w:tcW w:w="3022" w:type="dxa"/>
            <w:vAlign w:val="center"/>
          </w:tcPr>
          <w:p w14:paraId="4749AA10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数据清洗、时间对齐、缺失处理、异常检查、样本切分</w:t>
            </w:r>
          </w:p>
        </w:tc>
        <w:tc>
          <w:tcPr>
            <w:tcW w:w="3022" w:type="dxa"/>
            <w:vAlign w:val="center"/>
          </w:tcPr>
          <w:p w14:paraId="5BD274CC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数据说明文档、清洗脚本、数据版本记录</w:t>
            </w:r>
          </w:p>
        </w:tc>
      </w:tr>
      <w:tr w14:paraId="398A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06E6B68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模型开发过程</w:t>
            </w:r>
          </w:p>
        </w:tc>
        <w:tc>
          <w:tcPr>
            <w:tcW w:w="3022" w:type="dxa"/>
            <w:vAlign w:val="center"/>
          </w:tcPr>
          <w:p w14:paraId="7AFA6ECF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特征构建、模型设计、训练调参、对比实验</w:t>
            </w:r>
          </w:p>
        </w:tc>
        <w:tc>
          <w:tcPr>
            <w:tcW w:w="3022" w:type="dxa"/>
            <w:vAlign w:val="center"/>
          </w:tcPr>
          <w:p w14:paraId="541947CD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模型代码、配置文件、训练日志</w:t>
            </w:r>
          </w:p>
        </w:tc>
      </w:tr>
      <w:tr w14:paraId="3710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1F69940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验证评估过程</w:t>
            </w:r>
          </w:p>
        </w:tc>
        <w:tc>
          <w:tcPr>
            <w:tcW w:w="3022" w:type="dxa"/>
            <w:vAlign w:val="center"/>
          </w:tcPr>
          <w:p w14:paraId="395989AF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计算 MAE、高流量 MAE、非零 OD MAE，并分析误差案例</w:t>
            </w:r>
          </w:p>
        </w:tc>
        <w:tc>
          <w:tcPr>
            <w:tcW w:w="3022" w:type="dxa"/>
            <w:vAlign w:val="center"/>
          </w:tcPr>
          <w:p w14:paraId="19DC5975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实验报告、结果汇总表、分析图表</w:t>
            </w:r>
          </w:p>
        </w:tc>
      </w:tr>
      <w:tr w14:paraId="55C7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B9003ED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配置与质量管理</w:t>
            </w:r>
          </w:p>
        </w:tc>
        <w:tc>
          <w:tcPr>
            <w:tcW w:w="3022" w:type="dxa"/>
            <w:vAlign w:val="center"/>
          </w:tcPr>
          <w:p w14:paraId="16A6F952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版本管理、复现实验、阶段评审、问题跟踪</w:t>
            </w:r>
          </w:p>
        </w:tc>
        <w:tc>
          <w:tcPr>
            <w:tcW w:w="3022" w:type="dxa"/>
            <w:vAlign w:val="center"/>
          </w:tcPr>
          <w:p w14:paraId="1B19539E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Git 记录、评审记录、问题清单</w:t>
            </w:r>
          </w:p>
        </w:tc>
      </w:tr>
      <w:tr w14:paraId="5772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563850B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结果发布过程</w:t>
            </w:r>
          </w:p>
        </w:tc>
        <w:tc>
          <w:tcPr>
            <w:tcW w:w="3022" w:type="dxa"/>
            <w:vAlign w:val="center"/>
          </w:tcPr>
          <w:p w14:paraId="09227A5D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可视化展示、接口封装、结果反馈与迭代优化</w:t>
            </w:r>
          </w:p>
        </w:tc>
        <w:tc>
          <w:tcPr>
            <w:tcW w:w="3022" w:type="dxa"/>
            <w:vAlign w:val="center"/>
          </w:tcPr>
          <w:p w14:paraId="299BD193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演示系统、接口说明、迭代建议</w:t>
            </w:r>
          </w:p>
        </w:tc>
      </w:tr>
    </w:tbl>
    <w:p w14:paraId="7283CAA1"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表 3-1  项目核心过程与主要工作产品</w:t>
      </w:r>
    </w:p>
    <w:p w14:paraId="48482050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4  角色与职责</w:t>
      </w:r>
    </w:p>
    <w:p w14:paraId="10D1F426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color w:val="00000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由于本项目属课程型研究开发，不追求严格的岗位分离，因此选择“小团队、多角色合并”来组织各方面的工作。这样既能保持过程的完整性，又避免过度形式化。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8B9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D053A18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角色</w:t>
            </w:r>
          </w:p>
        </w:tc>
        <w:tc>
          <w:tcPr>
            <w:tcW w:w="3022" w:type="dxa"/>
            <w:vAlign w:val="center"/>
          </w:tcPr>
          <w:p w14:paraId="4D48383A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主要职责</w:t>
            </w:r>
          </w:p>
        </w:tc>
        <w:tc>
          <w:tcPr>
            <w:tcW w:w="3022" w:type="dxa"/>
            <w:vAlign w:val="center"/>
          </w:tcPr>
          <w:p w14:paraId="3596A56F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输出物</w:t>
            </w:r>
          </w:p>
        </w:tc>
      </w:tr>
      <w:tr w14:paraId="6B27D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0DCAB55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项目负责人</w:t>
            </w:r>
          </w:p>
        </w:tc>
        <w:tc>
          <w:tcPr>
            <w:tcW w:w="3022" w:type="dxa"/>
            <w:vAlign w:val="center"/>
          </w:tcPr>
          <w:p w14:paraId="74B0432E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制定计划、统筹任务、把控进度与质量</w:t>
            </w:r>
          </w:p>
        </w:tc>
        <w:tc>
          <w:tcPr>
            <w:tcW w:w="3022" w:type="dxa"/>
            <w:vAlign w:val="center"/>
          </w:tcPr>
          <w:p w14:paraId="612910BC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项目计划、阶段总结</w:t>
            </w:r>
          </w:p>
        </w:tc>
      </w:tr>
      <w:tr w14:paraId="1858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DC76BCA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数据工程角色</w:t>
            </w:r>
          </w:p>
        </w:tc>
        <w:tc>
          <w:tcPr>
            <w:tcW w:w="3022" w:type="dxa"/>
            <w:vAlign w:val="center"/>
          </w:tcPr>
          <w:p w14:paraId="5EF3B3D3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完成数据采集、清洗、对齐与特征构造</w:t>
            </w:r>
          </w:p>
        </w:tc>
        <w:tc>
          <w:tcPr>
            <w:tcW w:w="3022" w:type="dxa"/>
            <w:vAlign w:val="center"/>
          </w:tcPr>
          <w:p w14:paraId="6347B472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数据集版本、特征说明</w:t>
            </w:r>
          </w:p>
        </w:tc>
      </w:tr>
      <w:tr w14:paraId="347B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0BA899E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算法工程角色</w:t>
            </w:r>
          </w:p>
        </w:tc>
        <w:tc>
          <w:tcPr>
            <w:tcW w:w="3022" w:type="dxa"/>
            <w:vAlign w:val="center"/>
          </w:tcPr>
          <w:p w14:paraId="53CC254F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进行模型训练、调参与对比实验</w:t>
            </w:r>
          </w:p>
        </w:tc>
        <w:tc>
          <w:tcPr>
            <w:tcW w:w="3022" w:type="dxa"/>
            <w:vAlign w:val="center"/>
          </w:tcPr>
          <w:p w14:paraId="7AADF168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训练脚本、参数配置、实验记录</w:t>
            </w:r>
          </w:p>
        </w:tc>
      </w:tr>
      <w:tr w14:paraId="4804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389542F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评估与文档角色</w:t>
            </w:r>
          </w:p>
        </w:tc>
        <w:tc>
          <w:tcPr>
            <w:tcW w:w="3022" w:type="dxa"/>
            <w:vAlign w:val="center"/>
          </w:tcPr>
          <w:p w14:paraId="077B4781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整理图表、分析误差并撰写报告</w:t>
            </w:r>
          </w:p>
        </w:tc>
        <w:tc>
          <w:tcPr>
            <w:tcW w:w="3022" w:type="dxa"/>
            <w:vAlign w:val="center"/>
          </w:tcPr>
          <w:p w14:paraId="10B9AC63">
            <w:pPr>
              <w:spacing w:after="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结果图表、课程作业文档</w:t>
            </w:r>
          </w:p>
        </w:tc>
      </w:tr>
    </w:tbl>
    <w:p w14:paraId="6C16FBE0"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表 4-1  项目角色与职责分工</w:t>
      </w:r>
    </w:p>
    <w:p w14:paraId="663D94FD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5  过程度量与示例结果</w:t>
      </w:r>
    </w:p>
    <w:p w14:paraId="3A4C98DE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为体现过程可度量、结果可分析、改进有依据的思想，本文给出两组示意性数据：一组是不同业务场景下误差表现，另外一组是不同方法综合评价得分。对应数据均为课程作业的科学示例，其目的在于说明软件过程如何支撑实验验证以及持续改进。</w:t>
      </w:r>
    </w:p>
    <w:p w14:paraId="0A52CE0B">
      <w:pPr>
        <w:jc w:val="center"/>
      </w:pPr>
      <w:r>
        <w:drawing>
          <wp:inline distT="0" distB="0" distL="114300" distR="114300">
            <wp:extent cx="5831840" cy="2385695"/>
            <wp:effectExtent l="0" t="0" r="1651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5A1"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5-1  不同业务场景下的平均 MAE 统计示意</w:t>
      </w:r>
    </w:p>
    <w:p w14:paraId="7737524F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fill="F8FAFC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从图5-1可以看到，本项目方法在常规时段、通勤高峰和极端天气三类场景下都取得了较低的MAE，说明在数据治理、特征工程和模型训练阶段形成规范流程之后，能够大幅提升模型的稳定和</w:t>
      </w: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fill="F8FAFC"/>
        </w:rPr>
        <w:t>泛化性能。</w:t>
      </w:r>
    </w:p>
    <w:p w14:paraId="673C20C4">
      <w:pPr>
        <w:jc w:val="center"/>
      </w:pPr>
      <w:r>
        <w:drawing>
          <wp:inline distT="0" distB="0" distL="114300" distR="114300">
            <wp:extent cx="5687695" cy="2491740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75F"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5-2  不同方法在 OD 预测任务上的综合评价得分</w:t>
      </w:r>
    </w:p>
    <w:p w14:paraId="2B5BD9D7">
      <w:pPr>
        <w:spacing w:line="360" w:lineRule="auto"/>
        <w:ind w:firstLine="420" w:firstLineChars="200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从图5-2可以看出，本项目方法排名第一，这说明如果在软件过程中充分重视数据版本管理、实验复现、参数记录和结果分析，则项目结果往往更可靠，也容易形成闭环改进。</w:t>
      </w:r>
    </w:p>
    <w:p w14:paraId="4525696E">
      <w:pPr>
        <w:spacing w:line="360" w:lineRule="auto"/>
      </w:pPr>
      <w:r>
        <w:rPr>
          <w:rFonts w:ascii="Times New Roman" w:hAnsi="Times New Roman" w:eastAsia="宋体"/>
          <w:b/>
          <w:color w:val="000000"/>
          <w:sz w:val="28"/>
        </w:rPr>
        <w:t>6  软件过程的剪裁思路</w:t>
      </w:r>
    </w:p>
    <w:p w14:paraId="4AADCD26">
      <w:pPr>
        <w:spacing w:line="360" w:lineRule="auto"/>
        <w:ind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本项目的软件过程并不是机械地照搬标准，而是在标准指导下进行有目的的剪裁。总体上可以定义为：保留关键控制点，简化正式化负担，突出研究型软件项目核心活动。</w:t>
      </w:r>
    </w:p>
    <w:p w14:paraId="169B7BC6">
      <w:pPr>
        <w:numPr>
          <w:ilvl w:val="0"/>
          <w:numId w:val="7"/>
        </w:numPr>
        <w:spacing w:line="360" w:lineRule="auto"/>
        <w:ind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保留项目计划、验证评估、配置管理和质量保证等关键过程。这些关键过程虽然很小，但却是结果能复现、工作可追踪和文档相统一的基础。</w:t>
      </w:r>
    </w:p>
    <w:p w14:paraId="77C605A2">
      <w:pPr>
        <w:numPr>
          <w:ilvl w:val="0"/>
          <w:numId w:val="7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对采购、供应、合同等协议过程做弱化处理。由于本项目并不向外部正式客户交付产品，因此也没有独立的采购和供应流程设置，只保留需求约定、阶段确认和成果验收等思想。</w:t>
      </w:r>
    </w:p>
    <w:p w14:paraId="34D44C34">
      <w:pPr>
        <w:numPr>
          <w:ilvl w:val="0"/>
          <w:numId w:val="7"/>
        </w:numPr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将部分技术过程进行合并处理。例如，把利益相关方的需求与系统/软件的需求分析合并为项目需求分析；把运行与维护合并为可视化展示、反馈修正和迭代优化；把评审活动纳入每轮实验总结之中。</w:t>
      </w:r>
    </w:p>
    <w:p w14:paraId="48A6E215">
      <w:pPr>
        <w:numPr>
          <w:ilvl w:val="0"/>
          <w:numId w:val="7"/>
        </w:numPr>
        <w:spacing w:line="360" w:lineRule="auto"/>
        <w:ind w:left="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增加领域特有活动。OD构建、时空特征工程、高流量OD样本分析在通用标准中并不会直接出现，但对于本项目至关重要，所以需要在软件过程定义中明确补充。</w:t>
      </w:r>
    </w:p>
    <w:p w14:paraId="749B0093">
      <w:pPr>
        <w:numPr>
          <w:numId w:val="0"/>
        </w:numPr>
        <w:spacing w:line="360" w:lineRule="auto"/>
      </w:pPr>
      <w:bookmarkStart w:id="0" w:name="_GoBack"/>
      <w:bookmarkEnd w:id="0"/>
      <w:r>
        <w:rPr>
          <w:rFonts w:ascii="Times New Roman" w:hAnsi="Times New Roman" w:eastAsia="宋体"/>
          <w:b/>
          <w:color w:val="000000"/>
          <w:sz w:val="28"/>
        </w:rPr>
        <w:t>7  结论</w:t>
      </w:r>
    </w:p>
    <w:p w14:paraId="49FE6F9D">
      <w:pPr>
        <w:spacing w:line="360" w:lineRule="auto"/>
        <w:ind w:firstLine="420"/>
        <w:jc w:val="both"/>
        <w:rPr>
          <w:rFonts w:hint="eastAsia" w:ascii="宋体" w:hAnsi="宋体" w:eastAsia="宋体" w:cs="宋体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72A"/>
          <w:spacing w:val="0"/>
          <w:sz w:val="21"/>
          <w:szCs w:val="21"/>
          <w:shd w:val="clear" w:color="auto" w:fill="auto"/>
        </w:rPr>
        <w:t>本文基于ISO/IEC/IEEE 12207的生命周期框架，参考ISO/IEC 15504和ISO/IEC 33001的过程评估思想，定义了一个适用于智能交通OD预测项目的轻量级软件过程，并说明了该过程的来源和剪裁思路。该过程既包含项目计划、数据治理、模型开发、验证评估、配置管理和结果发布等活动，又具备研究型项目所需要的灵活性，可以较好地支持课程作业中的项目分析与说明。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KR Black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Noto Sans KR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KR Thin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ans KR Medium">
    <w:panose1 w:val="020B02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3B11047"/>
    <w:multiLevelType w:val="singleLevel"/>
    <w:tmpl w:val="23B11047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4A4B9B"/>
    <w:rsid w:val="19E2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1554</Words>
  <Characters>1671</Characters>
  <Lines>0</Lines>
  <Paragraphs>0</Paragraphs>
  <TotalTime>15</TotalTime>
  <ScaleCrop>false</ScaleCrop>
  <LinksUpToDate>false</LinksUpToDate>
  <CharactersWithSpaces>1750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覃泽锴</cp:lastModifiedBy>
  <dcterms:modified xsi:type="dcterms:W3CDTF">2026-04-28T15:54:07Z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eyJoZGlkIjoiNGJlNzZkMDJiNTRmYTQ5M2E5MmU3ZjUyZWVmMGY2ZTkiLCJ1c2VySWQiOiIxNzU1Njk4MjE4In0=</vt:lpwstr>
  </property>
  <property fmtid="{D5CDD505-2E9C-101B-9397-08002B2CF9AE}" pid="3" name="KSOProductBuildVer">
    <vt:lpwstr>2052-12.1.0.21915</vt:lpwstr>
  </property>
  <property fmtid="{D5CDD505-2E9C-101B-9397-08002B2CF9AE}" pid="4" name="ICV">
    <vt:lpwstr>98507D2B7C7A40D098B55DF6FF9CA6F5_12</vt:lpwstr>
  </property>
</Properties>
</file>