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onsolas" w:hAnsi="Consolas"/>
          <w:color w:val="5C6774"/>
          <w:sz w:val="22"/>
        </w:rPr>
        <w:t>RAQ QUERY PIPELINE</w:t>
      </w:r>
    </w:p>
    <w:p>
      <w:pPr>
        <w:pStyle w:val="Heading1"/>
      </w:pPr>
      <w:r>
        <w:rPr>
          <w:color w:val="1B2430"/>
        </w:rPr>
        <w:t>How a Question Becomes a Validated SQL Query</w:t>
      </w:r>
    </w:p>
    <w:p>
      <w:pPr>
        <w:spacing w:after="320"/>
      </w:pPr>
      <w:r>
        <w:rPr>
          <w:b w:val="0"/>
          <w:i w:val="0"/>
          <w:color w:val="5C6774"/>
          <w:sz w:val="24"/>
        </w:rPr>
        <w:t>An end-to-end technical reference for the CIMS RAQ Quarterly query pipeline: data sources, retrieval stages, embedding indexes, and every model call from user question to executed SQL.</w:t>
      </w:r>
    </w:p>
    <w:p>
      <w:pPr>
        <w:spacing w:after="80"/>
      </w:pPr>
      <w:r>
        <w:rPr>
          <w:b/>
          <w:color w:val="445164"/>
        </w:rPr>
        <w:t xml:space="preserve">■ </w:t>
      </w:r>
      <w:r>
        <w:rPr>
          <w:color w:val="5C6774"/>
          <w:sz w:val="19"/>
        </w:rPr>
        <w:t xml:space="preserve">deterministic logic    </w:t>
      </w:r>
      <w:r>
        <w:rPr>
          <w:b/>
          <w:color w:val="1F7A6B"/>
        </w:rPr>
        <w:t xml:space="preserve">■ </w:t>
      </w:r>
      <w:r>
        <w:rPr>
          <w:color w:val="5C6774"/>
          <w:sz w:val="19"/>
        </w:rPr>
        <w:t xml:space="preserve">embedding model (BAAI/bge-large-en)    </w:t>
      </w:r>
      <w:r>
        <w:rPr>
          <w:b/>
          <w:color w:val="B8720F"/>
        </w:rPr>
        <w:t xml:space="preserve">■ </w:t>
      </w:r>
      <w:r>
        <w:rPr>
          <w:color w:val="5C6774"/>
          <w:sz w:val="19"/>
        </w:rPr>
        <w:t xml:space="preserve">generative LLM (SQLCoder-7B)    </w:t>
      </w:r>
    </w:p>
    <w:p/>
    <w:p>
      <w:pPr>
        <w:pStyle w:val="Heading2"/>
      </w:pPr>
      <w:r>
        <w:rPr>
          <w:color w:val="1B2430"/>
        </w:rPr>
        <w:t>Pipeline Diagram</w:t>
      </w:r>
    </w:p>
    <w:p>
      <w:pPr>
        <w:spacing w:after="120"/>
      </w:pPr>
      <w:r>
        <w:rPr>
          <w:b w:val="0"/>
          <w:i w:val="0"/>
          <w:color w:val="5C6774"/>
          <w:sz w:val="20"/>
        </w:rPr>
        <w:t>Traced from api/routes/query.py through retrieval, gating, generation, and execution.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018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8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774"/>
          <w:sz w:val="18"/>
        </w:rPr>
        <w:t>The only generative model in this path is the SQLCoder call at Stage 5 (amber). Everything else is either the local bge-large-en embedding model (teal), reused across all seven retrieval signals, or deterministic logic (slate) — regex, cached lookups, and live Oracle EXPLAIN PLAN checks.</w:t>
      </w:r>
    </w:p>
    <w:p>
      <w:r>
        <w:br w:type="page"/>
      </w:r>
    </w:p>
    <w:p>
      <w:pPr>
        <w:pStyle w:val="Heading1"/>
      </w:pPr>
      <w:r>
        <w:rPr>
          <w:color w:val="1B2430"/>
        </w:rPr>
        <w:t>Stage-by-Stage Breakdown</w:t>
      </w:r>
    </w:p>
    <w:p>
      <w:pPr>
        <w:pStyle w:val="Heading3"/>
      </w:pPr>
      <w:r>
        <w:rPr>
          <w:color w:val="445164"/>
        </w:rPr>
        <w:t>Stage 0 — Input Guards</w:t>
      </w:r>
    </w:p>
    <w:p>
      <w:pPr>
        <w:spacing w:after="80"/>
      </w:pPr>
      <w:r>
        <w:rPr>
          <w:b/>
          <w:sz w:val="20"/>
        </w:rPr>
        <w:t xml:space="preserve">Reads:  </w:t>
      </w:r>
      <w:r>
        <w:rPr>
          <w:sz w:val="20"/>
        </w:rPr>
        <w:t>Nothing external.</w:t>
      </w:r>
    </w:p>
    <w:p>
      <w:pPr>
        <w:spacing w:after="80"/>
      </w:pPr>
      <w:r>
        <w:rPr>
          <w:b/>
          <w:sz w:val="20"/>
        </w:rPr>
        <w:t xml:space="preserve">Does:  </w:t>
      </w:r>
      <w:r>
        <w:rPr>
          <w:sz w:val="20"/>
        </w:rPr>
        <w:t>Rejects queries under 20 characters; regex-checks for a time expression and attaches a soft hint if one is missing (non-blocking).</w:t>
      </w:r>
    </w:p>
    <w:p>
      <w:pPr>
        <w:spacing w:after="80"/>
      </w:pPr>
      <w:r>
        <w:rPr>
          <w:b/>
          <w:sz w:val="20"/>
        </w:rPr>
        <w:t xml:space="preserve">Model:  </w:t>
      </w:r>
      <w:r>
        <w:rPr>
          <w:sz w:val="20"/>
        </w:rPr>
        <w:t>None.</w:t>
      </w:r>
    </w:p>
    <w:p>
      <w:pPr>
        <w:spacing w:after="80"/>
      </w:pPr>
      <w:r>
        <w:rPr>
          <w:b/>
          <w:sz w:val="20"/>
        </w:rPr>
        <w:t xml:space="preserve">Output:  </w:t>
      </w:r>
      <w:r>
        <w:rPr>
          <w:sz w:val="20"/>
        </w:rPr>
        <w:t>Cleaned query string.</w:t>
      </w:r>
    </w:p>
    <w:p>
      <w:pPr>
        <w:pStyle w:val="Heading3"/>
      </w:pPr>
      <w:r>
        <w:rPr>
          <w:color w:val="1F7A6B"/>
        </w:rPr>
        <w:t>Stage 1 — Query Embedding</w:t>
      </w:r>
    </w:p>
    <w:p>
      <w:pPr>
        <w:spacing w:after="80"/>
      </w:pPr>
      <w:r>
        <w:rPr>
          <w:b/>
          <w:sz w:val="20"/>
        </w:rPr>
        <w:t xml:space="preserve">Reads:  </w:t>
      </w:r>
      <w:r>
        <w:rPr>
          <w:sz w:val="20"/>
        </w:rPr>
        <w:t>business_dictionary.yaml (acronym / alias table).</w:t>
      </w:r>
    </w:p>
    <w:p>
      <w:pPr>
        <w:spacing w:after="80"/>
      </w:pPr>
      <w:r>
        <w:rPr>
          <w:b/>
          <w:sz w:val="20"/>
        </w:rPr>
        <w:t xml:space="preserve">Does:  </w:t>
      </w:r>
      <w:r>
        <w:rPr>
          <w:sz w:val="20"/>
        </w:rPr>
        <w:t>Expands domain jargon and acronyms (e.g. “sec4” → “section 4”), then embeds the expanded text once with a BGE query-instruction prefix.</w:t>
      </w:r>
    </w:p>
    <w:p>
      <w:pPr>
        <w:spacing w:after="80"/>
      </w:pPr>
      <w:r>
        <w:rPr>
          <w:b/>
          <w:sz w:val="20"/>
        </w:rPr>
        <w:t xml:space="preserve">Model:  </w:t>
      </w:r>
      <w:r>
        <w:rPr>
          <w:sz w:val="20"/>
        </w:rPr>
        <w:t>BAAI/bge-large-en (sentence-transformers), loaded in-process locally — not a network call.</w:t>
      </w:r>
    </w:p>
    <w:p>
      <w:pPr>
        <w:spacing w:after="80"/>
      </w:pPr>
      <w:r>
        <w:rPr>
          <w:b/>
          <w:sz w:val="20"/>
        </w:rPr>
        <w:t xml:space="preserve">Output:  </w:t>
      </w:r>
      <w:r>
        <w:rPr>
          <w:sz w:val="20"/>
        </w:rPr>
        <w:t>1024-dimension normalized query vector, reused for every downstream index lookup this request.</w:t>
      </w:r>
    </w:p>
    <w:p>
      <w:pPr>
        <w:pStyle w:val="Heading3"/>
      </w:pPr>
      <w:r>
        <w:rPr>
          <w:color w:val="445164"/>
        </w:rPr>
        <w:t>Stage 2 — Exact QA Short-Circuit</w:t>
      </w:r>
    </w:p>
    <w:p>
      <w:pPr>
        <w:spacing w:after="80"/>
      </w:pPr>
      <w:r>
        <w:rPr>
          <w:b/>
          <w:sz w:val="20"/>
        </w:rPr>
        <w:t xml:space="preserve">Reads:  </w:t>
      </w:r>
      <w:r>
        <w:rPr>
          <w:sz w:val="20"/>
        </w:rPr>
        <w:t>qa_index.faiss / qa_meta.pkl.</w:t>
      </w:r>
    </w:p>
    <w:p>
      <w:pPr>
        <w:spacing w:after="80"/>
      </w:pPr>
      <w:r>
        <w:rPr>
          <w:b/>
          <w:sz w:val="20"/>
        </w:rPr>
        <w:t xml:space="preserve">Does:  </w:t>
      </w:r>
      <w:r>
        <w:rPr>
          <w:sz w:val="20"/>
        </w:rPr>
        <w:t>FAISS top-1 lookup; if the raw query is ≥99% literally identical to a stored verified question, retrieval and generation are skipped entirely and the stored SQL is reused.</w:t>
      </w:r>
    </w:p>
    <w:p>
      <w:pPr>
        <w:spacing w:after="80"/>
      </w:pPr>
      <w:r>
        <w:rPr>
          <w:b/>
          <w:sz w:val="20"/>
        </w:rPr>
        <w:t xml:space="preserve">Model:  </w:t>
      </w:r>
      <w:r>
        <w:rPr>
          <w:sz w:val="20"/>
        </w:rPr>
        <w:t>Same BGE embedding already computed; no LLM.</w:t>
      </w:r>
    </w:p>
    <w:p>
      <w:pPr>
        <w:spacing w:after="80"/>
      </w:pPr>
      <w:r>
        <w:rPr>
          <w:b/>
          <w:sz w:val="20"/>
        </w:rPr>
        <w:t xml:space="preserve">Output:  </w:t>
      </w:r>
      <w:r>
        <w:rPr>
          <w:sz w:val="20"/>
        </w:rPr>
        <w:t>Either an early result, or falls through to Stage 3.</w:t>
      </w:r>
    </w:p>
    <w:p>
      <w:pPr>
        <w:pStyle w:val="Heading3"/>
      </w:pPr>
      <w:r>
        <w:rPr>
          <w:color w:val="445164"/>
        </w:rPr>
        <w:t>Stage 3 — Multi-Signal Retrieval (the RAG core)</w:t>
      </w:r>
    </w:p>
    <w:p>
      <w:pPr>
        <w:spacing w:after="80"/>
      </w:pPr>
      <w:r>
        <w:rPr>
          <w:b/>
          <w:sz w:val="20"/>
        </w:rPr>
        <w:t xml:space="preserve">Reads:  </w:t>
      </w:r>
      <w:r>
        <w:rPr>
          <w:sz w:val="20"/>
        </w:rPr>
        <w:t>table_index.faiss, column_index.faiss, row_label_index.faiss, qa_index.faiss, concept_index.faiss, member_index.faiss, and a BM25 lexical index — all queried concurrently.</w:t>
      </w:r>
    </w:p>
    <w:p>
      <w:pPr>
        <w:spacing w:after="80"/>
      </w:pPr>
      <w:r>
        <w:rPr>
          <w:b/>
          <w:sz w:val="20"/>
        </w:rPr>
        <w:t xml:space="preserve">Does:  </w:t>
      </w:r>
      <w:r>
        <w:rPr>
          <w:sz w:val="20"/>
        </w:rPr>
        <w:t>Fuses seven signals via Reciprocal Rank Fusion plus a score-magnitude blend, then layers hard overrides: QA-hit text-overlap reranking, QA-strong-match pin, business-dictionary alias pin, section-reference pin, the Domain Gate, and a relative-score floor prune.</w:t>
      </w:r>
    </w:p>
    <w:p>
      <w:pPr>
        <w:spacing w:after="80"/>
      </w:pPr>
      <w:r>
        <w:rPr>
          <w:b/>
          <w:sz w:val="20"/>
        </w:rPr>
        <w:t xml:space="preserve">Model:  </w:t>
      </w:r>
      <w:r>
        <w:rPr>
          <w:sz w:val="20"/>
        </w:rPr>
        <w:t>Reuses the Stage 1 embedding; no additional model calls.</w:t>
      </w:r>
    </w:p>
    <w:p>
      <w:pPr>
        <w:spacing w:after="80"/>
      </w:pPr>
      <w:r>
        <w:rPr>
          <w:b/>
          <w:sz w:val="20"/>
        </w:rPr>
        <w:t xml:space="preserve">Output:  </w:t>
      </w:r>
      <w:r>
        <w:rPr>
          <w:sz w:val="20"/>
        </w:rPr>
        <w:t>Shortlist of up to 8 candidate tables with fused scores.</w:t>
      </w:r>
    </w:p>
    <w:p>
      <w:pPr>
        <w:pStyle w:val="Heading3"/>
      </w:pPr>
      <w:r>
        <w:rPr>
          <w:color w:val="445164"/>
        </w:rPr>
        <w:t>Stage 3b — Domain Gate</w:t>
      </w:r>
    </w:p>
    <w:p>
      <w:pPr>
        <w:spacing w:after="80"/>
      </w:pPr>
      <w:r>
        <w:rPr>
          <w:b/>
          <w:sz w:val="20"/>
        </w:rPr>
        <w:t xml:space="preserve">Reads:  </w:t>
      </w:r>
      <w:r>
        <w:rPr>
          <w:sz w:val="20"/>
        </w:rPr>
        <w:t>Cached table-name catalog; section-alias index.</w:t>
      </w:r>
    </w:p>
    <w:p>
      <w:pPr>
        <w:spacing w:after="80"/>
      </w:pPr>
      <w:r>
        <w:rPr>
          <w:b/>
          <w:sz w:val="20"/>
        </w:rPr>
        <w:t xml:space="preserve">Does:  </w:t>
      </w:r>
      <w:r>
        <w:rPr>
          <w:sz w:val="20"/>
        </w:rPr>
        <w:t>Narrows candidates by explicit section reference, then explicit part reference (Part A/B), then inferred reporting periodicity (quarterly/monthly/etc from table-name prefixes). Each layer skips itself if it would empty the candidate set.</w:t>
      </w:r>
    </w:p>
    <w:p>
      <w:pPr>
        <w:spacing w:after="80"/>
      </w:pPr>
      <w:r>
        <w:rPr>
          <w:b/>
          <w:sz w:val="20"/>
        </w:rPr>
        <w:t xml:space="preserve">Model:  </w:t>
      </w:r>
      <w:r>
        <w:rPr>
          <w:sz w:val="20"/>
        </w:rPr>
        <w:t>None — pure regex/set logic.</w:t>
      </w:r>
    </w:p>
    <w:p>
      <w:pPr>
        <w:spacing w:after="80"/>
      </w:pPr>
      <w:r>
        <w:rPr>
          <w:b/>
          <w:sz w:val="20"/>
        </w:rPr>
        <w:t xml:space="preserve">Output:  </w:t>
      </w:r>
      <w:r>
        <w:rPr>
          <w:sz w:val="20"/>
        </w:rPr>
        <w:t>Filtered table list.</w:t>
      </w:r>
    </w:p>
    <w:p>
      <w:pPr>
        <w:pStyle w:val="Heading3"/>
      </w:pPr>
      <w:r>
        <w:rPr>
          <w:color w:val="445164"/>
        </w:rPr>
        <w:t>Stage 4 — Table Selection</w:t>
      </w:r>
    </w:p>
    <w:p>
      <w:pPr>
        <w:spacing w:after="80"/>
      </w:pPr>
      <w:r>
        <w:rPr>
          <w:b/>
          <w:sz w:val="20"/>
        </w:rPr>
        <w:t xml:space="preserve">Reads:  </w:t>
      </w:r>
      <w:r>
        <w:rPr>
          <w:sz w:val="20"/>
        </w:rPr>
        <w:t>semantic_layer.yaml (declared joins, verticals, metrics).</w:t>
      </w:r>
    </w:p>
    <w:p>
      <w:pPr>
        <w:spacing w:after="80"/>
      </w:pPr>
      <w:r>
        <w:rPr>
          <w:b/>
          <w:sz w:val="20"/>
        </w:rPr>
        <w:t xml:space="preserve">Does:  </w:t>
      </w:r>
      <w:r>
        <w:rPr>
          <w:sz w:val="20"/>
        </w:rPr>
        <w:t>Deterministic, no LLM — an LLM-based selector was removed because it added 75–135s latency and memory-thrashed the Ollama host. Picks the top-1 table unless a declared join justifies a second table.</w:t>
      </w:r>
    </w:p>
    <w:p>
      <w:pPr>
        <w:spacing w:after="80"/>
      </w:pPr>
      <w:r>
        <w:rPr>
          <w:b/>
          <w:sz w:val="20"/>
        </w:rPr>
        <w:t xml:space="preserve">Model:  </w:t>
      </w:r>
      <w:r>
        <w:rPr>
          <w:sz w:val="20"/>
        </w:rPr>
        <w:t>None.</w:t>
      </w:r>
    </w:p>
    <w:p>
      <w:pPr>
        <w:spacing w:after="80"/>
      </w:pPr>
      <w:r>
        <w:rPr>
          <w:b/>
          <w:sz w:val="20"/>
        </w:rPr>
        <w:t xml:space="preserve">Output:  </w:t>
      </w:r>
      <w:r>
        <w:rPr>
          <w:sz w:val="20"/>
        </w:rPr>
        <w:t>1 table (occasionally 2, for a declared join).</w:t>
      </w:r>
    </w:p>
    <w:p>
      <w:pPr>
        <w:pStyle w:val="Heading3"/>
      </w:pPr>
      <w:r>
        <w:rPr>
          <w:color w:val="B8720F"/>
        </w:rPr>
        <w:t>Stage 5 — SQL Generation</w:t>
      </w:r>
    </w:p>
    <w:p>
      <w:pPr>
        <w:spacing w:after="80"/>
      </w:pPr>
      <w:r>
        <w:rPr>
          <w:b/>
          <w:sz w:val="20"/>
        </w:rPr>
        <w:t xml:space="preserve">Reads:  </w:t>
      </w:r>
      <w:r>
        <w:rPr>
          <w:sz w:val="20"/>
        </w:rPr>
        <w:t>schema.json, data/schema.sql (DDL type fallback), description_samples.json (row-label values), semantic_layer.yaml, the QA few-shot example, and a resolved time-range context (e.g. “last quarter” → actual dates).</w:t>
      </w:r>
    </w:p>
    <w:p>
      <w:pPr>
        <w:spacing w:after="80"/>
      </w:pPr>
      <w:r>
        <w:rPr>
          <w:b/>
          <w:sz w:val="20"/>
        </w:rPr>
        <w:t xml:space="preserve">Does:  </w:t>
      </w:r>
      <w:r>
        <w:rPr>
          <w:sz w:val="20"/>
        </w:rPr>
        <w:t>Builds a prompt (schema/DDL + optional XBRL business-semantics block + resolved time + few-shot example + join hint) and calls Ollama. Validates with a regex validate_sql() plus a live Oracle EXPLAIN PLAN dry-run; retries up to 3 times on failure, each with the failure reason plus a free deterministic autocorrect attempt first. Still-invalid attempts are appended to eval/results/hallucination_log.jsonl — a plain diagnostic log, not an LLM-based hallucination judge.</w:t>
      </w:r>
    </w:p>
    <w:p>
      <w:pPr>
        <w:spacing w:after="80"/>
      </w:pPr>
      <w:r>
        <w:rPr>
          <w:b/>
          <w:sz w:val="20"/>
        </w:rPr>
        <w:t xml:space="preserve">Model:  </w:t>
      </w:r>
      <w:r>
        <w:rPr>
          <w:sz w:val="20"/>
        </w:rPr>
        <w:t>Self-hosted Ollama over HTTP, model hf.co/defog/sqlcoder-7b-2:Q5_K_M, temperature 0.0. Configured but inactive alternates: gpt-oss:120b-cloud, qwen2.5:7b, llama3.1:latest, Arctic-Text2SQL-R1-7B.</w:t>
      </w:r>
    </w:p>
    <w:p>
      <w:pPr>
        <w:spacing w:after="80"/>
      </w:pPr>
      <w:r>
        <w:rPr>
          <w:b/>
          <w:sz w:val="20"/>
        </w:rPr>
        <w:t xml:space="preserve">Output:  </w:t>
      </w:r>
      <w:r>
        <w:rPr>
          <w:sz w:val="20"/>
        </w:rPr>
        <w:t>{sql, is_valid, validation_reason, warnings}.</w:t>
      </w:r>
    </w:p>
    <w:p>
      <w:pPr>
        <w:pStyle w:val="Heading3"/>
      </w:pPr>
      <w:r>
        <w:rPr>
          <w:color w:val="445164"/>
        </w:rPr>
        <w:t>Stage 6 — Frequency-Sibling Override</w:t>
      </w:r>
    </w:p>
    <w:p>
      <w:pPr>
        <w:spacing w:after="80"/>
      </w:pPr>
      <w:r>
        <w:rPr>
          <w:b/>
          <w:sz w:val="20"/>
        </w:rPr>
        <w:t xml:space="preserve">Reads:  </w:t>
      </w:r>
      <w:r>
        <w:rPr>
          <w:sz w:val="20"/>
        </w:rPr>
        <w:t>Live Oracle table catalog (not schema.json).</w:t>
      </w:r>
    </w:p>
    <w:p>
      <w:pPr>
        <w:spacing w:after="80"/>
      </w:pPr>
      <w:r>
        <w:rPr>
          <w:b/>
          <w:sz w:val="20"/>
        </w:rPr>
        <w:t xml:space="preserve">Does:  </w:t>
      </w:r>
      <w:r>
        <w:rPr>
          <w:sz w:val="20"/>
        </w:rPr>
        <w:t>If the query names a reporting frequency different from the generated table’s, swaps in a same-shape sibling table (quarterly ↔ monthly, etc.) purely from real Oracle table names, then re-verifies with a fresh live EXPLAIN PLAN.</w:t>
      </w:r>
    </w:p>
    <w:p>
      <w:pPr>
        <w:spacing w:after="80"/>
      </w:pPr>
      <w:r>
        <w:rPr>
          <w:b/>
          <w:sz w:val="20"/>
        </w:rPr>
        <w:t xml:space="preserve">Model:  </w:t>
      </w:r>
      <w:r>
        <w:rPr>
          <w:sz w:val="20"/>
        </w:rPr>
        <w:t>None.</w:t>
      </w:r>
    </w:p>
    <w:p>
      <w:pPr>
        <w:spacing w:after="80"/>
      </w:pPr>
      <w:r>
        <w:rPr>
          <w:b/>
          <w:sz w:val="20"/>
        </w:rPr>
        <w:t xml:space="preserve">Output:  </w:t>
      </w:r>
      <w:r>
        <w:rPr>
          <w:sz w:val="20"/>
        </w:rPr>
        <w:t>Possibly swapped SQL/table.</w:t>
      </w:r>
    </w:p>
    <w:p>
      <w:pPr>
        <w:pStyle w:val="Heading3"/>
      </w:pPr>
      <w:r>
        <w:rPr>
          <w:color w:val="445164"/>
        </w:rPr>
        <w:t>Stage 7 — Execution</w:t>
      </w:r>
    </w:p>
    <w:p>
      <w:pPr>
        <w:spacing w:after="80"/>
      </w:pPr>
      <w:r>
        <w:rPr>
          <w:b/>
          <w:sz w:val="20"/>
        </w:rPr>
        <w:t xml:space="preserve">Reads/Writes:  </w:t>
      </w:r>
      <w:r>
        <w:rPr>
          <w:sz w:val="20"/>
        </w:rPr>
        <w:t>Live Oracle DB via a pooled connection; up to 100 rows fetched.</w:t>
      </w:r>
    </w:p>
    <w:p>
      <w:pPr>
        <w:spacing w:after="80"/>
      </w:pPr>
      <w:r>
        <w:rPr>
          <w:b/>
          <w:sz w:val="20"/>
        </w:rPr>
        <w:t xml:space="preserve">Does:  </w:t>
      </w:r>
      <w:r>
        <w:rPr>
          <w:sz w:val="20"/>
        </w:rPr>
        <w:t>Executes the final SELECT statement.</w:t>
      </w:r>
    </w:p>
    <w:p>
      <w:pPr>
        <w:spacing w:after="80"/>
      </w:pPr>
      <w:r>
        <w:rPr>
          <w:b/>
          <w:sz w:val="20"/>
        </w:rPr>
        <w:t xml:space="preserve">Model:  </w:t>
      </w:r>
      <w:r>
        <w:rPr>
          <w:sz w:val="20"/>
        </w:rPr>
        <w:t>None.</w:t>
      </w:r>
    </w:p>
    <w:p>
      <w:pPr>
        <w:spacing w:after="80"/>
      </w:pPr>
      <w:r>
        <w:rPr>
          <w:b/>
          <w:sz w:val="20"/>
        </w:rPr>
        <w:t xml:space="preserve">Output:  </w:t>
      </w:r>
      <w:r>
        <w:rPr>
          <w:sz w:val="20"/>
        </w:rPr>
        <w:t>Columns and rows returned in the API response.</w:t>
      </w:r>
    </w:p>
    <w:p>
      <w:r>
        <w:br w:type="page"/>
      </w:r>
    </w:p>
    <w:p>
      <w:pPr>
        <w:pStyle w:val="Heading1"/>
      </w:pPr>
      <w:r>
        <w:rPr>
          <w:color w:val="1B2430"/>
        </w:rPr>
        <w:t>All Embedding Indexes</w:t>
      </w:r>
    </w:p>
    <w:p>
      <w:pPr>
        <w:spacing w:after="240"/>
      </w:pPr>
      <w:r>
        <w:rPr>
          <w:b w:val="0"/>
          <w:i w:val="0"/>
          <w:color w:val="5C6774"/>
          <w:sz w:val="21"/>
        </w:rPr>
        <w:t>All seven built with the same local model, BAAI/bge-large-en — documents unprefixed at build time, queries prefixed with a BGE search instruction at query time.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5164"/>
          </w:tcPr>
          <w:p>
            <w:r/>
            <w:r>
              <w:rPr>
                <w:b/>
                <w:color w:val="FFFFFF"/>
                <w:sz w:val="19"/>
              </w:rPr>
              <w:t>Index</w:t>
            </w:r>
          </w:p>
        </w:tc>
        <w:tc>
          <w:tcPr>
            <w:tcW w:type="dxa" w:w="2880"/>
            <w:shd w:fill="445164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880"/>
            <w:shd w:fill="445164"/>
          </w:tcPr>
          <w:p>
            <w:r/>
            <w:r>
              <w:rPr>
                <w:b/>
                <w:color w:val="FFFFFF"/>
                <w:sz w:val="19"/>
              </w:rPr>
              <w:t>Signal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table_index.faiss / table_meta.pkl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Table-level descriptions. Direct table-to-query semantic match — the primary retrieval signal.</w:t>
            </w:r>
          </w:p>
        </w:tc>
        <w:tc>
          <w:tcPr>
            <w:tcW w:type="dxa" w:w="2880"/>
          </w:tcPr>
          <w:p>
            <w:r>
              <w:rPr>
                <w:color w:val="5C6774"/>
                <w:sz w:val="18"/>
              </w:rPr>
              <w:t>weight 2.0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column_index.faiss / column_meta.pkl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Column-level descriptions. Votes for the table that owns the matching column.</w:t>
            </w:r>
          </w:p>
        </w:tc>
        <w:tc>
          <w:tcPr>
            <w:tcW w:type="dxa" w:w="2880"/>
          </w:tcPr>
          <w:p>
            <w:r>
              <w:rPr>
                <w:color w:val="5C6774"/>
                <w:sz w:val="18"/>
              </w:rPr>
              <w:t>weight 1.5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row_label_index.faiss / row_label_meta.pkl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Distinct row-label values sampled live from Oracle (e.g. “Substandard”, “Total”). Also backs literal validation in Stage 5.</w:t>
            </w:r>
          </w:p>
        </w:tc>
        <w:tc>
          <w:tcPr>
            <w:tcW w:type="dxa" w:w="2880"/>
          </w:tcPr>
          <w:p>
            <w:r>
              <w:rPr>
                <w:color w:val="5C6774"/>
                <w:sz w:val="18"/>
              </w:rPr>
              <w:t>weight 1.0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qa_index.faiss / qa_meta.pkl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Verified question → SQL pairs. Strongest fusion vote, source of the Stage 5 few-shot example, and the Stage 2 exact-match short-circuit.</w:t>
            </w:r>
          </w:p>
        </w:tc>
        <w:tc>
          <w:tcPr>
            <w:tcW w:type="dxa" w:w="2880"/>
          </w:tcPr>
          <w:p>
            <w:r>
              <w:rPr>
                <w:color w:val="5C6774"/>
                <w:sz w:val="18"/>
              </w:rPr>
              <w:t>weight 2.5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concept_index.faiss / concept_meta.pkl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XBRL regulatory-concept phrasing mapped to (table, column) pairs via the concept map.</w:t>
            </w:r>
          </w:p>
        </w:tc>
        <w:tc>
          <w:tcPr>
            <w:tcW w:type="dxa" w:w="2880"/>
          </w:tcPr>
          <w:p>
            <w:r>
              <w:rPr>
                <w:color w:val="5C6774"/>
                <w:sz w:val="18"/>
              </w:rPr>
              <w:t>weight 2.0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member_index.faiss / member_meta.pkl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XBRL dimension-member phrasing, routed to tables using that axis. Built at index time, disabled at query time.</w:t>
            </w:r>
          </w:p>
        </w:tc>
        <w:tc>
          <w:tcPr>
            <w:tcW w:type="dxa" w:w="2880"/>
          </w:tcPr>
          <w:p>
            <w:r>
              <w:rPr>
                <w:color w:val="5C6774"/>
                <w:sz w:val="18"/>
              </w:rPr>
              <w:t>weight 0 · disabled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bm25_table_index.pkl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Lexical term-frequency index over the same enriched table documents — no embedding model, exact-term precision.</w:t>
            </w:r>
          </w:p>
        </w:tc>
        <w:tc>
          <w:tcPr>
            <w:tcW w:type="dxa" w:w="2880"/>
          </w:tcPr>
          <w:p>
            <w:r>
              <w:rPr>
                <w:color w:val="5C6774"/>
                <w:sz w:val="18"/>
              </w:rPr>
              <w:t>weight 1.5 · lexical</w:t>
            </w:r>
          </w:p>
        </w:tc>
      </w:tr>
    </w:tbl>
    <w:p/>
    <w:p>
      <w:pPr>
        <w:pStyle w:val="Heading1"/>
      </w:pPr>
      <w:r>
        <w:rPr>
          <w:color w:val="1B2430"/>
        </w:rPr>
        <w:t>Model &amp;amp; LLM Calls</w:t>
      </w:r>
    </w:p>
    <w:p>
      <w:pPr>
        <w:spacing w:after="240"/>
      </w:pPr>
      <w:r>
        <w:rPr>
          <w:b w:val="0"/>
          <w:i w:val="0"/>
          <w:color w:val="5C6774"/>
          <w:sz w:val="21"/>
        </w:rPr>
        <w:t>One generative model runs in the live query path. Table selection and hallucination checking were both LLM-based at one point and are now deterministic.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8720f"/>
          </w:tcPr>
          <w:p>
            <w:r/>
            <w:r>
              <w:rPr>
                <w:b/>
                <w:color w:val="FFFFFF"/>
                <w:sz w:val="19"/>
              </w:rPr>
              <w:t>Call</w:t>
            </w:r>
          </w:p>
        </w:tc>
        <w:tc>
          <w:tcPr>
            <w:tcW w:type="dxa" w:w="2880"/>
            <w:shd w:fill="b8720f"/>
          </w:tcPr>
          <w:p>
            <w:r/>
            <w:r>
              <w:rPr>
                <w:b/>
                <w:color w:val="FFFFFF"/>
                <w:sz w:val="19"/>
              </w:rPr>
              <w:t>Model / Provider</w:t>
            </w:r>
          </w:p>
        </w:tc>
        <w:tc>
          <w:tcPr>
            <w:tcW w:type="dxa" w:w="2880"/>
            <w:shd w:fill="b8720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SQL generation</w:t>
              <w:br/>
              <w:t>(+ up to 3 retries)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SQLCoder-7B via self-hosted Ollama</w:t>
              <w:br/>
              <w:t>hf.co/defog/sqlcoder-7b-2:Q5_K_M · temp 0.0</w:t>
            </w:r>
          </w:p>
        </w:tc>
        <w:tc>
          <w:tcPr>
            <w:tcW w:type="dxa" w:w="2880"/>
          </w:tcPr>
          <w:p>
            <w:r>
              <w:rPr>
                <w:color w:val="5C6774"/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Query embedding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BAAI/bge-large-en</w:t>
              <w:br/>
              <w:t>local sentence-transformers, in-process</w:t>
            </w:r>
          </w:p>
        </w:tc>
        <w:tc>
          <w:tcPr>
            <w:tcW w:type="dxa" w:w="2880"/>
          </w:tcPr>
          <w:p>
            <w:r>
              <w:rPr>
                <w:color w:val="5C6774"/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Table / column selection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— none —</w:t>
            </w:r>
          </w:p>
        </w:tc>
        <w:tc>
          <w:tcPr>
            <w:tcW w:type="dxa" w:w="2880"/>
          </w:tcPr>
          <w:p>
            <w:r>
              <w:rPr>
                <w:color w:val="5C6774"/>
                <w:sz w:val="18"/>
              </w:rPr>
              <w:t>Removed: 75–135s latency, memory-thrashed the Ollama host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Hallucination check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— none —</w:t>
            </w:r>
          </w:p>
        </w:tc>
        <w:tc>
          <w:tcPr>
            <w:tcW w:type="dxa" w:w="2880"/>
          </w:tcPr>
          <w:p>
            <w:r>
              <w:rPr>
                <w:color w:val="5C6774"/>
                <w:sz w:val="18"/>
              </w:rPr>
              <w:t>Regex validator + live Oracle EXPLAIN PLAN; the log is diagnostic 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QA pair authoring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Local claude CLI</w:t>
            </w:r>
          </w:p>
        </w:tc>
        <w:tc>
          <w:tcPr>
            <w:tcW w:type="dxa" w:w="2880"/>
          </w:tcPr>
          <w:p>
            <w:r>
              <w:rPr>
                <w:color w:val="5C6774"/>
                <w:sz w:val="18"/>
              </w:rPr>
              <w:t>Offline, build-time only — not in the query path</w:t>
            </w:r>
          </w:p>
        </w:tc>
      </w:tr>
    </w:tbl>
    <w:p>
      <w:pPr>
        <w:spacing w:after="80"/>
      </w:pPr>
      <w:r>
        <w:rPr>
          <w:b w:val="0"/>
          <w:i/>
          <w:color w:val="5C6774"/>
          <w:sz w:val="19"/>
        </w:rPr>
        <w:t>No Anthropic/Claude or OpenAI API is called anywhere in the live query path — the only LLM in production use is the self-hosted SQLCoder-7B via Ollama.</w:t>
      </w:r>
    </w:p>
    <w:p/>
    <w:p>
      <w:pPr>
        <w:pStyle w:val="Heading1"/>
      </w:pPr>
      <w:r>
        <w:rPr>
          <w:color w:val="1B2430"/>
        </w:rPr>
        <w:t>Key Data Sources</w:t>
      </w:r>
    </w:p>
    <w:p>
      <w:pPr>
        <w:spacing w:after="200"/>
      </w:pPr>
      <w:r>
        <w:rPr>
          <w:b w:val="0"/>
          <w:i w:val="0"/>
          <w:color w:val="5C6774"/>
          <w:sz w:val="21"/>
        </w:rPr>
        <w:t>Everything below is read from config.EMBEDDING_DIR unless noted.</w:t>
      </w:r>
    </w:p>
    <w:p>
      <w:pPr>
        <w:pStyle w:val="ListBullet"/>
        <w:spacing w:after="40"/>
      </w:pPr>
      <w:r>
        <w:rPr>
          <w:rFonts w:ascii="Consolas" w:hAnsi="Consolas"/>
          <w:b/>
          <w:sz w:val="19"/>
        </w:rPr>
        <w:t xml:space="preserve">schema.json  </w:t>
      </w:r>
      <w:r>
        <w:rPr>
          <w:sz w:val="19"/>
        </w:rPr>
        <w:t>— authoritative table/column metadata</w:t>
      </w:r>
    </w:p>
    <w:p>
      <w:pPr>
        <w:pStyle w:val="ListBullet"/>
        <w:spacing w:after="40"/>
      </w:pPr>
      <w:r>
        <w:rPr>
          <w:rFonts w:ascii="Consolas" w:hAnsi="Consolas"/>
          <w:b/>
          <w:sz w:val="19"/>
        </w:rPr>
        <w:t xml:space="preserve">description_samples.json  </w:t>
      </w:r>
      <w:r>
        <w:rPr>
          <w:sz w:val="19"/>
        </w:rPr>
        <w:t>— row-label values (non-embedded)</w:t>
      </w:r>
    </w:p>
    <w:p>
      <w:pPr>
        <w:pStyle w:val="ListBullet"/>
        <w:spacing w:after="40"/>
      </w:pPr>
      <w:r>
        <w:rPr>
          <w:rFonts w:ascii="Consolas" w:hAnsi="Consolas"/>
          <w:b/>
          <w:sz w:val="19"/>
        </w:rPr>
        <w:t xml:space="preserve">semantic_layer.yaml  </w:t>
      </w:r>
      <w:r>
        <w:rPr>
          <w:sz w:val="19"/>
        </w:rPr>
        <w:t>— declared joins, verticals, metrics</w:t>
      </w:r>
    </w:p>
    <w:p>
      <w:pPr>
        <w:pStyle w:val="ListBullet"/>
        <w:spacing w:after="40"/>
      </w:pPr>
      <w:r>
        <w:rPr>
          <w:rFonts w:ascii="Consolas" w:hAnsi="Consolas"/>
          <w:b/>
          <w:sz w:val="19"/>
        </w:rPr>
        <w:t xml:space="preserve">concept_map.json  </w:t>
      </w:r>
      <w:r>
        <w:rPr>
          <w:sz w:val="19"/>
        </w:rPr>
        <w:t>— XBRL concept → column mapping</w:t>
      </w:r>
    </w:p>
    <w:p>
      <w:pPr>
        <w:pStyle w:val="ListBullet"/>
        <w:spacing w:after="40"/>
      </w:pPr>
      <w:r>
        <w:rPr>
          <w:rFonts w:ascii="Consolas" w:hAnsi="Consolas"/>
          <w:b/>
          <w:sz w:val="19"/>
        </w:rPr>
        <w:t xml:space="preserve">business_dictionary.yaml  </w:t>
      </w:r>
      <w:r>
        <w:rPr>
          <w:sz w:val="19"/>
        </w:rPr>
        <w:t>— acronym / alias expansion</w:t>
      </w:r>
    </w:p>
    <w:p>
      <w:pPr>
        <w:pStyle w:val="ListBullet"/>
        <w:spacing w:after="40"/>
      </w:pPr>
      <w:r>
        <w:rPr>
          <w:rFonts w:ascii="Consolas" w:hAnsi="Consolas"/>
          <w:b/>
          <w:sz w:val="19"/>
        </w:rPr>
        <w:t xml:space="preserve">data/schema.sql  </w:t>
      </w:r>
      <w:r>
        <w:rPr>
          <w:sz w:val="19"/>
        </w:rPr>
        <w:t>— Oracle DDL dump, column-type fallback only</w:t>
      </w:r>
    </w:p>
    <w:p>
      <w:pPr>
        <w:pStyle w:val="ListBullet"/>
        <w:spacing w:after="40"/>
      </w:pPr>
      <w:r>
        <w:rPr>
          <w:rFonts w:ascii="Consolas" w:hAnsi="Consolas"/>
          <w:b/>
          <w:sz w:val="19"/>
        </w:rPr>
        <w:t xml:space="preserve">Oracle live catalog  </w:t>
      </w:r>
      <w:r>
        <w:rPr>
          <w:sz w:val="19"/>
        </w:rPr>
        <w:t>— frequency-sibling discovery + execution</w:t>
      </w:r>
    </w:p>
    <w:p/>
    <w:p>
      <w:r>
        <w:rPr>
          <w:i/>
          <w:color w:val="5C6774"/>
          <w:sz w:val="17"/>
        </w:rPr>
        <w:t>Traced from the live query path starting at api/routes/query.py — CIMS RAQ Quarterly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