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8680" w14:textId="77777777" w:rsidR="005733AE" w:rsidRDefault="006C1A08">
      <w:pPr>
        <w:pStyle w:val="a"/>
      </w:pPr>
      <w:bookmarkStart w:id="0" w:name="_top"/>
      <w:bookmarkEnd w:id="0"/>
      <w:r>
        <w:rPr>
          <w:b/>
        </w:rPr>
        <w:t>[A Guide to Application for Oral Examination in Graduate Paper Research Plan for the 2024-1 Semester]</w:t>
      </w:r>
    </w:p>
    <w:p w14:paraId="3D9DDD3A" w14:textId="77777777" w:rsidR="005733AE" w:rsidRDefault="005733AE">
      <w:pPr>
        <w:pStyle w:val="a"/>
        <w:rPr>
          <w:b/>
        </w:rPr>
      </w:pPr>
    </w:p>
    <w:p w14:paraId="6C3CD64E" w14:textId="77777777" w:rsidR="005733AE" w:rsidRDefault="006C1A08">
      <w:pPr>
        <w:pStyle w:val="a"/>
      </w:pPr>
      <w:r>
        <w:t xml:space="preserve">We are announcing the oral examination of the graduate thesis research plan for the 2024-1 semester as follows, so please apply within the </w:t>
      </w:r>
      <w:r>
        <w:t>deadline.</w:t>
      </w:r>
    </w:p>
    <w:p w14:paraId="74F65F2D" w14:textId="77777777" w:rsidR="005733AE" w:rsidRDefault="005733AE">
      <w:pPr>
        <w:pStyle w:val="a"/>
        <w:rPr>
          <w:b/>
        </w:rPr>
      </w:pPr>
    </w:p>
    <w:p w14:paraId="2AAE3078" w14:textId="77777777" w:rsidR="005733AE" w:rsidRDefault="006C1A08">
      <w:pPr>
        <w:pStyle w:val="a"/>
      </w:pPr>
      <w:r>
        <w:rPr>
          <w:b/>
        </w:rPr>
        <w:t>1. Application period</w:t>
      </w:r>
    </w:p>
    <w:p w14:paraId="77862D74" w14:textId="77777777" w:rsidR="005733AE" w:rsidRDefault="006C1A08">
      <w:pPr>
        <w:pStyle w:val="a"/>
      </w:pPr>
      <w:r>
        <w:t xml:space="preserve">-Paper Research Plan Oral Examination Application </w:t>
      </w:r>
      <w:proofErr w:type="gramStart"/>
      <w:r>
        <w:t>Period :</w:t>
      </w:r>
      <w:proofErr w:type="gramEnd"/>
      <w:r>
        <w:t xml:space="preserve"> 3.4~3.7 (One-stop service application)</w:t>
      </w:r>
    </w:p>
    <w:p w14:paraId="718AAE61" w14:textId="77777777" w:rsidR="005733AE" w:rsidRDefault="006C1A08">
      <w:pPr>
        <w:pStyle w:val="a"/>
      </w:pPr>
      <w:r>
        <w:t xml:space="preserve">- Application Period for </w:t>
      </w:r>
      <w:r w:rsidRPr="0057634E">
        <w:rPr>
          <w:highlight w:val="red"/>
        </w:rPr>
        <w:t>Exemption</w:t>
      </w:r>
      <w:r>
        <w:t xml:space="preserve"> </w:t>
      </w:r>
      <w:r>
        <w:t xml:space="preserve">from Oral Examination in Paper Research </w:t>
      </w:r>
      <w:proofErr w:type="gramStart"/>
      <w:r>
        <w:t>Plan :</w:t>
      </w:r>
      <w:proofErr w:type="gramEnd"/>
      <w:r>
        <w:t xml:space="preserve"> 3.4~3.7 (Apply for one-stop service and sub</w:t>
      </w:r>
      <w:r>
        <w:t>mit related documents to the general academic administration office of each department)</w:t>
      </w:r>
    </w:p>
    <w:p w14:paraId="7050A729" w14:textId="77777777" w:rsidR="005733AE" w:rsidRDefault="006C1A08">
      <w:pPr>
        <w:pStyle w:val="a"/>
      </w:pPr>
      <w:r>
        <w:t xml:space="preserve">-Papers Research Plan Oral Examination </w:t>
      </w:r>
      <w:proofErr w:type="gramStart"/>
      <w:r>
        <w:t>Period :</w:t>
      </w:r>
      <w:proofErr w:type="gramEnd"/>
      <w:r>
        <w:t xml:space="preserve"> 4.1~4.5 (Designated date by department)</w:t>
      </w:r>
    </w:p>
    <w:p w14:paraId="6129CDB3" w14:textId="77777777" w:rsidR="005733AE" w:rsidRDefault="006C1A08">
      <w:pPr>
        <w:pStyle w:val="a"/>
      </w:pPr>
      <w:r>
        <w:t xml:space="preserve">-Date of publication of oral examination results in thesis research </w:t>
      </w:r>
      <w:proofErr w:type="gramStart"/>
      <w:r>
        <w:t>plan :</w:t>
      </w:r>
      <w:proofErr w:type="gramEnd"/>
      <w:r>
        <w:t xml:space="preserve"> 4.15</w:t>
      </w:r>
    </w:p>
    <w:p w14:paraId="1BC524F8" w14:textId="77777777" w:rsidR="005733AE" w:rsidRDefault="005733AE">
      <w:pPr>
        <w:pStyle w:val="a"/>
      </w:pPr>
    </w:p>
    <w:p w14:paraId="752808DF" w14:textId="77777777" w:rsidR="005733AE" w:rsidRDefault="006C1A08">
      <w:pPr>
        <w:pStyle w:val="a"/>
      </w:pPr>
      <w:r>
        <w:rPr>
          <w:b/>
        </w:rPr>
        <w:t>2. Examination qualification</w:t>
      </w:r>
    </w:p>
    <w:p w14:paraId="1BE9377E" w14:textId="77777777" w:rsidR="005733AE" w:rsidRDefault="005733AE">
      <w:pPr>
        <w:pStyle w:val="a"/>
      </w:pPr>
    </w:p>
    <w:p w14:paraId="5D02A694" w14:textId="77777777" w:rsidR="005733AE" w:rsidRDefault="006C1A08">
      <w:pPr>
        <w:pStyle w:val="a"/>
      </w:pPr>
      <w:r>
        <w:t>□</w:t>
      </w:r>
      <w:r>
        <w:t xml:space="preserve"> He is a thesis student and is a general examiner, failed to take the exam, or passed the examination by subject</w:t>
      </w:r>
    </w:p>
    <w:p w14:paraId="49BD5262" w14:textId="77777777" w:rsidR="005733AE" w:rsidRDefault="005733AE">
      <w:pPr>
        <w:pStyle w:val="a"/>
      </w:pPr>
    </w:p>
    <w:p w14:paraId="7F0E528A" w14:textId="77777777" w:rsidR="005733AE" w:rsidRDefault="006C1A08">
      <w:pPr>
        <w:pStyle w:val="a"/>
      </w:pPr>
      <w:r>
        <w:t>A. Master's degree program of general graduate school: A person who has registered for at least three semester</w:t>
      </w:r>
      <w:r>
        <w:t>s (for those who shorten the period of study, two semesters) and has been recommended by an advisor</w:t>
      </w:r>
    </w:p>
    <w:p w14:paraId="63816946" w14:textId="77777777" w:rsidR="005733AE" w:rsidRDefault="005733AE">
      <w:pPr>
        <w:pStyle w:val="a"/>
      </w:pPr>
    </w:p>
    <w:p w14:paraId="76B0870E" w14:textId="77777777" w:rsidR="005733AE" w:rsidRDefault="006C1A08">
      <w:pPr>
        <w:pStyle w:val="a"/>
      </w:pPr>
      <w:r>
        <w:rPr>
          <w:b/>
        </w:rPr>
        <w:t xml:space="preserve">3. How to apply: </w:t>
      </w:r>
      <w:r>
        <w:t xml:space="preserve">One-stop service login </w:t>
      </w:r>
      <w:r>
        <w:t>→</w:t>
      </w:r>
      <w:r>
        <w:t xml:space="preserve"> academic management </w:t>
      </w:r>
      <w:r>
        <w:t>→</w:t>
      </w:r>
      <w:r>
        <w:t xml:space="preserve"> graduation </w:t>
      </w:r>
      <w:r>
        <w:t>→</w:t>
      </w:r>
      <w:r>
        <w:t xml:space="preserve"> thesis research plan oral exam application</w:t>
      </w:r>
    </w:p>
    <w:p w14:paraId="6D3A221D" w14:textId="77777777" w:rsidR="005733AE" w:rsidRDefault="005733AE">
      <w:pPr>
        <w:pStyle w:val="a"/>
      </w:pPr>
    </w:p>
    <w:p w14:paraId="6A3BA074" w14:textId="77777777" w:rsidR="005733AE" w:rsidRDefault="006C1A08">
      <w:pPr>
        <w:pStyle w:val="a"/>
      </w:pPr>
      <w:r>
        <w:t xml:space="preserve">  </w:t>
      </w:r>
      <w:r>
        <w:t>※</w:t>
      </w:r>
      <w:r>
        <w:t xml:space="preserve"> After applying, you must conta</w:t>
      </w:r>
      <w:r>
        <w:t>ct your supervisor by wired/wireless, or e-mail for confirmation.</w:t>
      </w:r>
    </w:p>
    <w:p w14:paraId="0C876DF7" w14:textId="77777777" w:rsidR="005733AE" w:rsidRDefault="005733AE">
      <w:pPr>
        <w:pStyle w:val="a"/>
      </w:pPr>
    </w:p>
    <w:p w14:paraId="42925ED1" w14:textId="77777777" w:rsidR="005733AE" w:rsidRDefault="006C1A08">
      <w:pPr>
        <w:pStyle w:val="a"/>
      </w:pPr>
      <w:r>
        <w:lastRenderedPageBreak/>
        <w:t xml:space="preserve">  </w:t>
      </w:r>
      <w:r>
        <w:t>※</w:t>
      </w:r>
      <w:r>
        <w:t xml:space="preserve"> In the case of those who have not paid the tuition at the moment, you may not be able to apply, so please complete the registration during the registration period.</w:t>
      </w:r>
    </w:p>
    <w:p w14:paraId="044C59B6" w14:textId="77777777" w:rsidR="005733AE" w:rsidRDefault="005733AE">
      <w:pPr>
        <w:pStyle w:val="a"/>
      </w:pPr>
    </w:p>
    <w:p w14:paraId="001A502C" w14:textId="77777777" w:rsidR="005733AE" w:rsidRDefault="006C1A08">
      <w:pPr>
        <w:pStyle w:val="a"/>
      </w:pPr>
      <w:r>
        <w:rPr>
          <w:b/>
        </w:rPr>
        <w:t>□</w:t>
      </w:r>
      <w:r>
        <w:rPr>
          <w:b/>
        </w:rPr>
        <w:t xml:space="preserve"> (Application for </w:t>
      </w:r>
      <w:r w:rsidRPr="0057634E">
        <w:rPr>
          <w:b/>
          <w:highlight w:val="red"/>
        </w:rPr>
        <w:t>E</w:t>
      </w:r>
      <w:r w:rsidRPr="0057634E">
        <w:rPr>
          <w:b/>
          <w:highlight w:val="red"/>
        </w:rPr>
        <w:t>xemption</w:t>
      </w:r>
      <w:r>
        <w:rPr>
          <w:b/>
        </w:rPr>
        <w:t xml:space="preserve"> from Oral Examination in Paper Research Plan) Guidelines</w:t>
      </w:r>
    </w:p>
    <w:p w14:paraId="0C824C2E" w14:textId="77777777" w:rsidR="005733AE" w:rsidRDefault="005733AE">
      <w:pPr>
        <w:pStyle w:val="a"/>
      </w:pPr>
    </w:p>
    <w:p w14:paraId="7DB129EB" w14:textId="77777777" w:rsidR="005733AE" w:rsidRDefault="006C1A08">
      <w:pPr>
        <w:pStyle w:val="a"/>
      </w:pPr>
      <w:r>
        <w:t xml:space="preserve">  1) Application method</w:t>
      </w:r>
    </w:p>
    <w:p w14:paraId="10A22735" w14:textId="77777777" w:rsidR="005733AE" w:rsidRDefault="005733AE">
      <w:pPr>
        <w:pStyle w:val="a"/>
      </w:pPr>
    </w:p>
    <w:p w14:paraId="37C6D6C6" w14:textId="77777777" w:rsidR="005733AE" w:rsidRDefault="006C1A08">
      <w:pPr>
        <w:pStyle w:val="a"/>
      </w:pPr>
      <w:r>
        <w:t xml:space="preserve">    - After applying for the one-stop service, submitting an application for </w:t>
      </w:r>
      <w:r w:rsidRPr="0057634E">
        <w:rPr>
          <w:highlight w:val="red"/>
        </w:rPr>
        <w:t>exemption</w:t>
      </w:r>
      <w:r>
        <w:t xml:space="preserve"> from the oral examination of the thesis research plan (attached form) and evi</w:t>
      </w:r>
      <w:r>
        <w:t>dence of research results</w:t>
      </w:r>
    </w:p>
    <w:p w14:paraId="622A3E72" w14:textId="77777777" w:rsidR="005733AE" w:rsidRDefault="005733AE">
      <w:pPr>
        <w:pStyle w:val="a"/>
      </w:pPr>
    </w:p>
    <w:p w14:paraId="09AA976D" w14:textId="77777777" w:rsidR="005733AE" w:rsidRDefault="006C1A08">
      <w:pPr>
        <w:pStyle w:val="a"/>
      </w:pPr>
      <w:r>
        <w:t xml:space="preserve">    - Where to submit: Administrative Office of General Studies of each department</w:t>
      </w:r>
    </w:p>
    <w:p w14:paraId="707FD54F" w14:textId="77777777" w:rsidR="005733AE" w:rsidRDefault="005733AE">
      <w:pPr>
        <w:pStyle w:val="a"/>
      </w:pPr>
    </w:p>
    <w:p w14:paraId="7327380C" w14:textId="77777777" w:rsidR="005733AE" w:rsidRDefault="006C1A08">
      <w:pPr>
        <w:pStyle w:val="a"/>
      </w:pPr>
      <w:r>
        <w:t xml:space="preserve">   - Submission period: 3. 4. (Mon) to 3. 7. (Thursday)</w:t>
      </w:r>
    </w:p>
    <w:p w14:paraId="429E2A68" w14:textId="77777777" w:rsidR="005733AE" w:rsidRDefault="005733AE">
      <w:pPr>
        <w:pStyle w:val="a"/>
      </w:pPr>
    </w:p>
    <w:p w14:paraId="48CDAFF9" w14:textId="77777777" w:rsidR="005733AE" w:rsidRDefault="006C1A08">
      <w:pPr>
        <w:pStyle w:val="a"/>
      </w:pPr>
      <w:r>
        <w:t xml:space="preserve">2) </w:t>
      </w:r>
      <w:r w:rsidRPr="0057634E">
        <w:rPr>
          <w:highlight w:val="red"/>
        </w:rPr>
        <w:t>Exemption</w:t>
      </w:r>
      <w:r>
        <w:t xml:space="preserve"> requirements [* Deadline for submission of thesis research plan after </w:t>
      </w:r>
      <w:r>
        <w:t>admission: March 7, 2024 (Thursday)]</w:t>
      </w:r>
    </w:p>
    <w:p w14:paraId="15E4B548" w14:textId="77777777" w:rsidR="005733AE" w:rsidRDefault="006C1A08">
      <w:pPr>
        <w:pStyle w:val="a"/>
      </w:pPr>
      <w:r>
        <w:t xml:space="preserve">By the deadline for submission of the thesis research plan after admission*, the results of the research related to the contents of the thesis research plan were published as the first author at academic conferences of </w:t>
      </w:r>
      <w:r>
        <w:t>national size or larger, or the results confirmed as the first author in a specialized academic journal</w:t>
      </w:r>
    </w:p>
    <w:p w14:paraId="020B4C20" w14:textId="77777777" w:rsidR="005733AE" w:rsidRDefault="005733AE">
      <w:pPr>
        <w:pStyle w:val="a"/>
      </w:pPr>
    </w:p>
    <w:p w14:paraId="06740740" w14:textId="77777777" w:rsidR="005733AE" w:rsidRDefault="006C1A08">
      <w:pPr>
        <w:pStyle w:val="a"/>
      </w:pPr>
      <w:r>
        <w:t>4. Acceptance criteria and evaluation items</w:t>
      </w:r>
    </w:p>
    <w:p w14:paraId="2C46C864" w14:textId="77777777" w:rsidR="005733AE" w:rsidRDefault="005733AE">
      <w:pPr>
        <w:pStyle w:val="a"/>
      </w:pPr>
    </w:p>
    <w:p w14:paraId="32828042" w14:textId="77777777" w:rsidR="005733AE" w:rsidRDefault="006C1A08">
      <w:pPr>
        <w:pStyle w:val="a"/>
      </w:pPr>
      <w:r>
        <w:t xml:space="preserve"> </w:t>
      </w:r>
      <w:r>
        <w:t>□</w:t>
      </w:r>
      <w:r>
        <w:t xml:space="preserve"> Acceptance criteria</w:t>
      </w:r>
    </w:p>
    <w:p w14:paraId="537F29B2" w14:textId="77777777" w:rsidR="005733AE" w:rsidRDefault="005733AE">
      <w:pPr>
        <w:pStyle w:val="a"/>
      </w:pPr>
    </w:p>
    <w:p w14:paraId="506F7F52" w14:textId="77777777" w:rsidR="005733AE" w:rsidRDefault="006C1A08">
      <w:pPr>
        <w:pStyle w:val="a"/>
      </w:pPr>
      <w:r>
        <w:t xml:space="preserve"> A. Master's degree program of general graduate school: 60 points or higher based </w:t>
      </w:r>
      <w:r>
        <w:t>on a perfect score of 100</w:t>
      </w:r>
    </w:p>
    <w:p w14:paraId="6074534A" w14:textId="77777777" w:rsidR="005733AE" w:rsidRDefault="005733AE">
      <w:pPr>
        <w:pStyle w:val="a"/>
      </w:pPr>
    </w:p>
    <w:p w14:paraId="69AC2A4D" w14:textId="77777777" w:rsidR="005733AE" w:rsidRDefault="005733AE">
      <w:pPr>
        <w:pStyle w:val="a"/>
      </w:pPr>
    </w:p>
    <w:p w14:paraId="0CDFC5CF" w14:textId="77777777" w:rsidR="005733AE" w:rsidRDefault="006C1A08">
      <w:pPr>
        <w:pStyle w:val="a"/>
      </w:pPr>
      <w:r>
        <w:t xml:space="preserve"> </w:t>
      </w:r>
      <w:r>
        <w:t>□</w:t>
      </w:r>
      <w:r>
        <w:t xml:space="preserve"> Assessment items (out of 100 in total)</w:t>
      </w:r>
    </w:p>
    <w:p w14:paraId="7FB45702" w14:textId="77777777" w:rsidR="005733AE" w:rsidRDefault="005733AE">
      <w:pPr>
        <w:pStyle w:val="a"/>
      </w:pPr>
    </w:p>
    <w:p w14:paraId="447AEC80" w14:textId="77777777" w:rsidR="005733AE" w:rsidRDefault="006C1A08">
      <w:pPr>
        <w:pStyle w:val="a"/>
      </w:pPr>
      <w:r>
        <w:t xml:space="preserve"> A. Understanding of research topics, objectives and contents (25 points)</w:t>
      </w:r>
    </w:p>
    <w:p w14:paraId="3ACFBF3F" w14:textId="77777777" w:rsidR="005733AE" w:rsidRDefault="006C1A08">
      <w:pPr>
        <w:pStyle w:val="a"/>
      </w:pPr>
      <w:r>
        <w:t xml:space="preserve"> B. Appropriateness of research promotion system and method (25 points)</w:t>
      </w:r>
    </w:p>
    <w:p w14:paraId="4EE89812" w14:textId="77777777" w:rsidR="005733AE" w:rsidRDefault="006C1A08">
      <w:pPr>
        <w:pStyle w:val="a"/>
      </w:pPr>
      <w:r>
        <w:t xml:space="preserve"> C. The fidelity of the contents of the</w:t>
      </w:r>
      <w:r>
        <w:t xml:space="preserve"> research plan (presentation materials) (25 points)</w:t>
      </w:r>
    </w:p>
    <w:p w14:paraId="4C1ECF9E" w14:textId="77777777" w:rsidR="005733AE" w:rsidRDefault="006C1A08">
      <w:pPr>
        <w:pStyle w:val="a"/>
      </w:pPr>
      <w:r>
        <w:t xml:space="preserve"> D. Communication power to presentation and question-and-answer (25 points)</w:t>
      </w:r>
    </w:p>
    <w:p w14:paraId="550FBB83" w14:textId="77777777" w:rsidR="005733AE" w:rsidRDefault="005733AE">
      <w:pPr>
        <w:pStyle w:val="a"/>
      </w:pPr>
    </w:p>
    <w:p w14:paraId="579965A2" w14:textId="77777777" w:rsidR="005733AE" w:rsidRDefault="006C1A08">
      <w:pPr>
        <w:pStyle w:val="a"/>
      </w:pPr>
      <w:r>
        <w:t>5. Guidance Notes</w:t>
      </w:r>
    </w:p>
    <w:p w14:paraId="32DCD7E9" w14:textId="77777777" w:rsidR="005733AE" w:rsidRDefault="005733AE">
      <w:pPr>
        <w:pStyle w:val="a"/>
      </w:pPr>
    </w:p>
    <w:p w14:paraId="5D53DA3D" w14:textId="77777777" w:rsidR="005733AE" w:rsidRDefault="006C1A08">
      <w:pPr>
        <w:pStyle w:val="a"/>
      </w:pPr>
      <w:r>
        <w:t xml:space="preserve"> A. Each graduate 'paper student' will be eligible to take the exam.</w:t>
      </w:r>
    </w:p>
    <w:p w14:paraId="74E832C5" w14:textId="77777777" w:rsidR="005733AE" w:rsidRDefault="005733AE">
      <w:pPr>
        <w:pStyle w:val="a"/>
      </w:pPr>
    </w:p>
    <w:p w14:paraId="0AF09CE4" w14:textId="77777777" w:rsidR="005733AE" w:rsidRDefault="006C1A08">
      <w:pPr>
        <w:pStyle w:val="a"/>
      </w:pPr>
      <w:r>
        <w:t xml:space="preserve"> B. This is a degree acceptance requir</w:t>
      </w:r>
      <w:r>
        <w:t>ement, and it is a test conducted in place of the 'comprehensive test'.</w:t>
      </w:r>
    </w:p>
    <w:p w14:paraId="4BBF8AE7" w14:textId="77777777" w:rsidR="005733AE" w:rsidRDefault="005733AE">
      <w:pPr>
        <w:pStyle w:val="a"/>
      </w:pPr>
    </w:p>
    <w:p w14:paraId="0E40A2FA" w14:textId="77777777" w:rsidR="005733AE" w:rsidRDefault="006C1A08">
      <w:pPr>
        <w:pStyle w:val="a"/>
      </w:pPr>
      <w:r>
        <w:t xml:space="preserve"> C. Prepare a "graduate thesis research plan evaluation data" (Form 3) and submit it to the oral examination evaluation committee on the oral examination day. Submit it to the general</w:t>
      </w:r>
      <w:r>
        <w:t xml:space="preserve"> academic administration office of each department by April 8 (Monday) after the examination is over</w:t>
      </w:r>
    </w:p>
    <w:p w14:paraId="60B9093D" w14:textId="77777777" w:rsidR="005733AE" w:rsidRDefault="005733AE">
      <w:pPr>
        <w:pStyle w:val="a"/>
      </w:pPr>
    </w:p>
    <w:p w14:paraId="35A460BF" w14:textId="77777777" w:rsidR="005733AE" w:rsidRDefault="006C1A08">
      <w:pPr>
        <w:pStyle w:val="a"/>
      </w:pPr>
      <w:r>
        <w:t xml:space="preserve"> D. Precautions before applying for a thesis review (</w:t>
      </w:r>
      <w:r>
        <w:t>※</w:t>
      </w:r>
      <w:r>
        <w:t>Please be aware of the following.)</w:t>
      </w:r>
    </w:p>
    <w:p w14:paraId="7E205553" w14:textId="77777777" w:rsidR="005733AE" w:rsidRDefault="005733AE">
      <w:pPr>
        <w:pStyle w:val="a"/>
      </w:pPr>
    </w:p>
    <w:p w14:paraId="39765E78" w14:textId="77777777" w:rsidR="005733AE" w:rsidRDefault="006C1A08">
      <w:pPr>
        <w:pStyle w:val="a"/>
      </w:pPr>
      <w:r>
        <w:t xml:space="preserve">- Prior to the application for thesis review, the thesis research plan passed the oral examination (former) comprehensive examination and </w:t>
      </w:r>
    </w:p>
    <w:p w14:paraId="0D12EB40" w14:textId="77777777" w:rsidR="005733AE" w:rsidRDefault="005733AE">
      <w:pPr>
        <w:pStyle w:val="a"/>
      </w:pPr>
    </w:p>
    <w:p w14:paraId="29D7BEEF" w14:textId="77777777" w:rsidR="005733AE" w:rsidRDefault="006C1A08">
      <w:pPr>
        <w:pStyle w:val="a"/>
      </w:pPr>
      <w:r>
        <w:t xml:space="preserve">  Research ethics training must be completed (completed from 2015 entrance students to the previous month of applica</w:t>
      </w:r>
      <w:r>
        <w:t>tion for thesis review ('24.3.').</w:t>
      </w:r>
    </w:p>
    <w:sectPr w:rsidR="005733AE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HCR Dotum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703"/>
    <w:multiLevelType w:val="multilevel"/>
    <w:tmpl w:val="3B08F4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F6A07"/>
    <w:multiLevelType w:val="multilevel"/>
    <w:tmpl w:val="B45261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D748D7"/>
    <w:multiLevelType w:val="multilevel"/>
    <w:tmpl w:val="28A0F4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192F09"/>
    <w:multiLevelType w:val="multilevel"/>
    <w:tmpl w:val="549E9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FC0777"/>
    <w:multiLevelType w:val="multilevel"/>
    <w:tmpl w:val="1B1EBD3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84684C"/>
    <w:multiLevelType w:val="multilevel"/>
    <w:tmpl w:val="DD3842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1563D7"/>
    <w:multiLevelType w:val="multilevel"/>
    <w:tmpl w:val="F4D8AB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183B47"/>
    <w:multiLevelType w:val="multilevel"/>
    <w:tmpl w:val="C6B468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FE4DC0"/>
    <w:multiLevelType w:val="multilevel"/>
    <w:tmpl w:val="1A6611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6653DA"/>
    <w:multiLevelType w:val="multilevel"/>
    <w:tmpl w:val="4A2C05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3AE"/>
    <w:rsid w:val="005733AE"/>
    <w:rsid w:val="0057634E"/>
    <w:rsid w:val="006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30F9"/>
  <w15:docId w15:val="{9EF73320-2161-E048-896D-985E758C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1">
    <w:name w:val="쪽 번호"/>
    <w:uiPriority w:val="12"/>
    <w:rPr>
      <w:rFonts w:ascii="HCR Dotum" w:eastAsia="HCR Dotum"/>
      <w:color w:val="000000"/>
      <w:sz w:val="20"/>
      <w:shd w:val="clear" w:color="999999" w:fill="auto"/>
    </w:rPr>
  </w:style>
  <w:style w:type="paragraph" w:customStyle="1" w:styleId="a2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HCR Dotum" w:eastAsia="HCR Dotum"/>
      <w:color w:val="000000"/>
      <w:sz w:val="18"/>
      <w:shd w:val="clear" w:color="999999" w:fill="auto"/>
    </w:rPr>
  </w:style>
  <w:style w:type="paragraph" w:customStyle="1" w:styleId="a3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HCR Dotum" w:eastAsia="HCR Dotum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HCR Dotum" w:eastAsia="HCR Dotum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HCR Dotum" w:eastAsia="HCR Dotum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Guide to Application for Oral Examination in Graduate Paper Research Plan for the 2024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Application for Oral Examination in Graduate Paper Research Plan for the 2024</dc:title>
  <dc:creator>sik</dc:creator>
  <cp:lastModifiedBy>Microsoft Office User</cp:lastModifiedBy>
  <cp:revision>2</cp:revision>
  <dcterms:created xsi:type="dcterms:W3CDTF">2024-02-23T22:24:00Z</dcterms:created>
  <dcterms:modified xsi:type="dcterms:W3CDTF">2024-03-06T07:04:00Z</dcterms:modified>
</cp:coreProperties>
</file>