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50.xml" ContentType="application/vnd.openxmlformats-officedocument.drawingml.chart+xml"/>
  <Override PartName="/word/charts/chart60.xml" ContentType="application/vnd.openxmlformats-officedocument.drawingml.chart+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2BBC40E0"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ToR-ORd. Simulations were conducted using GPU-based implementations of ordinary differential equation (ODE) solvers, with the Rush-Larsen method applied for ORd 2011 and a Forward Euler approach for ORd 2017 and ToR-ORd.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F66C1D7"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77777777"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 xml:space="preserve">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7B8DE79A"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w:t>
      </w:r>
      <w:r w:rsidR="00FC2284">
        <w:rPr>
          <w:rFonts w:ascii="Times New Roman" w:hAnsi="Times New Roman" w:cs="Times New Roman"/>
          <w:sz w:val="22"/>
          <w:szCs w:val="22"/>
        </w:rPr>
        <w:t xml:space="preserve">this </w:t>
      </w:r>
      <w:r>
        <w:rPr>
          <w:rFonts w:ascii="Times New Roman" w:hAnsi="Times New Roman" w:cs="Times New Roman"/>
          <w:sz w:val="22"/>
          <w:szCs w:val="22"/>
        </w:rPr>
        <w:t xml:space="preserve">research benefits)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(cpu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w:t>
      </w:r>
      <w:r w:rsidR="00ED00FD">
        <w:rPr>
          <w:rFonts w:ascii="Times New Roman" w:hAnsi="Times New Roman" w:cs="Times New Roman"/>
          <w:sz w:val="22"/>
          <w:szCs w:val="22"/>
        </w:rPr>
        <w:lastRenderedPageBreak/>
        <w:t xml:space="preserve">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32B495DA"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berghoff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(CiS) framework developed by Berghoff et al. [8] provides a modular and parallel design for simulating biological tissue growth and development. This flexibility allows researchers to configure various model assumptions for diverse research questions. A key application of CiS was the simulation of a 1000³ voxel-sized cancerous tissue at sub-cellular resolution, showcasing its ability to handle complex biological processes with high detail.</w:t>
      </w:r>
    </w:p>
    <w:p w14:paraId="6A38A908" w14:textId="7A109310"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other GPU simulations and their result)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[9]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[10].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[11].  </w:t>
      </w:r>
    </w:p>
    <w:p w14:paraId="0D866706" w14:textId="5E373D12"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in silico contribution to treat cardiac conditions)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w:t>
      </w:r>
      <w:r w:rsidR="006B2226" w:rsidRPr="009424EB">
        <w:rPr>
          <w:rFonts w:ascii="Times New Roman" w:hAnsi="Times New Roman" w:cs="Times New Roman"/>
          <w:sz w:val="22"/>
          <w:szCs w:val="22"/>
        </w:rPr>
        <w:t xml:space="preserve">and inform strategies for treating genetic cardiac disorders [12].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steps)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259DEFC6" w:rsidR="007C5945" w:rsidRPr="009424EB" w:rsidRDefault="00031AF5" w:rsidP="007C5945">
      <w:pPr>
        <w:ind w:firstLine="284"/>
        <w:jc w:val="both"/>
        <w:rPr>
          <w:rFonts w:ascii="Times New Roman" w:hAnsi="Times New Roman" w:cs="Times New Roman"/>
          <w:sz w:val="22"/>
          <w:szCs w:val="22"/>
        </w:rPr>
      </w:pPr>
      <w:r>
        <w:rPr>
          <w:rFonts w:ascii="Times New Roman" w:hAnsi="Times New Roman" w:cs="Times New Roman"/>
          <w:sz w:val="22"/>
          <w:szCs w:val="22"/>
        </w:rPr>
        <w:t>(</w:t>
      </w:r>
      <w:r w:rsidR="00973EFA">
        <w:rPr>
          <w:rFonts w:ascii="Times New Roman" w:hAnsi="Times New Roman" w:cs="Times New Roman"/>
          <w:sz w:val="22"/>
          <w:szCs w:val="22"/>
        </w:rPr>
        <w:t>CellML for this research</w:t>
      </w:r>
      <w:r w:rsidR="00971BDE">
        <w:rPr>
          <w:rFonts w:ascii="Times New Roman" w:hAnsi="Times New Roman" w:cs="Times New Roman"/>
          <w:sz w:val="22"/>
          <w:szCs w:val="22"/>
        </w:rPr>
        <w:t>)</w:t>
      </w:r>
      <w:r w:rsidR="00971BDE" w:rsidRPr="00971BDE">
        <w:t xml:space="preserve"> </w:t>
      </w:r>
      <w:r w:rsidR="00971BDE"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[4]. CellML ensures standardisation across models, enabling translation into various programming languages [5]. It also includes models converted from the Systems Biology Markup Language (SBML), enhancing accessibility for researchers [6-7]. This study utilises three cell models: O’Hara-</w:t>
      </w:r>
      <w:r w:rsidR="00971BDE" w:rsidRPr="00971BDE">
        <w:rPr>
          <w:rFonts w:ascii="Times New Roman" w:hAnsi="Times New Roman" w:cs="Times New Roman"/>
          <w:sz w:val="22"/>
          <w:szCs w:val="22"/>
        </w:rPr>
        <w:lastRenderedPageBreak/>
        <w:t>Rudy 2011 [13], O’Hara-Rudy 2017 [14], and ToR-ORd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(Modification from standard CellML code)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Pr>
          <w:rFonts w:ascii="Times New Roman" w:hAnsi="Times New Roman" w:cs="Times New Roman"/>
          <w:sz w:val="22"/>
          <w:szCs w:val="22"/>
        </w:rPr>
        <w:t xml:space="preserve">(GPU memory usage in this research)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Pr>
          <w:rFonts w:ascii="Times New Roman" w:hAnsi="Times New Roman" w:cs="Times New Roman"/>
          <w:sz w:val="22"/>
          <w:szCs w:val="22"/>
        </w:rPr>
        <w:t xml:space="preserve">(selecting core per block)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(sample size correlation to core per block)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50CEF56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 xml:space="preserve">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`sample_id`, with rows in the 1D array allocated accordingly. For example, in the `STATES` array with 43 columns, indices 0–42 correspond to `sample_id = 0`, indices 43–84 to `sample_id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0C009071" w:rsidR="005920F6" w:rsidRPr="009424EB" w:rsidRDefault="009C1794"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5A213A">
        <w:rPr>
          <w:rFonts w:ascii="Times New Roman" w:hAnsi="Times New Roman" w:cs="Times New Roman"/>
          <w:sz w:val="22"/>
          <w:szCs w:val="22"/>
        </w:rPr>
        <w:t>Method to solve</w:t>
      </w:r>
      <w:r>
        <w:rPr>
          <w:rFonts w:ascii="Times New Roman" w:hAnsi="Times New Roman" w:cs="Times New Roman"/>
          <w:sz w:val="22"/>
          <w:szCs w:val="22"/>
        </w:rPr>
        <w:t xml:space="preserve"> ODE</w:t>
      </w:r>
      <w:r w:rsidR="005A213A">
        <w:rPr>
          <w:rFonts w:ascii="Times New Roman" w:hAnsi="Times New Roman" w:cs="Times New Roman"/>
          <w:sz w:val="22"/>
          <w:szCs w:val="22"/>
        </w:rPr>
        <w:t>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w:t>
      </w:r>
      <w:r w:rsidR="005920F6" w:rsidRPr="009424EB">
        <w:rPr>
          <w:rFonts w:ascii="Times New Roman" w:hAnsi="Times New Roman" w:cs="Times New Roman"/>
          <w:sz w:val="22"/>
          <w:szCs w:val="22"/>
        </w:rPr>
        <w:lastRenderedPageBreak/>
        <w:t>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(Using Rush-Larsen in ORd 2011)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75E4FC1" w:rsidR="00464851" w:rsidRDefault="00A143DD"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(Implement Rush-Larsen in other cell models) </w:t>
      </w:r>
      <w:r w:rsidR="005920F6" w:rsidRPr="009424EB">
        <w:rPr>
          <w:rFonts w:ascii="Times New Roman" w:hAnsi="Times New Roman" w:cs="Times New Roman"/>
          <w:sz w:val="22"/>
          <w:szCs w:val="22"/>
        </w:rPr>
        <w:t xml:space="preserve">Initially, the Rush-Larsen method was meant to be used across all cell models. However, when applied to ORd 2017 and ToR-ORd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forward euler)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xn+1=xn</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rate(xn)</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rate(xn)</w:t>
      </w:r>
      <w:r w:rsidRPr="00464851">
        <w:rPr>
          <w:rFonts w:ascii="Times New Roman" w:hAnsi="Times New Roman" w:cs="Times New Roman"/>
          <w:sz w:val="22"/>
          <w:szCs w:val="22"/>
        </w:rPr>
        <w:t xml:space="preserve"> represents the rate of change at </w:t>
      </w:r>
      <w:r w:rsidRPr="00464851">
        <w:rPr>
          <w:rFonts w:ascii="Times New Roman" w:hAnsi="Times New Roman" w:cs="Times New Roman"/>
          <w:i/>
          <w:iCs/>
          <w:sz w:val="22"/>
          <w:szCs w:val="22"/>
        </w:rPr>
        <w:t>xn</w:t>
      </w:r>
      <w:r w:rsidRPr="00464851">
        <w:rPr>
          <w:rFonts w:ascii="Times New Roman" w:hAnsi="Times New Roman" w:cs="Times New Roman"/>
          <w:sz w:val="22"/>
          <w:szCs w:val="22"/>
        </w:rPr>
        <w:t xml:space="preserve">, and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6B4054E6" w:rsidR="005920F6" w:rsidRPr="009424EB" w:rsidRDefault="00891C8B"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While the Euler method produced accurate and stable results, especially for the ORd 2017 and ToR-ORd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To optimise the parallelisation process, algorithm was simplified, enables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 while </w:t>
      </w:r>
      <w:r w:rsidR="005920F6" w:rsidRPr="009424EB">
        <w:rPr>
          <w:rFonts w:ascii="Times New Roman" w:hAnsi="Times New Roman" w:cs="Times New Roman"/>
          <w:sz w:val="22"/>
          <w:szCs w:val="22"/>
        </w:rPr>
        <w:t>maintaining accuracy and to reduce numerical errors.</w:t>
      </w:r>
    </w:p>
    <w:p w14:paraId="532E0594" w14:textId="125B46BF"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(in silico step of simulation) </w:t>
      </w:r>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4257F2">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7F38D815"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(post processing step of simulation) </w:t>
      </w:r>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he simulation produces two distinct types of output files, a biomarker file and time-series data files, along with one intermediate cache file.</w:t>
      </w:r>
    </w:p>
    <w:p w14:paraId="4B1D728F" w14:textId="7CF11896" w:rsidR="00EF13F9" w:rsidRPr="00851403" w:rsidRDefault="00CB3965" w:rsidP="00815E9F">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output file and its content) </w:t>
      </w:r>
      <w:r w:rsidR="00E64008"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qNet, qInward, and action potential shape analysis result. These biomarkers represent crucial physiological parameters simulated under drug influence, and they are instrumental for downstream analyses, such as machine learning-based predictions.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062615AA" w:rsidR="0049082F" w:rsidRDefault="00B47482" w:rsidP="0049082F">
      <w:pPr>
        <w:ind w:firstLine="284"/>
        <w:jc w:val="both"/>
        <w:rPr>
          <w:rFonts w:ascii="Times New Roman" w:hAnsi="Times New Roman" w:cs="Times New Roman"/>
          <w:sz w:val="22"/>
          <w:szCs w:val="22"/>
        </w:rPr>
      </w:pPr>
      <w:r>
        <w:rPr>
          <w:rFonts w:ascii="Times New Roman" w:hAnsi="Times New Roman" w:cs="Times New Roman"/>
          <w:sz w:val="22"/>
          <w:szCs w:val="22"/>
        </w:rPr>
        <w:t xml:space="preserve">(simulation parameters) </w:t>
      </w:r>
      <w:r w:rsidR="00716C35" w:rsidRPr="00716C35">
        <w:rPr>
          <w:rFonts w:ascii="Times New Roman" w:hAnsi="Times New Roman" w:cs="Times New Roman"/>
          <w:sz w:val="22"/>
          <w:szCs w:val="22"/>
        </w:rPr>
        <w:t xml:space="preserve">This chapter presents the results of GPU-based simulations for three cardiac cell models: ORd 2011, ORd 2017, and ToR-ORd. It analyses simulation accuracy, drug-induced changes, and computational performance. Two types of simulations were conducted: control (no drug) and drug-induced using bepridil at concentrations of 33 mMol, 66 </w:t>
      </w:r>
      <w:r w:rsidR="00716C35" w:rsidRPr="00716C35">
        <w:rPr>
          <w:rFonts w:ascii="Times New Roman" w:hAnsi="Times New Roman" w:cs="Times New Roman"/>
          <w:sz w:val="22"/>
          <w:szCs w:val="22"/>
        </w:rPr>
        <w:lastRenderedPageBreak/>
        <w:t>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B6D7D00" w:rsidR="00E50FFE" w:rsidRPr="00464851" w:rsidRDefault="00DD241B" w:rsidP="0049082F">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0D10F804" wp14:editId="2AEC8A05">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7"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(single-core simulation setup)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C30251A" w:rsid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(method to validate simulation result) </w:t>
      </w:r>
      <w:r w:rsidR="0038131E" w:rsidRPr="0038131E">
        <w:rPr>
          <w:rFonts w:ascii="Times New Roman" w:hAnsi="Times New Roman" w:cs="Times New Roman"/>
          <w:sz w:val="22"/>
          <w:szCs w:val="22"/>
        </w:rPr>
        <w:t>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ToR-ORd—the validation process involved calculating the mean absolute error (MAE) between the GPU and CPU results and evaluating key electrophysiological biomarkers, including action potential duration (APD) and calcium transient properties.</w:t>
      </w:r>
    </w:p>
    <w:p w14:paraId="4ABFF798" w14:textId="004927D7" w:rsidR="00464851" w:rsidRDefault="00B47482" w:rsidP="00EF13F9">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2011) </w:t>
      </w:r>
      <w:r w:rsidR="0038131E"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142344D" w:rsidR="00122D85"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t>(validation for ORd 201</w:t>
      </w:r>
      <w:r>
        <w:rPr>
          <w:rFonts w:ascii="Times New Roman" w:hAnsi="Times New Roman" w:cs="Times New Roman"/>
          <w:sz w:val="22"/>
          <w:szCs w:val="22"/>
        </w:rPr>
        <w:t>7</w:t>
      </w:r>
      <w:r>
        <w:rPr>
          <w:rFonts w:ascii="Times New Roman" w:hAnsi="Times New Roman" w:cs="Times New Roman"/>
          <w:sz w:val="22"/>
          <w:szCs w:val="22"/>
        </w:rPr>
        <w:t>)</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61A627D4" w:rsidR="00B96743"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 xml:space="preserve">(validation for </w:t>
      </w:r>
      <w:r>
        <w:rPr>
          <w:rFonts w:ascii="Times New Roman" w:hAnsi="Times New Roman" w:cs="Times New Roman"/>
          <w:sz w:val="22"/>
          <w:szCs w:val="22"/>
        </w:rPr>
        <w:t>ToR-</w:t>
      </w:r>
      <w:r>
        <w:rPr>
          <w:rFonts w:ascii="Times New Roman" w:hAnsi="Times New Roman" w:cs="Times New Roman"/>
          <w:sz w:val="22"/>
          <w:szCs w:val="22"/>
        </w:rPr>
        <w:t>ORd)</w:t>
      </w:r>
      <w:r w:rsidR="00897C3D">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In the ToR-ORd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w:t>
      </w:r>
      <w:r w:rsidR="00142D78">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4F19251">
                <wp:simplePos x="0" y="0"/>
                <wp:positionH relativeFrom="margin">
                  <wp:align>left</wp:align>
                </wp:positionH>
                <wp:positionV relativeFrom="margin">
                  <wp:align>top</wp:align>
                </wp:positionV>
                <wp:extent cx="5772785" cy="32461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246634"/>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29" type="#_x0000_t202" style="position:absolute;left:0;text-align:left;margin-left:0;margin-top:0;width:454.55pt;height:255.6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GPU's suitability for large-scale, high-fidelity simulations.</w:t>
      </w:r>
      <w:r w:rsidR="00D1193A">
        <w:rPr>
          <w:rFonts w:ascii="Times New Roman" w:hAnsi="Times New Roman" w:cs="Times New Roman"/>
          <w:sz w:val="22"/>
          <w:szCs w:val="22"/>
        </w:rPr>
        <w:t xml:space="preserve"> ToR-ORd simulation result is shown in Figure 4. This figure shows action potential curve from drug-free, and drug-induced simulation.</w:t>
      </w:r>
    </w:p>
    <w:p w14:paraId="25DAB056" w14:textId="1E3E226B" w:rsidR="0038131E" w:rsidRP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Process Conclusion)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7C5773E3" w14:textId="24070FBD" w:rsidR="00851403" w:rsidRDefault="00851403" w:rsidP="00936B24">
      <w:pPr>
        <w:jc w:val="both"/>
        <w:rPr>
          <w:rFonts w:ascii="Times New Roman" w:hAnsi="Times New Roman" w:cs="Times New Roman"/>
          <w:b/>
          <w:bCs/>
          <w:sz w:val="22"/>
          <w:szCs w:val="22"/>
        </w:rPr>
      </w:pPr>
    </w:p>
    <w:p w14:paraId="77B446D6" w14:textId="576B25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3170ECC8"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lastRenderedPageBreak/>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The computational time performance of GPU-based simulations was compared against both single-core and multi-core CPU implementations for the three cardiac cell models: ORd 2011, ORd 2017, and ToR-ORd. This comparison highlights the efficiency gains achieved through CUDA-based parallel processing on GPUs.</w:t>
      </w:r>
    </w:p>
    <w:p w14:paraId="015DE6F4" w14:textId="681C6EE8"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t>Computational time advantage</w:t>
      </w:r>
      <w:r>
        <w:rPr>
          <w:rFonts w:ascii="Times New Roman" w:hAnsi="Times New Roman" w:cs="Times New Roman"/>
          <w:sz w:val="22"/>
          <w:szCs w:val="22"/>
        </w:rPr>
        <w:t xml:space="preserve"> for ORd 2011)</w:t>
      </w:r>
      <w:r w:rsidR="00897C3D"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2DC77"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309FF31B"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(Computational time advantage for ORd 201</w:t>
      </w:r>
      <w:r>
        <w:rPr>
          <w:rFonts w:ascii="Times New Roman" w:hAnsi="Times New Roman" w:cs="Times New Roman"/>
          <w:sz w:val="22"/>
          <w:szCs w:val="22"/>
        </w:rPr>
        <w:t>7</w:t>
      </w:r>
      <w:r>
        <w:rPr>
          <w:rFonts w:ascii="Times New Roman" w:hAnsi="Times New Roman" w:cs="Times New Roman"/>
          <w:sz w:val="22"/>
          <w:szCs w:val="22"/>
        </w:rPr>
        <w:t>)</w: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072339DF"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r>
        <w:rPr>
          <w:rFonts w:ascii="Times New Roman" w:hAnsi="Times New Roman" w:cs="Times New Roman"/>
          <w:sz w:val="22"/>
          <w:szCs w:val="22"/>
        </w:rPr>
        <w:t>ToR-</w:t>
      </w:r>
      <w:r>
        <w:rPr>
          <w:rFonts w:ascii="Times New Roman" w:hAnsi="Times New Roman" w:cs="Times New Roman"/>
          <w:sz w:val="22"/>
          <w:szCs w:val="22"/>
        </w:rPr>
        <w:t>ORd)</w: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The ToR-ORd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4B9E7828"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t xml:space="preserve">Summary of </w:t>
      </w:r>
      <w:r>
        <w:rPr>
          <w:rFonts w:ascii="Times New Roman" w:hAnsi="Times New Roman" w:cs="Times New Roman"/>
          <w:sz w:val="22"/>
          <w:szCs w:val="22"/>
        </w:rPr>
        <w:t>Computational time advantage</w:t>
      </w:r>
      <w:r>
        <w:rPr>
          <w:rFonts w:ascii="Times New Roman" w:hAnsi="Times New Roman" w:cs="Times New Roman"/>
          <w:sz w:val="22"/>
          <w:szCs w:val="22"/>
        </w:rPr>
        <w:t>s</w:t>
      </w:r>
      <w:r>
        <w:rPr>
          <w:rFonts w:ascii="Times New Roman" w:hAnsi="Times New Roman" w:cs="Times New Roman"/>
          <w:sz w:val="22"/>
          <w:szCs w:val="22"/>
        </w:rPr>
        <w:t>)</w: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7040318A"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aim a more computationally efficient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73F57FED" w:rsidR="00110F07"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limitations)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w:t>
      </w:r>
      <w:r w:rsidR="00110F07">
        <w:rPr>
          <w:rFonts w:ascii="Times New Roman" w:hAnsi="Times New Roman" w:cs="Times New Roman"/>
          <w:sz w:val="22"/>
          <w:szCs w:val="22"/>
        </w:rPr>
        <w:lastRenderedPageBreak/>
        <w:t xml:space="preserve">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00EA132E" w:rsidR="00032231"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future expansions)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testing on diverse </w:t>
      </w:r>
      <w:r w:rsidR="0073672D" w:rsidRPr="0073672D">
        <w:rPr>
          <w:rFonts w:ascii="Times New Roman" w:hAnsi="Times New Roman" w:cs="Times New Roman"/>
          <w:sz w:val="22"/>
          <w:szCs w:val="22"/>
        </w:rPr>
        <w:t>GPU hardware models would 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Center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EFB905F" w14:textId="7F563162"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Jason Sanders and Edward Kandrot. 2010. CUDA by Example: An Introduction to General-Purpose GPU Programming (1st. ed.). Addison-Wesley Professional.</w:t>
      </w:r>
    </w:p>
    <w:p w14:paraId="73DE679F" w14:textId="3B61A0A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2. “What is OpenMP?” Accessed: Nov. 10,</w:t>
      </w:r>
      <w:r>
        <w:rPr>
          <w:rFonts w:ascii="Times New Roman" w:hAnsi="Times New Roman" w:cs="Times New Roman"/>
          <w:sz w:val="22"/>
          <w:szCs w:val="22"/>
        </w:rPr>
        <w:t xml:space="preserve"> </w:t>
      </w:r>
      <w:r w:rsidRPr="00413D1E">
        <w:rPr>
          <w:rFonts w:ascii="Times New Roman" w:hAnsi="Times New Roman" w:cs="Times New Roman"/>
          <w:sz w:val="22"/>
          <w:szCs w:val="22"/>
        </w:rPr>
        <w:t>2024. [Online].</w:t>
      </w:r>
      <w:r>
        <w:rPr>
          <w:rFonts w:ascii="Times New Roman" w:hAnsi="Times New Roman" w:cs="Times New Roman"/>
          <w:sz w:val="22"/>
          <w:szCs w:val="22"/>
        </w:rPr>
        <w:t xml:space="preserve"> </w:t>
      </w:r>
      <w:r w:rsidRPr="00413D1E">
        <w:rPr>
          <w:rFonts w:ascii="Times New Roman" w:hAnsi="Times New Roman" w:cs="Times New Roman"/>
          <w:sz w:val="22"/>
          <w:szCs w:val="22"/>
        </w:rPr>
        <w:t>Available:</w:t>
      </w:r>
      <w:r>
        <w:rPr>
          <w:rFonts w:ascii="Times New Roman" w:hAnsi="Times New Roman" w:cs="Times New Roman"/>
          <w:sz w:val="22"/>
          <w:szCs w:val="22"/>
        </w:rPr>
        <w:t xml:space="preserve"> </w:t>
      </w:r>
      <w:r w:rsidRPr="00413D1E">
        <w:rPr>
          <w:rFonts w:ascii="Times New Roman" w:hAnsi="Times New Roman" w:cs="Times New Roman"/>
          <w:sz w:val="22"/>
          <w:szCs w:val="22"/>
        </w:rPr>
        <w:t>https://cvw.cac.cornell.edu/openmp/intro/wha</w:t>
      </w:r>
      <w:r>
        <w:rPr>
          <w:rFonts w:ascii="Times New Roman" w:hAnsi="Times New Roman" w:cs="Times New Roman"/>
          <w:sz w:val="22"/>
          <w:szCs w:val="22"/>
        </w:rPr>
        <w:t>t</w:t>
      </w:r>
      <w:r w:rsidRPr="00413D1E">
        <w:rPr>
          <w:rFonts w:ascii="Times New Roman" w:hAnsi="Times New Roman" w:cs="Times New Roman"/>
          <w:sz w:val="22"/>
          <w:szCs w:val="22"/>
        </w:rPr>
        <w:t>-is-openmp.</w:t>
      </w:r>
    </w:p>
    <w:p w14:paraId="363A3A2B" w14:textId="52B09DC1"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 xml:space="preserve">3. R. L. Graham, G. M. Shipman, B. W. Barrett, R. H. Castain, G. Bosilca and A. Lumsdaine, "Open MPI: A High-Performance, Heterogeneous MPI," 2006 IEEE International Conference on Cluster </w:t>
      </w:r>
      <w:r w:rsidRPr="00413D1E">
        <w:rPr>
          <w:rFonts w:ascii="Times New Roman" w:hAnsi="Times New Roman" w:cs="Times New Roman"/>
          <w:sz w:val="22"/>
          <w:szCs w:val="22"/>
        </w:rPr>
        <w:t>Computing, Barcelona, Spain, 2006, pp. 1-9, doi: 10.1109/CLUSTR.2006.311904.</w:t>
      </w:r>
    </w:p>
    <w:p w14:paraId="72D663C0" w14:textId="1FA63E8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4. A. Garny et al., “CellML and associated tools and techniques,” Sep. 13, 2008, Royal Society. doi: 10.1098/rsta.2008.0094.</w:t>
      </w:r>
    </w:p>
    <w:p w14:paraId="25BDBEAD" w14:textId="7B9A202A"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5.</w:t>
      </w:r>
      <w:r>
        <w:rPr>
          <w:rFonts w:ascii="Times New Roman" w:hAnsi="Times New Roman" w:cs="Times New Roman"/>
          <w:sz w:val="22"/>
          <w:szCs w:val="22"/>
        </w:rPr>
        <w:t xml:space="preserve"> </w:t>
      </w:r>
      <w:r w:rsidRPr="00413D1E">
        <w:rPr>
          <w:rFonts w:ascii="Times New Roman" w:hAnsi="Times New Roman" w:cs="Times New Roman"/>
          <w:sz w:val="22"/>
          <w:szCs w:val="22"/>
        </w:rPr>
        <w:t>M. Gómez, J. Carro, E. Pueyo, A. Pérez, A. Oliván, and V. Monasterio, “In Silico Modeling and Validation of the Effect of Calcium-Activated Potassium Current on Ventricular Repolarization in Failing Myocytes,” IEEE J Biomed Health Inform, pp. 1–9, 2024, doi: 10.1109/JBHI.2024.3495027.</w:t>
      </w:r>
    </w:p>
    <w:p w14:paraId="7B48CB7C" w14:textId="2B679BB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6.</w:t>
      </w:r>
      <w:r>
        <w:rPr>
          <w:rFonts w:ascii="Times New Roman" w:hAnsi="Times New Roman" w:cs="Times New Roman"/>
          <w:sz w:val="22"/>
          <w:szCs w:val="22"/>
        </w:rPr>
        <w:t xml:space="preserve"> </w:t>
      </w:r>
      <w:r w:rsidRPr="00413D1E">
        <w:rPr>
          <w:rFonts w:ascii="Times New Roman" w:hAnsi="Times New Roman" w:cs="Times New Roman"/>
          <w:sz w:val="22"/>
          <w:szCs w:val="22"/>
        </w:rPr>
        <w:t>C. M. Lloyd, J. R. Lawson, P. J. Hunter, and P. F. Nielsen, “The CellML Model Repository,” Bioinformatics, vol. 24, no. 18, pp. 2122–2123, 2008, doi: 10.1093/bioinformatics/btn390.</w:t>
      </w:r>
    </w:p>
    <w:p w14:paraId="32B34FAE" w14:textId="112F791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7.</w:t>
      </w:r>
      <w:r>
        <w:rPr>
          <w:rFonts w:ascii="Times New Roman" w:hAnsi="Times New Roman" w:cs="Times New Roman"/>
          <w:sz w:val="22"/>
          <w:szCs w:val="22"/>
        </w:rPr>
        <w:t xml:space="preserve"> </w:t>
      </w:r>
      <w:r w:rsidRPr="00413D1E">
        <w:rPr>
          <w:rFonts w:ascii="Times New Roman" w:hAnsi="Times New Roman" w:cs="Times New Roman"/>
          <w:sz w:val="22"/>
          <w:szCs w:val="22"/>
        </w:rPr>
        <w:t>N. Le Novère et al., “BioModels Database: a free, centralized database of curated, published, quantitative kinetic models of biochemical and cellular systems.,” Nucleic Acids Res, vol. 34, no. Database issue, 2006, doi: 10.1093/nar/gkj092.</w:t>
      </w:r>
    </w:p>
    <w:p w14:paraId="240494F6" w14:textId="2DDE2CD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8.</w:t>
      </w:r>
      <w:r>
        <w:rPr>
          <w:rFonts w:ascii="Times New Roman" w:hAnsi="Times New Roman" w:cs="Times New Roman"/>
          <w:sz w:val="22"/>
          <w:szCs w:val="22"/>
        </w:rPr>
        <w:t xml:space="preserve"> </w:t>
      </w:r>
      <w:r w:rsidRPr="00413D1E">
        <w:rPr>
          <w:rFonts w:ascii="Times New Roman" w:hAnsi="Times New Roman" w:cs="Times New Roman"/>
          <w:sz w:val="22"/>
          <w:szCs w:val="22"/>
        </w:rPr>
        <w:t>M. Berghoff, J. Rosenbauer, F. Hoffmann, and A. Schug, “Cells in Silico-introducing a high-performance framework for large-scale tissue modeling,” BMC Bioinformatics, vol. 21, no. 1, Oct. 2020, doi: 10.1186/s12859-020-03728-7.</w:t>
      </w:r>
    </w:p>
    <w:p w14:paraId="5ED37788" w14:textId="0D1BFF6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9.</w:t>
      </w:r>
      <w:r>
        <w:rPr>
          <w:rFonts w:ascii="Times New Roman" w:hAnsi="Times New Roman" w:cs="Times New Roman"/>
          <w:sz w:val="22"/>
          <w:szCs w:val="22"/>
        </w:rPr>
        <w:t xml:space="preserve"> </w:t>
      </w:r>
      <w:r w:rsidRPr="00413D1E">
        <w:rPr>
          <w:rFonts w:ascii="Times New Roman" w:hAnsi="Times New Roman" w:cs="Times New Roman"/>
          <w:sz w:val="22"/>
          <w:szCs w:val="22"/>
        </w:rPr>
        <w:t>M. Martínez-del-Amor, I. Pérez-Hurtado, D. Orellana-Martín, and M. J. Pérez-Jiménez, “Adaptative parallel simulators for bioinspired computing models,” Future Generation Computer Systems, vol. 107, pp. 469–484, Jun. 2020, doi: 10.1016/j.future.2020.02.012.</w:t>
      </w:r>
    </w:p>
    <w:p w14:paraId="719D9843" w14:textId="406DEB5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10.</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S. McIntosh-Smith, J. Price, R. B. Sessions, and A. A. Ibarra, “High performance in silico virtual drug screening on many-core processors,” International Journal of </w:t>
      </w:r>
      <w:proofErr w:type="gramStart"/>
      <w:r w:rsidRPr="00413D1E">
        <w:rPr>
          <w:rFonts w:ascii="Times New Roman" w:hAnsi="Times New Roman" w:cs="Times New Roman"/>
          <w:sz w:val="22"/>
          <w:szCs w:val="22"/>
        </w:rPr>
        <w:t>High Performance</w:t>
      </w:r>
      <w:proofErr w:type="gramEnd"/>
      <w:r w:rsidRPr="00413D1E">
        <w:rPr>
          <w:rFonts w:ascii="Times New Roman" w:hAnsi="Times New Roman" w:cs="Times New Roman"/>
          <w:sz w:val="22"/>
          <w:szCs w:val="22"/>
        </w:rPr>
        <w:t xml:space="preserve"> Computing Applications, vol. 29, no. 2, pp. 119–134, May 2015, doi: 10.1177/1094342014528252.</w:t>
      </w:r>
    </w:p>
    <w:p w14:paraId="45E725D8" w14:textId="7777777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11.</w:t>
      </w:r>
      <w:r w:rsidRPr="00413D1E">
        <w:rPr>
          <w:rFonts w:ascii="Times New Roman" w:hAnsi="Times New Roman" w:cs="Times New Roman"/>
          <w:sz w:val="22"/>
          <w:szCs w:val="22"/>
        </w:rPr>
        <w:tab/>
        <w:t>P. Amar, M. Baillieul, D. Barth, B. LeCun, F. Quessette, and S. Vial, “Parallel Biological In Silico Simulation,” Nov. 2014, doi: 10.1007/978-3-319-09465-6_40.</w:t>
      </w:r>
    </w:p>
    <w:p w14:paraId="4FA3B1B3" w14:textId="57FEFAE5"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12.</w:t>
      </w:r>
      <w:r>
        <w:rPr>
          <w:rFonts w:ascii="Times New Roman" w:hAnsi="Times New Roman" w:cs="Times New Roman"/>
          <w:sz w:val="22"/>
          <w:szCs w:val="22"/>
        </w:rPr>
        <w:t xml:space="preserve"> </w:t>
      </w:r>
      <w:r w:rsidRPr="00413D1E">
        <w:rPr>
          <w:rFonts w:ascii="Times New Roman" w:hAnsi="Times New Roman" w:cs="Times New Roman"/>
          <w:sz w:val="22"/>
          <w:szCs w:val="22"/>
        </w:rPr>
        <w:t>D. G. Whittaker, J. C. Hancox, and H. Zhang, “In Silico Assestment of Pharmacotherapy for Human Atrial Patho-Electrophysiology Associated With hERG-Linked Short QT Syndrome” Jan. 2019, doi: 10.3389/fphys.2018.01888.</w:t>
      </w:r>
    </w:p>
    <w:p w14:paraId="55E4FEE3" w14:textId="407C55D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13.</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 O'Hara, L. Virág, A. Varró, and Y. Rudy, “Simulation of the Undiseased Human </w:t>
      </w:r>
      <w:r w:rsidRPr="00413D1E">
        <w:rPr>
          <w:rFonts w:ascii="Times New Roman" w:hAnsi="Times New Roman" w:cs="Times New Roman"/>
          <w:sz w:val="22"/>
          <w:szCs w:val="22"/>
        </w:rPr>
        <w:lastRenderedPageBreak/>
        <w:t>Cardiac Ventricular Action Potential: Model Formulation and Experimental Validation.” 2011, PLOS Computational Biology 7(5): e1002061. Available:  https://doi.org/10.1371/journal.pcbi.1002061.</w:t>
      </w:r>
    </w:p>
    <w:p w14:paraId="4D1322A8" w14:textId="1EE9F7E0"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14.</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S. Dutta, K.C. Chang, K.A. Beattie, J. Sheng , P.N. Tran, W.W. Wu, M. Wu, D.G. Strauss, T. Colatsky, and Z. Li. "Optimization of an In silico Cardiac Cell Model for Proarrhythmia Risk Assessment." Front Physiol. Aug 2017 doi: 10.3389/fphys.2017.00616. </w:t>
      </w:r>
    </w:p>
    <w:p w14:paraId="722558DA" w14:textId="279FEC2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15.</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Tomek, Jakub et al. “Development, calibration, and validation of a novel human ventricular myocyte model in health, disease, and drug block.” eLife vol. 8 e48890. Dec 2019, doi:10.7554/eLife.48890. </w:t>
      </w:r>
    </w:p>
    <w:p w14:paraId="1DCE8A86" w14:textId="622DDBF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16.</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“Parallel Thread Execution ISA Version 8.5” Accessed: Nov. 24, 2024. [Online]. Available: https://docs.nvidia.com/cuda/parallel-thread-execution/index.html.</w:t>
      </w:r>
    </w:p>
    <w:p w14:paraId="17A4FCBE" w14:textId="383F746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17.</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C., Yves, C. D. Lontsi, and C. Pierre. "Rush-Larsen time-stepping methods of high order for stiff problems in cardiac electrophysiology." 2017, arXiv preprint arXiv:1712.02260.</w:t>
      </w:r>
    </w:p>
    <w:p w14:paraId="2F80B222" w14:textId="3405A18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18.</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G.R. Mirams, Y. Cui, A. Sher, M. Fink, J. Cooper, B. M. Heath, et al. "Simulation of multiple ion channel block provides improved early prediction of compounds' clinical torsadogenic risk." 2011, Cardiovasc. Res. 91 (1), 53–61. doi:10.1093/cvr/cvr044.</w:t>
      </w:r>
    </w:p>
    <w:p w14:paraId="46FB7C66" w14:textId="77777777" w:rsidR="00BD0596" w:rsidRPr="00413D1E" w:rsidRDefault="00BD0596" w:rsidP="00BD0596">
      <w:pPr>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411B5" w14:textId="77777777" w:rsidR="004F3D55" w:rsidRDefault="004F3D55" w:rsidP="00190418">
      <w:r>
        <w:separator/>
      </w:r>
    </w:p>
  </w:endnote>
  <w:endnote w:type="continuationSeparator" w:id="0">
    <w:p w14:paraId="7BD63C69" w14:textId="77777777" w:rsidR="004F3D55" w:rsidRDefault="004F3D55"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33F10" w14:textId="77777777" w:rsidR="004F3D55" w:rsidRDefault="004F3D55" w:rsidP="00190418">
      <w:r>
        <w:separator/>
      </w:r>
    </w:p>
  </w:footnote>
  <w:footnote w:type="continuationSeparator" w:id="0">
    <w:p w14:paraId="2B969F17" w14:textId="77777777" w:rsidR="004F3D55" w:rsidRDefault="004F3D55"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1AF5"/>
    <w:rsid w:val="00032231"/>
    <w:rsid w:val="00037924"/>
    <w:rsid w:val="00050C31"/>
    <w:rsid w:val="00057EFC"/>
    <w:rsid w:val="000722FF"/>
    <w:rsid w:val="000738E7"/>
    <w:rsid w:val="00095C12"/>
    <w:rsid w:val="000C608C"/>
    <w:rsid w:val="000E4CAC"/>
    <w:rsid w:val="00110F07"/>
    <w:rsid w:val="00122D85"/>
    <w:rsid w:val="00141F8E"/>
    <w:rsid w:val="00142D78"/>
    <w:rsid w:val="00165C9D"/>
    <w:rsid w:val="00175649"/>
    <w:rsid w:val="00190418"/>
    <w:rsid w:val="001B4B08"/>
    <w:rsid w:val="001C12FC"/>
    <w:rsid w:val="001D6648"/>
    <w:rsid w:val="001E3959"/>
    <w:rsid w:val="001F3095"/>
    <w:rsid w:val="00286F3A"/>
    <w:rsid w:val="0029792B"/>
    <w:rsid w:val="002D5618"/>
    <w:rsid w:val="002E39FF"/>
    <w:rsid w:val="003405D7"/>
    <w:rsid w:val="0034247B"/>
    <w:rsid w:val="0038131E"/>
    <w:rsid w:val="003E23E1"/>
    <w:rsid w:val="00413D1E"/>
    <w:rsid w:val="004257F2"/>
    <w:rsid w:val="00457C9C"/>
    <w:rsid w:val="00464851"/>
    <w:rsid w:val="004754E6"/>
    <w:rsid w:val="0049082F"/>
    <w:rsid w:val="00496A48"/>
    <w:rsid w:val="004F3D55"/>
    <w:rsid w:val="004F3E93"/>
    <w:rsid w:val="005034BC"/>
    <w:rsid w:val="0054183E"/>
    <w:rsid w:val="00565632"/>
    <w:rsid w:val="00573CB7"/>
    <w:rsid w:val="005907F3"/>
    <w:rsid w:val="005920F6"/>
    <w:rsid w:val="005A213A"/>
    <w:rsid w:val="005B299F"/>
    <w:rsid w:val="005D5DB1"/>
    <w:rsid w:val="005E63B6"/>
    <w:rsid w:val="006702C2"/>
    <w:rsid w:val="006761AA"/>
    <w:rsid w:val="006B2226"/>
    <w:rsid w:val="006B45A8"/>
    <w:rsid w:val="006F5169"/>
    <w:rsid w:val="007055E9"/>
    <w:rsid w:val="00716C35"/>
    <w:rsid w:val="00721E1D"/>
    <w:rsid w:val="0073672D"/>
    <w:rsid w:val="007379F1"/>
    <w:rsid w:val="00750EFA"/>
    <w:rsid w:val="00755243"/>
    <w:rsid w:val="00761704"/>
    <w:rsid w:val="00786DDD"/>
    <w:rsid w:val="007A2000"/>
    <w:rsid w:val="007A500E"/>
    <w:rsid w:val="007C0443"/>
    <w:rsid w:val="007C0AD7"/>
    <w:rsid w:val="007C5945"/>
    <w:rsid w:val="007E0648"/>
    <w:rsid w:val="00815E9F"/>
    <w:rsid w:val="00851403"/>
    <w:rsid w:val="00891B97"/>
    <w:rsid w:val="00891C8B"/>
    <w:rsid w:val="00895F0A"/>
    <w:rsid w:val="00897C3D"/>
    <w:rsid w:val="008B2603"/>
    <w:rsid w:val="008B7A5F"/>
    <w:rsid w:val="008D59E8"/>
    <w:rsid w:val="00901DD3"/>
    <w:rsid w:val="00936B24"/>
    <w:rsid w:val="009424EB"/>
    <w:rsid w:val="00961E4B"/>
    <w:rsid w:val="00971BDE"/>
    <w:rsid w:val="00973EFA"/>
    <w:rsid w:val="00986009"/>
    <w:rsid w:val="009B3727"/>
    <w:rsid w:val="009C1794"/>
    <w:rsid w:val="009C6963"/>
    <w:rsid w:val="009D09BB"/>
    <w:rsid w:val="009E5950"/>
    <w:rsid w:val="009F7A69"/>
    <w:rsid w:val="00A01820"/>
    <w:rsid w:val="00A06F70"/>
    <w:rsid w:val="00A075BA"/>
    <w:rsid w:val="00A10DD2"/>
    <w:rsid w:val="00A143DD"/>
    <w:rsid w:val="00A16948"/>
    <w:rsid w:val="00A648F5"/>
    <w:rsid w:val="00A70643"/>
    <w:rsid w:val="00A732FF"/>
    <w:rsid w:val="00A76F1C"/>
    <w:rsid w:val="00A859C9"/>
    <w:rsid w:val="00AD162E"/>
    <w:rsid w:val="00B307A4"/>
    <w:rsid w:val="00B32B44"/>
    <w:rsid w:val="00B349A3"/>
    <w:rsid w:val="00B47482"/>
    <w:rsid w:val="00B55E40"/>
    <w:rsid w:val="00B66951"/>
    <w:rsid w:val="00B81611"/>
    <w:rsid w:val="00B96743"/>
    <w:rsid w:val="00BC3A6E"/>
    <w:rsid w:val="00BD0596"/>
    <w:rsid w:val="00BE5211"/>
    <w:rsid w:val="00C41780"/>
    <w:rsid w:val="00C453CA"/>
    <w:rsid w:val="00CA0E84"/>
    <w:rsid w:val="00CA3340"/>
    <w:rsid w:val="00CA7DB5"/>
    <w:rsid w:val="00CB3730"/>
    <w:rsid w:val="00CB3965"/>
    <w:rsid w:val="00CC52FA"/>
    <w:rsid w:val="00D1193A"/>
    <w:rsid w:val="00D12264"/>
    <w:rsid w:val="00D43BD6"/>
    <w:rsid w:val="00DA72D0"/>
    <w:rsid w:val="00DB48EA"/>
    <w:rsid w:val="00DD241B"/>
    <w:rsid w:val="00E04F65"/>
    <w:rsid w:val="00E06616"/>
    <w:rsid w:val="00E50FFE"/>
    <w:rsid w:val="00E61247"/>
    <w:rsid w:val="00E64008"/>
    <w:rsid w:val="00E64BA6"/>
    <w:rsid w:val="00E85A3A"/>
    <w:rsid w:val="00E92BAD"/>
    <w:rsid w:val="00EA2D05"/>
    <w:rsid w:val="00ED00FD"/>
    <w:rsid w:val="00ED4F3A"/>
    <w:rsid w:val="00EF13F9"/>
    <w:rsid w:val="00F05F49"/>
    <w:rsid w:val="00F07718"/>
    <w:rsid w:val="00F244B2"/>
    <w:rsid w:val="00F314D4"/>
    <w:rsid w:val="00F5648A"/>
    <w:rsid w:val="00F601D5"/>
    <w:rsid w:val="00F615F4"/>
    <w:rsid w:val="00F720D9"/>
    <w:rsid w:val="00FB6A8E"/>
    <w:rsid w:val="00FC2284"/>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chart" Target="charts/chart50.xml"/><Relationship Id="rId7" Type="http://schemas.openxmlformats.org/officeDocument/2006/relationships/endnotes" Target="endnotes.xml"/><Relationship Id="rId12" Type="http://schemas.openxmlformats.org/officeDocument/2006/relationships/chart" Target="charts/chart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5.xml"/><Relationship Id="rId22" Type="http://schemas.openxmlformats.org/officeDocument/2006/relationships/chart" Target="charts/chart60.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9</Pages>
  <Words>4437</Words>
  <Characters>25295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38</cp:revision>
  <dcterms:created xsi:type="dcterms:W3CDTF">2025-01-02T02:14:00Z</dcterms:created>
  <dcterms:modified xsi:type="dcterms:W3CDTF">2025-01-09T07:18:00Z</dcterms:modified>
</cp:coreProperties>
</file>