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38FA599A"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,2</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B53853" w:rsidR="005E63B6" w:rsidRP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04DDDAE4" w14:textId="38DA58F3"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2BBC40E0"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 xml:space="preserve">silico cardiotoxicity prediction by utilising </w:t>
      </w:r>
      <w:r w:rsidR="00FB6A8E">
        <w:rPr>
          <w:rFonts w:ascii="Times New Roman" w:hAnsi="Times New Roman" w:cs="Times New Roman"/>
          <w:sz w:val="22"/>
          <w:szCs w:val="22"/>
        </w:rPr>
        <w:t>Graphics Processing Unit (</w:t>
      </w:r>
      <w:r w:rsidRPr="00165C9D">
        <w:rPr>
          <w:rFonts w:ascii="Times New Roman" w:hAnsi="Times New Roman" w:cs="Times New Roman"/>
          <w:sz w:val="22"/>
          <w:szCs w:val="22"/>
        </w:rPr>
        <w:t>GPU</w:t>
      </w:r>
      <w:r w:rsidR="00FB6A8E">
        <w:rPr>
          <w:rFonts w:ascii="Times New Roman" w:hAnsi="Times New Roman" w:cs="Times New Roman"/>
          <w:sz w:val="22"/>
          <w:szCs w:val="22"/>
        </w:rPr>
        <w:t>)</w:t>
      </w:r>
      <w:r w:rsidRPr="00165C9D">
        <w:rPr>
          <w:rFonts w:ascii="Times New Roman" w:hAnsi="Times New Roman" w:cs="Times New Roman"/>
          <w:sz w:val="22"/>
          <w:szCs w:val="22"/>
        </w:rPr>
        <w:t>-based parallel computing. 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ToR-ORd. Simulations were conducted using GPU-based implementations of ordinary differential equation (ODE) solvers, with the Rush-Larsen method applied for ORd 2011 and a Forward Euler approach for ORd 2017 and ToR-ORd.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Pr>
          <w:rFonts w:ascii="Times New Roman" w:hAnsi="Times New Roman" w:cs="Times New Roman"/>
          <w:sz w:val="22"/>
          <w:szCs w:val="22"/>
        </w:rPr>
        <w:t>I</w:t>
      </w:r>
      <w:r>
        <w:rPr>
          <w:rFonts w:ascii="Times New Roman" w:hAnsi="Times New Roman" w:cs="Times New Roman"/>
          <w:sz w:val="22"/>
          <w:szCs w:val="22"/>
        </w:rPr>
        <w:t>n</w:t>
      </w:r>
      <w:r w:rsidR="00573CB7">
        <w:rPr>
          <w:rFonts w:ascii="Times New Roman" w:hAnsi="Times New Roman" w:cs="Times New Roman"/>
          <w:sz w:val="22"/>
          <w:szCs w:val="22"/>
        </w:rPr>
        <w:t xml:space="preserve"> </w:t>
      </w:r>
      <w:r>
        <w:rPr>
          <w:rFonts w:ascii="Times New Roman" w:hAnsi="Times New Roman" w:cs="Times New Roman"/>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3F66C1D7" w:rsidR="006B45A8" w:rsidRPr="009424EB" w:rsidRDefault="00E06616" w:rsidP="00FF252E">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motivation)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77777777" w:rsidR="00E61247"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efficiency limitation makes it difficult for traditional computational approaches to </w:t>
      </w:r>
      <w:r w:rsidRPr="009424EB">
        <w:rPr>
          <w:rFonts w:ascii="Times New Roman" w:hAnsi="Times New Roman" w:cs="Times New Roman"/>
          <w:sz w:val="22"/>
          <w:szCs w:val="22"/>
        </w:rPr>
        <w:t xml:space="preserve">handle large-scale simulation (such that uses multi-sample scenario or inter-individual variations) within a reasonable timeframe. This research introduces </w:t>
      </w:r>
      <w:r w:rsidR="00E61247">
        <w:rPr>
          <w:rFonts w:ascii="Times New Roman" w:hAnsi="Times New Roman" w:cs="Times New Roman"/>
          <w:sz w:val="22"/>
          <w:szCs w:val="22"/>
        </w:rPr>
        <w:t>parallelisation</w:t>
      </w:r>
      <w:r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Pr="009424EB">
        <w:rPr>
          <w:rFonts w:ascii="Times New Roman" w:hAnsi="Times New Roman" w:cs="Times New Roman"/>
          <w:sz w:val="22"/>
          <w:szCs w:val="22"/>
        </w:rPr>
        <w:t>inefficiencies. By implementing NVIDIA’s CUDA (Compute Unified Device Architecture)-based parallel programming on Graphics Processing Units (GPU) [1]</w:t>
      </w:r>
      <w:r w:rsidR="00E61247">
        <w:rPr>
          <w:rFonts w:ascii="Times New Roman" w:hAnsi="Times New Roman" w:cs="Times New Roman"/>
          <w:sz w:val="22"/>
          <w:szCs w:val="22"/>
        </w:rPr>
        <w:t>.</w:t>
      </w:r>
      <w:r w:rsidRPr="009424EB">
        <w:rPr>
          <w:rFonts w:ascii="Times New Roman" w:hAnsi="Times New Roman" w:cs="Times New Roman"/>
          <w:sz w:val="22"/>
          <w:szCs w:val="22"/>
        </w:rPr>
        <w:t xml:space="preserve"> </w:t>
      </w:r>
    </w:p>
    <w:p w14:paraId="65823D8A" w14:textId="7B8DE79A" w:rsidR="006B2226" w:rsidRPr="009424EB" w:rsidRDefault="00E06616" w:rsidP="00E61247">
      <w:pPr>
        <w:ind w:firstLine="284"/>
        <w:jc w:val="both"/>
        <w:rPr>
          <w:rFonts w:ascii="Times New Roman" w:hAnsi="Times New Roman" w:cs="Times New Roman"/>
          <w:sz w:val="22"/>
          <w:szCs w:val="22"/>
        </w:rPr>
      </w:pPr>
      <w:r>
        <w:rPr>
          <w:rFonts w:ascii="Times New Roman" w:hAnsi="Times New Roman" w:cs="Times New Roman"/>
          <w:sz w:val="22"/>
          <w:szCs w:val="22"/>
        </w:rPr>
        <w:t>(</w:t>
      </w:r>
      <w:r w:rsidR="00FC2284">
        <w:rPr>
          <w:rFonts w:ascii="Times New Roman" w:hAnsi="Times New Roman" w:cs="Times New Roman"/>
          <w:sz w:val="22"/>
          <w:szCs w:val="22"/>
        </w:rPr>
        <w:t xml:space="preserve">this </w:t>
      </w:r>
      <w:r>
        <w:rPr>
          <w:rFonts w:ascii="Times New Roman" w:hAnsi="Times New Roman" w:cs="Times New Roman"/>
          <w:sz w:val="22"/>
          <w:szCs w:val="22"/>
        </w:rPr>
        <w:t xml:space="preserve">research benefits)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69C07EE8" w14:textId="64271FCF" w:rsidR="00ED00FD" w:rsidRDefault="00E06616"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(cpu parallelisation) </w:t>
      </w:r>
      <w:r w:rsidR="006B2226" w:rsidRPr="009424EB">
        <w:rPr>
          <w:rFonts w:ascii="Times New Roman" w:hAnsi="Times New Roman" w:cs="Times New Roman"/>
          <w:sz w:val="22"/>
          <w:szCs w:val="22"/>
        </w:rPr>
        <w:t>Parallelisation has been a valuable concept in computational biology.</w:t>
      </w:r>
      <w:r w:rsidR="00ED00FD">
        <w:rPr>
          <w:rFonts w:ascii="Times New Roman" w:hAnsi="Times New Roman" w:cs="Times New Roman"/>
          <w:sz w:val="22"/>
          <w:szCs w:val="22"/>
        </w:rPr>
        <w:t xml:space="preserve"> Previous approach</w:t>
      </w:r>
      <w:r w:rsidR="004F3E93">
        <w:rPr>
          <w:rFonts w:ascii="Times New Roman" w:hAnsi="Times New Roman" w:cs="Times New Roman"/>
          <w:sz w:val="22"/>
          <w:szCs w:val="22"/>
        </w:rPr>
        <w:t>es</w:t>
      </w:r>
      <w:r w:rsidR="00ED00FD">
        <w:rPr>
          <w:rFonts w:ascii="Times New Roman" w:hAnsi="Times New Roman" w:cs="Times New Roman"/>
          <w:sz w:val="22"/>
          <w:szCs w:val="22"/>
        </w:rPr>
        <w:t xml:space="preserve"> tried to parallelise Central Processing Units (CPU)-based </w:t>
      </w:r>
      <w:r w:rsidR="00ED00FD">
        <w:rPr>
          <w:rFonts w:ascii="Times New Roman" w:hAnsi="Times New Roman" w:cs="Times New Roman"/>
          <w:i/>
          <w:iCs/>
          <w:sz w:val="22"/>
          <w:szCs w:val="22"/>
        </w:rPr>
        <w:t>in silico</w:t>
      </w:r>
      <w:r w:rsidR="00ED00FD">
        <w:rPr>
          <w:rFonts w:ascii="Times New Roman" w:hAnsi="Times New Roman" w:cs="Times New Roman"/>
          <w:sz w:val="22"/>
          <w:szCs w:val="22"/>
        </w:rPr>
        <w:t xml:space="preserve"> </w:t>
      </w:r>
      <w:r w:rsidR="00ED00FD">
        <w:rPr>
          <w:rFonts w:ascii="Times New Roman" w:hAnsi="Times New Roman" w:cs="Times New Roman"/>
          <w:sz w:val="22"/>
          <w:szCs w:val="22"/>
        </w:rPr>
        <w:lastRenderedPageBreak/>
        <w:t xml:space="preserve">simulation by using OpenMP [2], MPI [3], and such. These approaches directly manage multiple CPU to run simultaneously, simulating different drug samples. </w:t>
      </w:r>
      <w:r w:rsidR="004F3E93">
        <w:rPr>
          <w:rFonts w:ascii="Times New Roman" w:hAnsi="Times New Roman" w:cs="Times New Roman"/>
          <w:sz w:val="22"/>
          <w:szCs w:val="22"/>
        </w:rPr>
        <w:t xml:space="preserve">These approaches find major bottleneck when simulating thousands of drug samples become the norm. </w:t>
      </w:r>
      <w:r w:rsidR="00A732FF">
        <w:rPr>
          <w:rFonts w:ascii="Times New Roman" w:hAnsi="Times New Roman" w:cs="Times New Roman"/>
          <w:sz w:val="22"/>
          <w:szCs w:val="22"/>
        </w:rPr>
        <w:t>One of</w:t>
      </w:r>
      <w:r w:rsidR="00761704">
        <w:rPr>
          <w:rFonts w:ascii="Times New Roman" w:hAnsi="Times New Roman" w:cs="Times New Roman"/>
          <w:sz w:val="22"/>
          <w:szCs w:val="22"/>
        </w:rPr>
        <w:t xml:space="preserve"> common</w:t>
      </w:r>
      <w:r w:rsidR="004F3E93">
        <w:rPr>
          <w:rFonts w:ascii="Times New Roman" w:hAnsi="Times New Roman" w:cs="Times New Roman"/>
          <w:sz w:val="22"/>
          <w:szCs w:val="22"/>
        </w:rPr>
        <w:t xml:space="preserve"> CPU parallel computing </w:t>
      </w:r>
      <w:r w:rsidR="00761704">
        <w:rPr>
          <w:rFonts w:ascii="Times New Roman" w:hAnsi="Times New Roman" w:cs="Times New Roman"/>
          <w:sz w:val="22"/>
          <w:szCs w:val="22"/>
        </w:rPr>
        <w:t>uses 10 CPUs, means it can only handle 10 drug samples in the same time.</w:t>
      </w:r>
    </w:p>
    <w:p w14:paraId="23338E7E" w14:textId="32B495DA"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berghoff and their result)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(CiS) framework developed by Berghoff et al. [8] provides a modular and parallel design for simulating biological tissue growth and development. This flexibility allows researchers to configure various model assumptions for diverse research questions. A key application of CiS was the simulation of a 1000³ voxel-sized cancerous tissue at sub-cellular resolution, showcasing its ability to handle complex biological processes with high detail.</w:t>
      </w:r>
    </w:p>
    <w:p w14:paraId="6A38A908" w14:textId="7A109310"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other GPU simulations and their result)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[9]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[10].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[11].  </w:t>
      </w:r>
    </w:p>
    <w:p w14:paraId="0D866706" w14:textId="5E373D12" w:rsidR="006B2226"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in silico contribution to treat cardiac conditions) </w:t>
      </w:r>
      <w:r w:rsidR="006B2226" w:rsidRPr="009424EB">
        <w:rPr>
          <w:rFonts w:ascii="Times New Roman" w:hAnsi="Times New Roman" w:cs="Times New Roman"/>
          <w:sz w:val="22"/>
          <w:szCs w:val="22"/>
        </w:rPr>
        <w:t xml:space="preserve">Recent work has increasingly 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in silico simulations could assess drug responses </w:t>
      </w:r>
      <w:r w:rsidR="006B2226" w:rsidRPr="009424EB">
        <w:rPr>
          <w:rFonts w:ascii="Times New Roman" w:hAnsi="Times New Roman" w:cs="Times New Roman"/>
          <w:sz w:val="22"/>
          <w:szCs w:val="22"/>
        </w:rPr>
        <w:t xml:space="preserve">and inform strategies for treating genetic cardiac disorders [12].  </w:t>
      </w:r>
    </w:p>
    <w:p w14:paraId="4080C04A" w14:textId="5C591295" w:rsidR="00573CB7"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gap in cardiotoxicity prediction)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r w:rsidRPr="0029792B">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320452D1" w:rsidR="006F5169" w:rsidRDefault="00FF0A57"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steps) </w:t>
      </w:r>
      <w:r w:rsidR="006F5169"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006F5169"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006F5169" w:rsidRPr="009424EB">
        <w:rPr>
          <w:rFonts w:ascii="Times New Roman" w:hAnsi="Times New Roman" w:cs="Times New Roman"/>
          <w:sz w:val="22"/>
          <w:szCs w:val="22"/>
        </w:rPr>
        <w:t>replicate the parallelisation process and build their own GPU-based multi-sample simulation platforms.</w:t>
      </w:r>
    </w:p>
    <w:p w14:paraId="383BC8A6" w14:textId="23B241AF" w:rsidR="007C5945" w:rsidRPr="009424EB" w:rsidRDefault="00031AF5" w:rsidP="007C5945">
      <w:pPr>
        <w:ind w:firstLine="284"/>
        <w:jc w:val="both"/>
        <w:rPr>
          <w:rFonts w:ascii="Times New Roman" w:hAnsi="Times New Roman" w:cs="Times New Roman"/>
          <w:sz w:val="22"/>
          <w:szCs w:val="22"/>
        </w:rPr>
      </w:pPr>
      <w:r>
        <w:rPr>
          <w:rFonts w:ascii="Times New Roman" w:hAnsi="Times New Roman" w:cs="Times New Roman"/>
          <w:sz w:val="22"/>
          <w:szCs w:val="22"/>
        </w:rPr>
        <w:t>(</w:t>
      </w:r>
      <w:r w:rsidR="00973EFA">
        <w:rPr>
          <w:rFonts w:ascii="Times New Roman" w:hAnsi="Times New Roman" w:cs="Times New Roman"/>
          <w:sz w:val="22"/>
          <w:szCs w:val="22"/>
        </w:rPr>
        <w:t>CellML for this research</w:t>
      </w:r>
      <w:r>
        <w:rPr>
          <w:rFonts w:ascii="Times New Roman" w:hAnsi="Times New Roman" w:cs="Times New Roman"/>
          <w:sz w:val="22"/>
          <w:szCs w:val="22"/>
        </w:rPr>
        <w:t xml:space="preserve">) </w:t>
      </w:r>
      <w:r w:rsidR="007C5945">
        <w:rPr>
          <w:rFonts w:ascii="Times New Roman" w:hAnsi="Times New Roman" w:cs="Times New Roman"/>
          <w:sz w:val="22"/>
          <w:szCs w:val="22"/>
        </w:rPr>
        <w:t xml:space="preserve">This research is possible due to the flexibility to obtain a computational model of a biological cell. This flexibility offered by the CellML platform. </w:t>
      </w:r>
      <w:r w:rsidR="007C5945" w:rsidRPr="001F3095">
        <w:rPr>
          <w:rFonts w:ascii="Times New Roman" w:hAnsi="Times New Roman" w:cs="Times New Roman"/>
          <w:sz w:val="22"/>
          <w:szCs w:val="22"/>
        </w:rPr>
        <w:t xml:space="preserve">CellML is an XML-based language created to represent mathematical models </w:t>
      </w:r>
      <w:r w:rsidR="007C5945">
        <w:rPr>
          <w:rFonts w:ascii="Times New Roman" w:hAnsi="Times New Roman" w:cs="Times New Roman"/>
          <w:sz w:val="22"/>
          <w:szCs w:val="22"/>
        </w:rPr>
        <w:t>of a biological cell, enabling</w:t>
      </w:r>
      <w:r w:rsidR="007C5945" w:rsidRPr="001F3095">
        <w:rPr>
          <w:rFonts w:ascii="Times New Roman" w:hAnsi="Times New Roman" w:cs="Times New Roman"/>
          <w:sz w:val="22"/>
          <w:szCs w:val="22"/>
        </w:rPr>
        <w:t xml:space="preserve"> researchers</w:t>
      </w:r>
      <w:r w:rsidR="007C5945">
        <w:rPr>
          <w:rFonts w:ascii="Times New Roman" w:hAnsi="Times New Roman" w:cs="Times New Roman"/>
          <w:sz w:val="22"/>
          <w:szCs w:val="22"/>
        </w:rPr>
        <w:t xml:space="preserve"> to share their models</w:t>
      </w:r>
      <w:r w:rsidR="007C5945" w:rsidRPr="001F3095">
        <w:rPr>
          <w:rFonts w:ascii="Times New Roman" w:hAnsi="Times New Roman" w:cs="Times New Roman"/>
          <w:sz w:val="22"/>
          <w:szCs w:val="22"/>
        </w:rPr>
        <w:t xml:space="preserve"> and </w:t>
      </w:r>
      <w:r w:rsidR="007C5945">
        <w:rPr>
          <w:rFonts w:ascii="Times New Roman" w:hAnsi="Times New Roman" w:cs="Times New Roman"/>
          <w:sz w:val="22"/>
          <w:szCs w:val="22"/>
        </w:rPr>
        <w:t>archive it</w:t>
      </w:r>
      <w:r w:rsidR="007C5945" w:rsidRPr="001F3095">
        <w:rPr>
          <w:rFonts w:ascii="Times New Roman" w:hAnsi="Times New Roman" w:cs="Times New Roman"/>
          <w:sz w:val="22"/>
          <w:szCs w:val="22"/>
        </w:rPr>
        <w:t xml:space="preserve"> [4]</w:t>
      </w:r>
      <w:r w:rsidR="007C5945">
        <w:rPr>
          <w:rFonts w:ascii="Times New Roman" w:hAnsi="Times New Roman" w:cs="Times New Roman"/>
          <w:sz w:val="22"/>
          <w:szCs w:val="22"/>
        </w:rPr>
        <w:t xml:space="preserve">. This platform also creates standard form that all researchers should follow and can be translated into various programming languages [5]. </w:t>
      </w:r>
      <w:r w:rsidR="007C5945" w:rsidRPr="009F7A69">
        <w:rPr>
          <w:rFonts w:ascii="Times New Roman" w:hAnsi="Times New Roman" w:cs="Times New Roman"/>
          <w:sz w:val="22"/>
          <w:szCs w:val="22"/>
        </w:rPr>
        <w:t xml:space="preserve">Additionally, the BioModels </w:t>
      </w:r>
      <w:r w:rsidR="00A01820">
        <w:rPr>
          <w:rFonts w:ascii="Times New Roman" w:hAnsi="Times New Roman" w:cs="Times New Roman"/>
          <w:noProof/>
          <w:sz w:val="22"/>
          <w:szCs w:val="22"/>
        </w:rPr>
        <w:lastRenderedPageBreak/>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r w:rsidR="007C5945" w:rsidRPr="009F7A69">
        <w:rPr>
          <w:rFonts w:ascii="Times New Roman" w:hAnsi="Times New Roman" w:cs="Times New Roman"/>
          <w:sz w:val="22"/>
          <w:szCs w:val="22"/>
        </w:rPr>
        <w:t>database</w:t>
      </w:r>
      <w:r w:rsidR="007C5945">
        <w:rPr>
          <w:rFonts w:ascii="Times New Roman" w:hAnsi="Times New Roman" w:cs="Times New Roman"/>
          <w:sz w:val="22"/>
          <w:szCs w:val="22"/>
        </w:rPr>
        <w:t xml:space="preserve"> in CellML</w:t>
      </w:r>
      <w:r w:rsidR="007C5945" w:rsidRPr="009F7A69">
        <w:rPr>
          <w:rFonts w:ascii="Times New Roman" w:hAnsi="Times New Roman" w:cs="Times New Roman"/>
          <w:sz w:val="22"/>
          <w:szCs w:val="22"/>
        </w:rPr>
        <w:t xml:space="preserve"> includes models converted from the Systems Biology Markup Language (SBML) into CellML, broadening accessibility and compatibility for researchers using these bioinformatics resources. [6</w:t>
      </w:r>
      <w:r w:rsidR="007C5945">
        <w:rPr>
          <w:rFonts w:ascii="Times New Roman" w:hAnsi="Times New Roman" w:cs="Times New Roman"/>
          <w:sz w:val="22"/>
          <w:szCs w:val="22"/>
        </w:rPr>
        <w:t>-</w:t>
      </w:r>
      <w:r w:rsidR="007C5945" w:rsidRPr="009F7A69">
        <w:rPr>
          <w:rFonts w:ascii="Times New Roman" w:hAnsi="Times New Roman" w:cs="Times New Roman"/>
          <w:sz w:val="22"/>
          <w:szCs w:val="22"/>
        </w:rPr>
        <w:t>7].</w:t>
      </w:r>
    </w:p>
    <w:p w14:paraId="5278CDCE" w14:textId="7BAAA451" w:rsidR="00A06F70" w:rsidRDefault="00973EFA"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(Modification from standard CellML code) </w:t>
      </w:r>
      <w:r w:rsidR="006F5169"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2A62913C"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 </w:t>
      </w:r>
      <w:r w:rsidR="001D6648">
        <w:rPr>
          <w:rFonts w:ascii="Times New Roman" w:hAnsi="Times New Roman" w:cs="Times New Roman"/>
          <w:sz w:val="22"/>
          <w:szCs w:val="22"/>
        </w:rPr>
        <w:t xml:space="preserve">(GPU memory usage in this research) </w:t>
      </w: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531AA486" w:rsidR="005920F6" w:rsidRPr="009424EB" w:rsidRDefault="00E64BA6" w:rsidP="001D6648">
      <w:pPr>
        <w:ind w:firstLine="284"/>
        <w:jc w:val="both"/>
        <w:rPr>
          <w:rFonts w:ascii="Times New Roman" w:hAnsi="Times New Roman" w:cs="Times New Roman"/>
          <w:sz w:val="22"/>
          <w:szCs w:val="22"/>
        </w:rPr>
      </w:pPr>
      <w:r>
        <w:rPr>
          <w:rFonts w:ascii="Times New Roman" w:hAnsi="Times New Roman" w:cs="Times New Roman"/>
          <w:sz w:val="22"/>
          <w:szCs w:val="22"/>
        </w:rPr>
        <w:t xml:space="preserve">(selecting core per block) </w:t>
      </w:r>
      <w:r w:rsidR="00A075BA"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44D6185C" w:rsidR="006F5169" w:rsidRPr="009424EB"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 xml:space="preserve">(sample size correlation to core per block) </w:t>
      </w:r>
      <w:r w:rsidR="005920F6"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ascii="Times New Roman" w:hAnsi="Times New Roman" w:cs="Times New Roman"/>
          <w:sz w:val="22"/>
          <w:szCs w:val="22"/>
        </w:rPr>
        <w:t xml:space="preserve"> Code in this research</w:t>
      </w:r>
      <w:r w:rsidR="005920F6" w:rsidRPr="009424EB">
        <w:rPr>
          <w:rFonts w:ascii="Times New Roman" w:hAnsi="Times New Roman" w:cs="Times New Roman"/>
          <w:sz w:val="22"/>
          <w:szCs w:val="22"/>
        </w:rPr>
        <w:t xml:space="preserve"> is configured to use 32 cores per block. However, </w:t>
      </w:r>
      <w:r>
        <w:rPr>
          <w:rFonts w:ascii="Times New Roman" w:hAnsi="Times New Roman" w:cs="Times New Roman"/>
          <w:sz w:val="22"/>
          <w:szCs w:val="22"/>
        </w:rPr>
        <w:t xml:space="preserve">if </w:t>
      </w:r>
      <w:r w:rsidR="005920F6" w:rsidRPr="009424EB">
        <w:rPr>
          <w:rFonts w:ascii="Times New Roman" w:hAnsi="Times New Roman" w:cs="Times New Roman"/>
          <w:sz w:val="22"/>
          <w:szCs w:val="22"/>
        </w:rPr>
        <w:t>hardware limitations</w:t>
      </w:r>
      <w:r>
        <w:rPr>
          <w:rFonts w:ascii="Times New Roman" w:hAnsi="Times New Roman" w:cs="Times New Roman"/>
          <w:sz w:val="22"/>
          <w:szCs w:val="22"/>
        </w:rPr>
        <w:t xml:space="preserve"> issue raises,</w:t>
      </w:r>
      <w:r w:rsidR="005920F6" w:rsidRPr="009424EB">
        <w:rPr>
          <w:rFonts w:ascii="Times New Roman" w:hAnsi="Times New Roman" w:cs="Times New Roman"/>
          <w:sz w:val="22"/>
          <w:szCs w:val="22"/>
        </w:rPr>
        <w:t xml:space="preserve"> the number of cores per block</w:t>
      </w:r>
      <w:r>
        <w:rPr>
          <w:rFonts w:ascii="Times New Roman" w:hAnsi="Times New Roman" w:cs="Times New Roman"/>
          <w:sz w:val="22"/>
          <w:szCs w:val="22"/>
        </w:rPr>
        <w:t xml:space="preserve"> decreased to</w:t>
      </w:r>
      <w:r w:rsidR="005920F6" w:rsidRPr="009424EB">
        <w:rPr>
          <w:rFonts w:ascii="Times New Roman" w:hAnsi="Times New Roman" w:cs="Times New Roman"/>
          <w:sz w:val="22"/>
          <w:szCs w:val="22"/>
        </w:rPr>
        <w:t xml:space="preserve"> 20</w:t>
      </w:r>
      <w:r>
        <w:rPr>
          <w:rFonts w:ascii="Times New Roman" w:hAnsi="Times New Roman" w:cs="Times New Roman"/>
          <w:sz w:val="22"/>
          <w:szCs w:val="22"/>
        </w:rPr>
        <w:t>, maintaining parallelisation.</w:t>
      </w:r>
    </w:p>
    <w:p w14:paraId="149B6B0B" w14:textId="50CEF564" w:rsidR="00E64BA6"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9C1794">
        <w:rPr>
          <w:rFonts w:ascii="Times New Roman" w:hAnsi="Times New Roman" w:cs="Times New Roman"/>
          <w:sz w:val="22"/>
          <w:szCs w:val="22"/>
        </w:rPr>
        <w:t>Offsetting for thread management</w:t>
      </w:r>
      <w:r>
        <w:rPr>
          <w:rFonts w:ascii="Times New Roman" w:hAnsi="Times New Roman" w:cs="Times New Roman"/>
          <w:sz w:val="22"/>
          <w:szCs w:val="22"/>
        </w:rPr>
        <w:t xml:space="preserve">) </w:t>
      </w:r>
      <w:r w:rsidRPr="00E64BA6">
        <w:rPr>
          <w:rFonts w:ascii="Times New Roman" w:hAnsi="Times New Roman" w:cs="Times New Roman"/>
          <w:sz w:val="22"/>
          <w:szCs w:val="22"/>
        </w:rPr>
        <w:t xml:space="preserve">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`sample_id`, with rows in the 1D array allocated accordingly. For example, in the `STATES` array with 43 columns, indices 0–42 correspond to `sample_id = 0`, indices 43–84 to `sample_id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421CBFC5" w:rsidR="005920F6" w:rsidRPr="009424EB" w:rsidRDefault="009C1794" w:rsidP="00E64BA6">
      <w:pPr>
        <w:ind w:firstLine="284"/>
        <w:jc w:val="both"/>
        <w:rPr>
          <w:rFonts w:ascii="Times New Roman" w:hAnsi="Times New Roman" w:cs="Times New Roman"/>
          <w:sz w:val="22"/>
          <w:szCs w:val="22"/>
        </w:rPr>
      </w:pPr>
      <w:r>
        <w:rPr>
          <w:rFonts w:ascii="Times New Roman" w:hAnsi="Times New Roman" w:cs="Times New Roman"/>
          <w:sz w:val="22"/>
          <w:szCs w:val="22"/>
        </w:rPr>
        <w:t xml:space="preserve">(Solving ODE) </w:t>
      </w:r>
      <w:r w:rsidR="005920F6" w:rsidRPr="009424EB">
        <w:rPr>
          <w:rFonts w:ascii="Times New Roman" w:hAnsi="Times New Roman" w:cs="Times New Roman"/>
          <w:sz w:val="22"/>
          <w:szCs w:val="22"/>
        </w:rPr>
        <w:t>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depending on the specific cell model: the Rush-</w:t>
      </w:r>
      <w:r w:rsidR="005920F6" w:rsidRPr="009424EB">
        <w:rPr>
          <w:rFonts w:ascii="Times New Roman" w:hAnsi="Times New Roman" w:cs="Times New Roman"/>
          <w:sz w:val="22"/>
          <w:szCs w:val="22"/>
        </w:rPr>
        <w:lastRenderedPageBreak/>
        <w:t>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77777777" w:rsidR="005920F6" w:rsidRPr="009424EB" w:rsidRDefault="005920F6"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32871959" w:rsidR="00464851"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Initially, the Rush-Larsen method was meant to be used across all cell models. However, when applied to ORd 2017 and ToR-ORd models, this approach exhibited instability, failing to provide reliable results. To address this limitation, a simple forward Euler method was implemented for these two models. </w:t>
      </w:r>
    </w:p>
    <w:p w14:paraId="592FA92C" w14:textId="6DA34242" w:rsidR="00464851" w:rsidRP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Pr="00464851">
        <w:rPr>
          <w:rFonts w:ascii="Times New Roman" w:hAnsi="Times New Roman" w:cs="Times New Roman"/>
          <w:sz w:val="22"/>
          <w:szCs w:val="22"/>
        </w:rPr>
        <w:t xml:space="preserve">This straightforward approach makes the method computationally simple and easy to implement. Mathematically,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xn+1=xn</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rate(xn)</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rate(xn)</w:t>
      </w:r>
      <w:r w:rsidRPr="00464851">
        <w:rPr>
          <w:rFonts w:ascii="Times New Roman" w:hAnsi="Times New Roman" w:cs="Times New Roman"/>
          <w:sz w:val="22"/>
          <w:szCs w:val="22"/>
        </w:rPr>
        <w:t xml:space="preserve"> represents the rate of change at </w:t>
      </w:r>
      <w:r w:rsidRPr="00464851">
        <w:rPr>
          <w:rFonts w:ascii="Times New Roman" w:hAnsi="Times New Roman" w:cs="Times New Roman"/>
          <w:i/>
          <w:iCs/>
          <w:sz w:val="22"/>
          <w:szCs w:val="22"/>
        </w:rPr>
        <w:t>xn</w:t>
      </w:r>
      <w:r w:rsidRPr="00464851">
        <w:rPr>
          <w:rFonts w:ascii="Times New Roman" w:hAnsi="Times New Roman" w:cs="Times New Roman"/>
          <w:sz w:val="22"/>
          <w:szCs w:val="22"/>
        </w:rPr>
        <w:t xml:space="preserve">, and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1E75A69D" w:rsidR="005920F6" w:rsidRPr="009424EB"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While the Euler method produced accurate and stable results, especially for the ORd 2017 and ToR-ORd models, it proved to be computationally intensive, significantly increasing the runtime.</w:t>
      </w:r>
      <w:r w:rsidR="009D09BB" w:rsidRPr="009424EB">
        <w:rPr>
          <w:rFonts w:ascii="Times New Roman" w:hAnsi="Times New Roman" w:cs="Times New Roman"/>
          <w:sz w:val="22"/>
          <w:szCs w:val="22"/>
        </w:rPr>
        <w:t xml:space="preserve"> </w:t>
      </w:r>
      <w:r w:rsidRPr="009424EB">
        <w:rPr>
          <w:rFonts w:ascii="Times New Roman" w:hAnsi="Times New Roman" w:cs="Times New Roman"/>
          <w:sz w:val="22"/>
          <w:szCs w:val="22"/>
        </w:rPr>
        <w:t>To optimise the parallelisation process, algorithm was simplified, enables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 while maintaining accuracy and to reduce numerical errors.</w:t>
      </w:r>
    </w:p>
    <w:p w14:paraId="532E0594" w14:textId="77777777"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simulation produces two distinct types of output files, a biomarker file and time-series data files, along with one intermediate cache file. The cache file is generated as the output of the `kernel_DoDrugSim` function, which represents the initial phase of the simulation. During this phase, the function runs the simulation for thousands of cycles (referred to as paces) to amplify the drug effects within the model. </w:t>
      </w:r>
    </w:p>
    <w:p w14:paraId="12F0F2C5" w14:textId="18BD2436"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After this initial phase, the `kernel_DoDrugSim_single` function is executed, which generates the biomarker file and the time-series data files. All output files are</w:t>
      </w:r>
      <w:r w:rsidR="00A76F1C">
        <w:rPr>
          <w:rFonts w:ascii="Times New Roman" w:hAnsi="Times New Roman" w:cs="Times New Roman"/>
          <w:sz w:val="22"/>
          <w:szCs w:val="22"/>
        </w:rPr>
        <w:t xml:space="preserve"> </w:t>
      </w:r>
      <w:r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Pr="009424EB">
        <w:rPr>
          <w:rFonts w:ascii="Times New Roman" w:hAnsi="Times New Roman" w:cs="Times New Roman"/>
          <w:sz w:val="22"/>
          <w:szCs w:val="22"/>
        </w:rPr>
        <w:t xml:space="preserve">`result` directory for efficient storage and retrieval.  </w:t>
      </w:r>
    </w:p>
    <w:p w14:paraId="6C26626C" w14:textId="65D762AA" w:rsidR="00CC52FA" w:rsidRPr="009424EB"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qNet, qInward, and action potential shape analysis result. These biomarkers represent crucial physiological parameters simulated under drug influence, and they are instrumental for downstream </w:t>
      </w:r>
    </w:p>
    <w:p w14:paraId="4B1D728F" w14:textId="3D26C3C3" w:rsidR="00EF13F9" w:rsidRPr="00851403" w:rsidRDefault="00E64008" w:rsidP="00851403">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analyses, such as machine learning-based predictions.  The time-series file offers a detailed temporal view of each sample’s behaviour. Each sample has its own individual time-series file; thus, a simulation involving 2000 samples will result in 2000 time-series files. These files </w:t>
      </w:r>
      <w:r w:rsidR="0034247B">
        <w:rPr>
          <w:rFonts w:ascii="Times New Roman" w:hAnsi="Times New Roman" w:cs="Times New Roman"/>
          <w:noProof/>
          <w:sz w:val="22"/>
          <w:szCs w:val="22"/>
        </w:rPr>
        <w:lastRenderedPageBreak/>
        <mc:AlternateContent>
          <mc:Choice Requires="wps">
            <w:drawing>
              <wp:anchor distT="0" distB="0" distL="114300" distR="114300" simplePos="0" relativeHeight="251669504" behindDoc="0" locked="0" layoutInCell="1" allowOverlap="1" wp14:anchorId="21AC2E30" wp14:editId="7997A8CC">
                <wp:simplePos x="0" y="0"/>
                <wp:positionH relativeFrom="margin">
                  <wp:posOffset>113030</wp:posOffset>
                </wp:positionH>
                <wp:positionV relativeFrom="margin">
                  <wp:posOffset>0</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5CC64A73" w14:textId="6715C3F5" w:rsidR="00B307A4" w:rsidRDefault="00EA2D05" w:rsidP="00B307A4">
                            <w:pPr>
                              <w:rPr>
                                <w:rFonts w:ascii="Times New Roman" w:hAnsi="Times New Roman" w:cs="Times New Roman"/>
                                <w:sz w:val="22"/>
                                <w:szCs w:val="22"/>
                              </w:rPr>
                            </w:pPr>
                            <w:r w:rsidRPr="006D680B">
                              <w:rPr>
                                <w:noProof/>
                                <w:lang w:val="en-US"/>
                              </w:rPr>
                              <w:drawing>
                                <wp:inline distT="0" distB="0" distL="0" distR="0" wp14:anchorId="18C81EA8" wp14:editId="5AD35865">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34247B">
                              <w:rPr>
                                <w:rFonts w:ascii="Times New Roman" w:hAnsi="Times New Roman" w:cs="Times New Roman"/>
                                <w:sz w:val="22"/>
                                <w:szCs w:val="22"/>
                              </w:rPr>
                              <w:t xml:space="preserve"> </w:t>
                            </w:r>
                            <w:r w:rsidR="0034247B" w:rsidRPr="006D680B">
                              <w:rPr>
                                <w:noProof/>
                                <w:lang w:val="en-US"/>
                              </w:rPr>
                              <w:drawing>
                                <wp:inline distT="0" distB="0" distL="0" distR="0" wp14:anchorId="490B8909" wp14:editId="66EC6C77">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227937" w14:textId="77777777" w:rsidR="0034247B" w:rsidRPr="007C0AD7" w:rsidRDefault="0034247B" w:rsidP="00B307A4">
                            <w:pPr>
                              <w:rPr>
                                <w:rFonts w:ascii="Times New Roman" w:hAnsi="Times New Roman" w:cs="Times New Roman"/>
                                <w:sz w:val="22"/>
                                <w:szCs w:val="22"/>
                              </w:rPr>
                            </w:pPr>
                          </w:p>
                          <w:p w14:paraId="6070A3D3" w14:textId="1EF2CFA6" w:rsidR="00B307A4" w:rsidRPr="00891B97" w:rsidRDefault="00B307A4" w:rsidP="00B307A4">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B96743" w:rsidRPr="00891B97">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w:t>
                            </w:r>
                            <w:r w:rsidR="00B96743" w:rsidRPr="00891B97">
                              <w:rPr>
                                <w:rFonts w:ascii="Times New Roman" w:hAnsi="Times New Roman" w:cs="Times New Roman"/>
                                <w:sz w:val="18"/>
                                <w:szCs w:val="18"/>
                              </w:rPr>
                              <w:t>1</w:t>
                            </w:r>
                            <w:r w:rsidRPr="00891B97">
                              <w:rPr>
                                <w:rFonts w:ascii="Times New Roman" w:hAnsi="Times New Roman" w:cs="Times New Roman"/>
                                <w:sz w:val="18"/>
                                <w:szCs w:val="18"/>
                              </w:rPr>
                              <w:t xml:space="preserve">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2E30" id="_x0000_s1027" type="#_x0000_t202" style="position:absolute;left:0;text-align:left;margin-left:8.9pt;margin-top:0;width:442.3pt;height:265.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kvAGg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" filled="f" stroked="f" strokeweight=".5pt">
                <v:textbox>
                  <w:txbxContent>
                    <w:p w14:paraId="5CC64A73" w14:textId="6715C3F5" w:rsidR="00B307A4" w:rsidRDefault="00EA2D05" w:rsidP="00B307A4">
                      <w:pPr>
                        <w:rPr>
                          <w:rFonts w:ascii="Times New Roman" w:hAnsi="Times New Roman" w:cs="Times New Roman"/>
                          <w:sz w:val="22"/>
                          <w:szCs w:val="22"/>
                        </w:rPr>
                      </w:pPr>
                      <w:r w:rsidRPr="006D680B">
                        <w:rPr>
                          <w:noProof/>
                          <w:lang w:val="en-US"/>
                        </w:rPr>
                        <w:drawing>
                          <wp:inline distT="0" distB="0" distL="0" distR="0" wp14:anchorId="18C81EA8" wp14:editId="5AD35865">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4247B">
                        <w:rPr>
                          <w:rFonts w:ascii="Times New Roman" w:hAnsi="Times New Roman" w:cs="Times New Roman"/>
                          <w:sz w:val="22"/>
                          <w:szCs w:val="22"/>
                        </w:rPr>
                        <w:t xml:space="preserve"> </w:t>
                      </w:r>
                      <w:r w:rsidR="0034247B" w:rsidRPr="006D680B">
                        <w:rPr>
                          <w:noProof/>
                          <w:lang w:val="en-US"/>
                        </w:rPr>
                        <w:drawing>
                          <wp:inline distT="0" distB="0" distL="0" distR="0" wp14:anchorId="490B8909" wp14:editId="66EC6C77">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227937" w14:textId="77777777" w:rsidR="0034247B" w:rsidRPr="007C0AD7" w:rsidRDefault="0034247B" w:rsidP="00B307A4">
                      <w:pPr>
                        <w:rPr>
                          <w:rFonts w:ascii="Times New Roman" w:hAnsi="Times New Roman" w:cs="Times New Roman"/>
                          <w:sz w:val="22"/>
                          <w:szCs w:val="22"/>
                        </w:rPr>
                      </w:pPr>
                    </w:p>
                    <w:p w14:paraId="6070A3D3" w14:textId="1EF2CFA6" w:rsidR="00B307A4" w:rsidRPr="00891B97" w:rsidRDefault="00B307A4" w:rsidP="00B307A4">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B96743" w:rsidRPr="00891B97">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w:t>
                      </w:r>
                      <w:r w:rsidR="00B96743" w:rsidRPr="00891B97">
                        <w:rPr>
                          <w:rFonts w:ascii="Times New Roman" w:hAnsi="Times New Roman" w:cs="Times New Roman"/>
                          <w:sz w:val="18"/>
                          <w:szCs w:val="18"/>
                        </w:rPr>
                        <w:t>1</w:t>
                      </w:r>
                      <w:r w:rsidRPr="00891B97">
                        <w:rPr>
                          <w:rFonts w:ascii="Times New Roman" w:hAnsi="Times New Roman" w:cs="Times New Roman"/>
                          <w:sz w:val="18"/>
                          <w:szCs w:val="18"/>
                        </w:rPr>
                        <w:t xml:space="preserve"> model, compared to CPU simulation in non-drug and under-drug situation.</w:t>
                      </w:r>
                    </w:p>
                  </w:txbxContent>
                </v:textbox>
                <w10:wrap type="square" anchorx="margin" anchory="margin"/>
              </v:shape>
            </w:pict>
          </mc:Fallback>
        </mc:AlternateContent>
      </w:r>
      <w:r w:rsidRPr="009424EB">
        <w:rPr>
          <w:rFonts w:ascii="Times New Roman" w:hAnsi="Times New Roman" w:cs="Times New Roman"/>
          <w:sz w:val="22"/>
          <w:szCs w:val="22"/>
        </w:rPr>
        <w:t xml:space="preserve">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22F81070" w14:textId="127EBE77"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192E072E" w:rsidR="0049082F" w:rsidRDefault="00716C35" w:rsidP="0049082F">
      <w:pPr>
        <w:ind w:firstLine="284"/>
        <w:jc w:val="both"/>
        <w:rPr>
          <w:rFonts w:ascii="Times New Roman" w:hAnsi="Times New Roman" w:cs="Times New Roman"/>
          <w:sz w:val="22"/>
          <w:szCs w:val="22"/>
        </w:rPr>
      </w:pPr>
      <w:r w:rsidRPr="00716C35">
        <w:rPr>
          <w:rFonts w:ascii="Times New Roman" w:hAnsi="Times New Roman" w:cs="Times New Roman"/>
          <w:sz w:val="22"/>
          <w:szCs w:val="22"/>
        </w:rPr>
        <w:t>This chapter presents the results of GPU-based simulations for three cardiac cell models: ORd 2011, ORd 2017, and ToR-ORd. It analyses simulation accuracy, drug-induced changes, and computational performance. Two types of simulations were 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70AFA71D" w:rsidR="00E50FFE" w:rsidRPr="00464851" w:rsidRDefault="0049082F" w:rsidP="0049082F">
      <w:pPr>
        <w:ind w:firstLine="284"/>
        <w:jc w:val="both"/>
        <w:rPr>
          <w:rFonts w:ascii="Times New Roman" w:hAnsi="Times New Roman" w:cs="Times New Roman"/>
          <w:sz w:val="22"/>
          <w:szCs w:val="22"/>
        </w:rPr>
      </w:pPr>
      <w:r>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p>
    <w:p w14:paraId="7F5D1678" w14:textId="459ADF4A"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0FF06E78"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ToR-ORd—the validation process involved calculating the mean absolute error (MAE) between the GPU and CPU results and evaluating key electrophysiological biomarkers, including action potential duration (APD) and calcium transient properties.</w:t>
      </w:r>
    </w:p>
    <w:p w14:paraId="4ABFF798" w14:textId="4D59470A" w:rsidR="00464851" w:rsidRDefault="0038131E" w:rsidP="00EF13F9">
      <w:pPr>
        <w:ind w:firstLine="284"/>
        <w:jc w:val="both"/>
        <w:rPr>
          <w:rFonts w:ascii="Times New Roman" w:hAnsi="Times New Roman" w:cs="Times New Roman"/>
          <w:sz w:val="22"/>
          <w:szCs w:val="22"/>
        </w:rPr>
      </w:pPr>
      <w:r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2. </w:t>
      </w:r>
    </w:p>
    <w:p w14:paraId="0CEBF40A" w14:textId="75912F80" w:rsidR="00122D85" w:rsidRDefault="0038131E" w:rsidP="00D1193A">
      <w:pPr>
        <w:ind w:firstLine="284"/>
        <w:jc w:val="both"/>
        <w:rPr>
          <w:rFonts w:ascii="Times New Roman" w:hAnsi="Times New Roman" w:cs="Times New Roman"/>
          <w:sz w:val="22"/>
          <w:szCs w:val="22"/>
        </w:rPr>
      </w:pPr>
      <w:r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from ORd 2017 model, both with and without drug simulation.</w:t>
      </w:r>
    </w:p>
    <w:p w14:paraId="218DF57A" w14:textId="0811674F" w:rsidR="00B96743" w:rsidRDefault="00897C3D" w:rsidP="00D1193A">
      <w:pPr>
        <w:ind w:firstLine="284"/>
        <w:jc w:val="both"/>
        <w:rPr>
          <w:rFonts w:ascii="Times New Roman" w:hAnsi="Times New Roman" w:cs="Times New Roman"/>
          <w:sz w:val="22"/>
          <w:szCs w:val="22"/>
        </w:rPr>
      </w:pPr>
      <w:r>
        <w:rPr>
          <w:rFonts w:ascii="Times New Roman" w:hAnsi="Times New Roman" w:cs="Times New Roman"/>
          <w:noProof/>
          <w:sz w:val="22"/>
          <w:szCs w:val="22"/>
        </w:rPr>
        <w:lastRenderedPageBreak/>
        <mc:AlternateContent>
          <mc:Choice Requires="wps">
            <w:drawing>
              <wp:anchor distT="0" distB="0" distL="114300" distR="114300" simplePos="0" relativeHeight="251682816" behindDoc="0" locked="0" layoutInCell="1" allowOverlap="1" wp14:anchorId="55BF1556" wp14:editId="5B77EDDD">
                <wp:simplePos x="0" y="0"/>
                <wp:positionH relativeFrom="margin">
                  <wp:posOffset>-288</wp:posOffset>
                </wp:positionH>
                <wp:positionV relativeFrom="margin">
                  <wp:posOffset>3129012</wp:posOffset>
                </wp:positionV>
                <wp:extent cx="5733415" cy="34690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74A715AB">
                                  <wp:extent cx="2384425" cy="2686050"/>
                                  <wp:effectExtent l="0" t="0" r="3175"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6D680B">
                              <w:rPr>
                                <w:noProof/>
                                <w:lang w:val="en-US"/>
                              </w:rPr>
                              <w:drawing>
                                <wp:inline distT="0" distB="0" distL="0" distR="0" wp14:anchorId="48F7399B" wp14:editId="4F69CC25">
                                  <wp:extent cx="3030220" cy="2724346"/>
                                  <wp:effectExtent l="0" t="0" r="5080"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1556" id="Text Box 20" o:spid="_x0000_s1028" type="#_x0000_t202" style="position:absolute;left:0;text-align:left;margin-left:0;margin-top:246.4pt;width:451.45pt;height:27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U6xHA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" filled="f" stroked="f" strokeweight=".5pt">
                <v:textbo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74A715AB">
                            <wp:extent cx="2384425" cy="2686050"/>
                            <wp:effectExtent l="0" t="0" r="3175"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6D680B">
                        <w:rPr>
                          <w:noProof/>
                          <w:lang w:val="en-US"/>
                        </w:rPr>
                        <w:drawing>
                          <wp:inline distT="0" distB="0" distL="0" distR="0" wp14:anchorId="48F7399B" wp14:editId="4F69CC25">
                            <wp:extent cx="3030220" cy="2724346"/>
                            <wp:effectExtent l="0" t="0" r="5080"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 xml:space="preserve">In the ToR-ORd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w:t>
      </w:r>
      <w:r w:rsidR="00142D78">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5539FD75" wp14:editId="04F19251">
                <wp:simplePos x="0" y="0"/>
                <wp:positionH relativeFrom="margin">
                  <wp:align>left</wp:align>
                </wp:positionH>
                <wp:positionV relativeFrom="margin">
                  <wp:align>top</wp:align>
                </wp:positionV>
                <wp:extent cx="5772785" cy="324612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72785" cy="3246634"/>
                        </a:xfrm>
                        <a:prstGeom prst="rect">
                          <a:avLst/>
                        </a:prstGeom>
                        <a:noFill/>
                        <a:ln w="6350">
                          <a:noFill/>
                        </a:ln>
                      </wps:spPr>
                      <wps:txb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FD75" id="Text Box 18" o:spid="_x0000_s1029" type="#_x0000_t202" style="position:absolute;left:0;text-align:left;margin-left:0;margin-top:0;width:454.55pt;height:255.6pt;z-index:2516787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" filled="f" stroked="f" strokeweight=".5pt">
                <v:textbo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GPU's suitability for large-scale, high-fidelity simulations.</w:t>
      </w:r>
      <w:r w:rsidR="00D1193A">
        <w:rPr>
          <w:rFonts w:ascii="Times New Roman" w:hAnsi="Times New Roman" w:cs="Times New Roman"/>
          <w:sz w:val="22"/>
          <w:szCs w:val="22"/>
        </w:rPr>
        <w:t xml:space="preserve"> ToR-ORd simulation result is shown in Figure 4. This figure shows action potential curve from drug-free, and drug-induced simulation.</w:t>
      </w:r>
    </w:p>
    <w:p w14:paraId="25DAB056" w14:textId="1D69DFF3" w:rsidR="0038131E" w:rsidRP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7C5773E3" w14:textId="24070FBD" w:rsidR="00851403" w:rsidRDefault="00851403" w:rsidP="00936B24">
      <w:pPr>
        <w:jc w:val="both"/>
        <w:rPr>
          <w:rFonts w:ascii="Times New Roman" w:hAnsi="Times New Roman" w:cs="Times New Roman"/>
          <w:b/>
          <w:bCs/>
          <w:sz w:val="22"/>
          <w:szCs w:val="22"/>
        </w:rPr>
      </w:pPr>
    </w:p>
    <w:p w14:paraId="77B446D6" w14:textId="576B25C8"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7F70A537"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Pr="00986009">
        <w:rPr>
          <w:rFonts w:ascii="Times New Roman" w:hAnsi="Times New Roman" w:cs="Times New Roman"/>
          <w:sz w:val="22"/>
          <w:szCs w:val="22"/>
        </w:rPr>
        <w:t xml:space="preserve">The computational time performance of GPU-based simulations was compared against </w:t>
      </w:r>
      <w:r w:rsidRPr="00986009">
        <w:rPr>
          <w:rFonts w:ascii="Times New Roman" w:hAnsi="Times New Roman" w:cs="Times New Roman"/>
          <w:sz w:val="22"/>
          <w:szCs w:val="22"/>
        </w:rPr>
        <w:lastRenderedPageBreak/>
        <w:t>both single-core and multi-core CPU implementations for the three cardiac cell models: ORd 2011, ORd 2017, and ToR-ORd. This comparison highlights the efficiency gains achieved through CUDA-based parallel processing on GPUs.</w:t>
      </w:r>
    </w:p>
    <w:p w14:paraId="015DE6F4" w14:textId="15090F76" w:rsidR="00986009" w:rsidRDefault="00897C3D" w:rsidP="00D12264">
      <w:pPr>
        <w:ind w:firstLine="284"/>
        <w:jc w:val="both"/>
        <w:rPr>
          <w:rFonts w:ascii="Times New Roman" w:hAnsi="Times New Roman" w:cs="Times New Roman"/>
          <w:sz w:val="22"/>
          <w:szCs w:val="22"/>
        </w:rPr>
      </w:pPr>
      <w:r w:rsidRPr="009424EB">
        <w:rPr>
          <w:rFonts w:ascii="Times New Roman" w:hAnsi="Times New Roman" w:cs="Times New Roman"/>
          <w:noProof/>
          <w:sz w:val="22"/>
          <w:szCs w:val="22"/>
        </w:rPr>
        <mc:AlternateContent>
          <mc:Choice Requires="wps">
            <w:drawing>
              <wp:anchor distT="45720" distB="45720" distL="114300" distR="114300" simplePos="0" relativeHeight="251684864" behindDoc="0" locked="0" layoutInCell="1" allowOverlap="1" wp14:anchorId="17A2DC77" wp14:editId="5DF0765A">
                <wp:simplePos x="0" y="0"/>
                <wp:positionH relativeFrom="margin">
                  <wp:posOffset>-296545</wp:posOffset>
                </wp:positionH>
                <wp:positionV relativeFrom="margin">
                  <wp:posOffset>0</wp:posOffset>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2DC77" id="_x0000_s1030" type="#_x0000_t202" style="position:absolute;left:0;text-align:left;margin-left:-23.35pt;margin-top:0;width:498pt;height:13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" filled="f" stroked="f">
                <v:textbo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v:textbox>
                <w10:wrap type="square" anchorx="margin" anchory="margin"/>
              </v:shape>
            </w:pict>
          </mc:Fallback>
        </mc:AlternateContent>
      </w:r>
      <w:r w:rsidR="00986009"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6561FFE2"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678F85EB"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The ToR-ORd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7129FD18" w:rsidR="00A648F5" w:rsidRDefault="00986009" w:rsidP="00897C3D">
      <w:pPr>
        <w:ind w:firstLine="284"/>
        <w:jc w:val="both"/>
        <w:rPr>
          <w:rFonts w:ascii="Times New Roman" w:hAnsi="Times New Roman" w:cs="Times New Roman"/>
          <w:sz w:val="22"/>
          <w:szCs w:val="22"/>
        </w:rPr>
      </w:pPr>
      <w:r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55EA96F7" w14:textId="77777777" w:rsidR="00A648F5" w:rsidRDefault="00F601D5" w:rsidP="00A648F5">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proven its ability to aim a more computationally efficient </w:t>
      </w:r>
      <w:r>
        <w:rPr>
          <w:rFonts w:ascii="Times New Roman" w:hAnsi="Times New Roman" w:cs="Times New Roman"/>
          <w:i/>
          <w:iCs/>
          <w:sz w:val="22"/>
          <w:szCs w:val="22"/>
        </w:rPr>
        <w:t xml:space="preserve">in silico </w:t>
      </w:r>
      <w:r>
        <w:rPr>
          <w:rFonts w:ascii="Times New Roman" w:hAnsi="Times New Roman" w:cs="Times New Roman"/>
          <w:sz w:val="22"/>
          <w:szCs w:val="22"/>
        </w:rPr>
        <w:t xml:space="preserve">cardiotoxicity prediction by leveraging CUDA-based parallel processing. CUDA enables this research to do massive parallelisation with up to 40.91 times </w:t>
      </w:r>
    </w:p>
    <w:p w14:paraId="7083E446" w14:textId="19F61E76" w:rsidR="00F601D5" w:rsidRDefault="00F601D5" w:rsidP="00A648F5">
      <w:pPr>
        <w:ind w:firstLine="284"/>
        <w:jc w:val="both"/>
        <w:rPr>
          <w:rFonts w:ascii="Times New Roman" w:hAnsi="Times New Roman" w:cs="Times New Roman"/>
          <w:sz w:val="22"/>
          <w:szCs w:val="22"/>
        </w:rPr>
      </w:pPr>
      <w:r>
        <w:rPr>
          <w:rFonts w:ascii="Times New Roman" w:hAnsi="Times New Roman" w:cs="Times New Roman"/>
          <w:sz w:val="22"/>
          <w:szCs w:val="22"/>
        </w:rPr>
        <w:t>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608956F7" w:rsidR="00110F07" w:rsidRDefault="00032231"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While this research demonstrates significant advancement in GPU-based parallel simulations </w:t>
      </w:r>
      <w:r>
        <w:rPr>
          <w:rFonts w:ascii="Times New Roman" w:hAnsi="Times New Roman" w:cs="Times New Roman"/>
          <w:i/>
          <w:iCs/>
          <w:sz w:val="22"/>
          <w:szCs w:val="22"/>
        </w:rPr>
        <w:t>in silico</w:t>
      </w:r>
      <w:r>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6E5C5F8A" w:rsidR="00032231" w:rsidRDefault="0073672D" w:rsidP="00D12264">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Pr>
          <w:rFonts w:ascii="Times New Roman" w:hAnsi="Times New Roman" w:cs="Times New Roman"/>
          <w:sz w:val="22"/>
          <w:szCs w:val="22"/>
        </w:rPr>
        <w:t xml:space="preserve"> More testing on diverse </w:t>
      </w:r>
      <w:r w:rsidRPr="0073672D">
        <w:rPr>
          <w:rFonts w:ascii="Times New Roman" w:hAnsi="Times New Roman" w:cs="Times New Roman"/>
          <w:sz w:val="22"/>
          <w:szCs w:val="22"/>
        </w:rPr>
        <w:t>GPU hardware models would provide insights into performance variations across systems, ensuring broader applicability</w:t>
      </w:r>
      <w:r>
        <w:rPr>
          <w:rFonts w:ascii="Times New Roman" w:hAnsi="Times New Roman" w:cs="Times New Roman"/>
          <w:sz w:val="22"/>
          <w:szCs w:val="22"/>
        </w:rPr>
        <w:t xml:space="preserve">. </w:t>
      </w:r>
      <w:r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Center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EFB905F" w14:textId="7F563162"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Jason Sanders and Edward Kandrot. 2010. CUDA by Example: An Introduction to General-Purpose GPU Programming (1st. ed.). Addison-Wesley Professional.</w:t>
      </w:r>
    </w:p>
    <w:p w14:paraId="73DE679F" w14:textId="3B61A0A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2. “What is OpenMP?” Accessed: Nov. 10,</w:t>
      </w:r>
      <w:r>
        <w:rPr>
          <w:rFonts w:ascii="Times New Roman" w:hAnsi="Times New Roman" w:cs="Times New Roman"/>
          <w:sz w:val="22"/>
          <w:szCs w:val="22"/>
        </w:rPr>
        <w:t xml:space="preserve"> </w:t>
      </w:r>
      <w:r w:rsidRPr="00413D1E">
        <w:rPr>
          <w:rFonts w:ascii="Times New Roman" w:hAnsi="Times New Roman" w:cs="Times New Roman"/>
          <w:sz w:val="22"/>
          <w:szCs w:val="22"/>
        </w:rPr>
        <w:t>2024. [Online].</w:t>
      </w:r>
      <w:r>
        <w:rPr>
          <w:rFonts w:ascii="Times New Roman" w:hAnsi="Times New Roman" w:cs="Times New Roman"/>
          <w:sz w:val="22"/>
          <w:szCs w:val="22"/>
        </w:rPr>
        <w:t xml:space="preserve"> </w:t>
      </w:r>
      <w:r w:rsidRPr="00413D1E">
        <w:rPr>
          <w:rFonts w:ascii="Times New Roman" w:hAnsi="Times New Roman" w:cs="Times New Roman"/>
          <w:sz w:val="22"/>
          <w:szCs w:val="22"/>
        </w:rPr>
        <w:t>Available:</w:t>
      </w:r>
      <w:r>
        <w:rPr>
          <w:rFonts w:ascii="Times New Roman" w:hAnsi="Times New Roman" w:cs="Times New Roman"/>
          <w:sz w:val="22"/>
          <w:szCs w:val="22"/>
        </w:rPr>
        <w:t xml:space="preserve"> </w:t>
      </w:r>
      <w:r w:rsidRPr="00413D1E">
        <w:rPr>
          <w:rFonts w:ascii="Times New Roman" w:hAnsi="Times New Roman" w:cs="Times New Roman"/>
          <w:sz w:val="22"/>
          <w:szCs w:val="22"/>
        </w:rPr>
        <w:t>https://cvw.cac.cornell.edu/openmp/intro/wha</w:t>
      </w:r>
      <w:r>
        <w:rPr>
          <w:rFonts w:ascii="Times New Roman" w:hAnsi="Times New Roman" w:cs="Times New Roman"/>
          <w:sz w:val="22"/>
          <w:szCs w:val="22"/>
        </w:rPr>
        <w:t>t</w:t>
      </w:r>
      <w:r w:rsidRPr="00413D1E">
        <w:rPr>
          <w:rFonts w:ascii="Times New Roman" w:hAnsi="Times New Roman" w:cs="Times New Roman"/>
          <w:sz w:val="22"/>
          <w:szCs w:val="22"/>
        </w:rPr>
        <w:t>-is-openmp.</w:t>
      </w:r>
    </w:p>
    <w:p w14:paraId="363A3A2B" w14:textId="52B09DC1"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3. R. L. Graham, G. M. Shipman, B. W. Barrett, R. H. Castain, G. Bosilca and A. Lumsdaine, "Open MPI: A High-Performance, Heterogeneous MPI," 2006 IEEE International Conference on Cluster Computing, Barcelona, Spain, 2006, pp. 1-9, doi: 10.1109/CLUSTR.2006.311904.</w:t>
      </w:r>
    </w:p>
    <w:p w14:paraId="72D663C0" w14:textId="1FA63E8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4. A. Garny et al., “CellML and associated tools and techniques,” Sep. 13, 2008, Royal Society. doi: 10.1098/rsta.2008.0094.</w:t>
      </w:r>
    </w:p>
    <w:p w14:paraId="25BDBEAD" w14:textId="7B9A202A"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5.</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Gómez, J. Carro, E. Pueyo, A. Pérez, A. Oliván, and V. Monasterio, “In Silico Modeling and Validation of the Effect of </w:t>
      </w:r>
      <w:r w:rsidRPr="00413D1E">
        <w:rPr>
          <w:rFonts w:ascii="Times New Roman" w:hAnsi="Times New Roman" w:cs="Times New Roman"/>
          <w:sz w:val="22"/>
          <w:szCs w:val="22"/>
        </w:rPr>
        <w:t>Calcium-Activated Potassium Current on Ventricular Repolarization in Failing Myocytes,” IEEE J Biomed Health Inform, pp. 1–9, 2024, doi: 10.1109/JBHI.2024.3495027.</w:t>
      </w:r>
    </w:p>
    <w:p w14:paraId="7B48CB7C" w14:textId="2B679BB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6.</w:t>
      </w:r>
      <w:r>
        <w:rPr>
          <w:rFonts w:ascii="Times New Roman" w:hAnsi="Times New Roman" w:cs="Times New Roman"/>
          <w:sz w:val="22"/>
          <w:szCs w:val="22"/>
        </w:rPr>
        <w:t xml:space="preserve"> </w:t>
      </w:r>
      <w:r w:rsidRPr="00413D1E">
        <w:rPr>
          <w:rFonts w:ascii="Times New Roman" w:hAnsi="Times New Roman" w:cs="Times New Roman"/>
          <w:sz w:val="22"/>
          <w:szCs w:val="22"/>
        </w:rPr>
        <w:t>C. M. Lloyd, J. R. Lawson, P. J. Hunter, and P. F. Nielsen, “The CellML Model Repository,” Bioinformatics, vol. 24, no. 18, pp. 2122–2123, 2008, doi: 10.1093/bioinformatics/btn390.</w:t>
      </w:r>
    </w:p>
    <w:p w14:paraId="32B34FAE" w14:textId="112F791C"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7.</w:t>
      </w:r>
      <w:r>
        <w:rPr>
          <w:rFonts w:ascii="Times New Roman" w:hAnsi="Times New Roman" w:cs="Times New Roman"/>
          <w:sz w:val="22"/>
          <w:szCs w:val="22"/>
        </w:rPr>
        <w:t xml:space="preserve"> </w:t>
      </w:r>
      <w:r w:rsidRPr="00413D1E">
        <w:rPr>
          <w:rFonts w:ascii="Times New Roman" w:hAnsi="Times New Roman" w:cs="Times New Roman"/>
          <w:sz w:val="22"/>
          <w:szCs w:val="22"/>
        </w:rPr>
        <w:t>N. Le Novère et al., “BioModels Database: a free, centralized database of curated, published, quantitative kinetic models of biochemical and cellular systems.,” Nucleic Acids Res, vol. 34, no. Database issue, 2006, doi: 10.1093/nar/gkj092.</w:t>
      </w:r>
    </w:p>
    <w:p w14:paraId="240494F6" w14:textId="2DDE2CD8"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8.</w:t>
      </w:r>
      <w:r>
        <w:rPr>
          <w:rFonts w:ascii="Times New Roman" w:hAnsi="Times New Roman" w:cs="Times New Roman"/>
          <w:sz w:val="22"/>
          <w:szCs w:val="22"/>
        </w:rPr>
        <w:t xml:space="preserve"> </w:t>
      </w:r>
      <w:r w:rsidRPr="00413D1E">
        <w:rPr>
          <w:rFonts w:ascii="Times New Roman" w:hAnsi="Times New Roman" w:cs="Times New Roman"/>
          <w:sz w:val="22"/>
          <w:szCs w:val="22"/>
        </w:rPr>
        <w:t>M. Berghoff, J. Rosenbauer, F. Hoffmann, and A. Schug, “Cells in Silico-introducing a high-performance framework for large-scale tissue modeling,” BMC Bioinformatics, vol. 21, no. 1, Oct. 2020, doi: 10.1186/s12859-020-03728-7.</w:t>
      </w:r>
    </w:p>
    <w:p w14:paraId="5ED37788" w14:textId="0D1BFF6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9.</w:t>
      </w:r>
      <w:r>
        <w:rPr>
          <w:rFonts w:ascii="Times New Roman" w:hAnsi="Times New Roman" w:cs="Times New Roman"/>
          <w:sz w:val="22"/>
          <w:szCs w:val="22"/>
        </w:rPr>
        <w:t xml:space="preserve"> </w:t>
      </w:r>
      <w:r w:rsidRPr="00413D1E">
        <w:rPr>
          <w:rFonts w:ascii="Times New Roman" w:hAnsi="Times New Roman" w:cs="Times New Roman"/>
          <w:sz w:val="22"/>
          <w:szCs w:val="22"/>
        </w:rPr>
        <w:t>M. Martínez-del-Amor, I. Pérez-Hurtado, D. Orellana-Martín, and M. J. Pérez-Jiménez, “Adaptative parallel simulators for bioinspired computing models,” Future Generation Computer Systems, vol. 107, pp. 469–484, Jun. 2020, doi: 10.1016/j.future.2020.02.012.</w:t>
      </w:r>
    </w:p>
    <w:p w14:paraId="719D9843" w14:textId="406DEB5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10.</w:t>
      </w:r>
      <w:r>
        <w:rPr>
          <w:rFonts w:ascii="Times New Roman" w:hAnsi="Times New Roman" w:cs="Times New Roman"/>
          <w:sz w:val="22"/>
          <w:szCs w:val="22"/>
        </w:rPr>
        <w:t xml:space="preserve"> </w:t>
      </w:r>
      <w:r w:rsidRPr="00413D1E">
        <w:rPr>
          <w:rFonts w:ascii="Times New Roman" w:hAnsi="Times New Roman" w:cs="Times New Roman"/>
          <w:sz w:val="22"/>
          <w:szCs w:val="22"/>
        </w:rPr>
        <w:t>S. McIntosh-Smith, J. Price, R. B. Sessions, and A. A. Ibarra, “High performance in silico virtual drug screening on many-core processors,” International Journal of High Performance Computing Applications, vol. 29, no. 2, pp. 119–134, May 2015, doi: 10.1177/1094342014528252.</w:t>
      </w:r>
    </w:p>
    <w:p w14:paraId="45E725D8" w14:textId="7777777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11.</w:t>
      </w:r>
      <w:r w:rsidRPr="00413D1E">
        <w:rPr>
          <w:rFonts w:ascii="Times New Roman" w:hAnsi="Times New Roman" w:cs="Times New Roman"/>
          <w:sz w:val="22"/>
          <w:szCs w:val="22"/>
        </w:rPr>
        <w:tab/>
        <w:t>P. Amar, M. Baillieul, D. Barth, B. LeCun, F. Quessette, and S. Vial, “Parallel Biological In Silico Simulation,” Nov. 2014, doi: 10.1007/978-3-319-09465-6_40.</w:t>
      </w:r>
    </w:p>
    <w:p w14:paraId="4FA3B1B3" w14:textId="57FEFAE5"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12.</w:t>
      </w:r>
      <w:r>
        <w:rPr>
          <w:rFonts w:ascii="Times New Roman" w:hAnsi="Times New Roman" w:cs="Times New Roman"/>
          <w:sz w:val="22"/>
          <w:szCs w:val="22"/>
        </w:rPr>
        <w:t xml:space="preserve"> </w:t>
      </w:r>
      <w:r w:rsidRPr="00413D1E">
        <w:rPr>
          <w:rFonts w:ascii="Times New Roman" w:hAnsi="Times New Roman" w:cs="Times New Roman"/>
          <w:sz w:val="22"/>
          <w:szCs w:val="22"/>
        </w:rPr>
        <w:t>D. G. Whittaker, J. C. Hancox, and H. Zhang, “In Silico Assestment of Pharmacotherapy for Human Atrial Patho-Electrophysiology Associated With hERG-Linked Short QT Syndrome” Jan. 2019, doi: 10.3389/fphys.2018.01888.</w:t>
      </w:r>
    </w:p>
    <w:p w14:paraId="55E4FEE3" w14:textId="407C55DC"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13.</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T. O'Hara, L. Virág, A. Varró, and Y. Rudy, “Simulation of the Undiseased Human Cardiac Ventricular Action Potential: Model Formulation and Experimental Validation.” 2011, PLOS Computational Biology 7(5): e1002061. Available:  https://doi.org/10.1371/journal.pcbi.1002061.</w:t>
      </w:r>
    </w:p>
    <w:p w14:paraId="4D1322A8" w14:textId="1EE9F7E0"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14.</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S. Dutta, K.C. Chang, K.A. Beattie, J. Sheng , P.N. Tran, W.W. Wu, M. Wu, D.G. Strauss, T. Colatsky, and Z. Li. "Optimization </w:t>
      </w:r>
      <w:r w:rsidRPr="00413D1E">
        <w:rPr>
          <w:rFonts w:ascii="Times New Roman" w:hAnsi="Times New Roman" w:cs="Times New Roman"/>
          <w:sz w:val="22"/>
          <w:szCs w:val="22"/>
        </w:rPr>
        <w:lastRenderedPageBreak/>
        <w:t xml:space="preserve">of an In silico Cardiac Cell Model for Proarrhythmia Risk Assessment." Front Physiol. Aug 2017 doi: 10.3389/fphys.2017.00616. </w:t>
      </w:r>
    </w:p>
    <w:p w14:paraId="722558DA" w14:textId="279FEC2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15.</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Tomek, Jakub et al. “Development, calibration, and validation of a novel human ventricular myocyte model in health, disease, and drug block.” eLife vol. 8 e48890. Dec 2019, doi:10.7554/eLife.48890. </w:t>
      </w:r>
    </w:p>
    <w:p w14:paraId="1DCE8A86" w14:textId="622DDBF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16.</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“Parallel Thread Execution ISA Version 8.5” Accessed: Nov. 24, 2024. [Online]. Available: https://docs.nvidia.com/cuda/parallel-thread-execution/index.html.</w:t>
      </w:r>
    </w:p>
    <w:p w14:paraId="17A4FCBE" w14:textId="383F746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17.</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C., Yves, C. D. Lontsi, and C. Pierre. "Rush-Larsen time-stepping methods of high order for stiff problems in cardiac electrophysiology." 2017, arXiv preprint arXiv:1712.02260.</w:t>
      </w:r>
    </w:p>
    <w:p w14:paraId="2F80B222" w14:textId="3405A188"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18.</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G.R. Mirams, Y. Cui, A. Sher, M. Fink, J. Cooper, B. M. Heath, et al. "Simulation of multiple ion channel block provides improved early prediction of compounds' clinical torsadogenic risk." 2011, Cardiovasc. Res. 91 (1), 53–61. doi:10.1093/cvr/cvr044.</w:t>
      </w:r>
    </w:p>
    <w:p w14:paraId="46FB7C66" w14:textId="77777777" w:rsidR="00BD0596" w:rsidRPr="00413D1E" w:rsidRDefault="00BD0596" w:rsidP="00BD0596">
      <w:pPr>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27E8" w14:textId="77777777" w:rsidR="00D6093A" w:rsidRDefault="00D6093A" w:rsidP="00190418">
      <w:r>
        <w:separator/>
      </w:r>
    </w:p>
  </w:endnote>
  <w:endnote w:type="continuationSeparator" w:id="0">
    <w:p w14:paraId="15F7CCCE" w14:textId="77777777" w:rsidR="00D6093A" w:rsidRDefault="00D6093A"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24D09" w14:textId="77777777" w:rsidR="00D6093A" w:rsidRDefault="00D6093A" w:rsidP="00190418">
      <w:r>
        <w:separator/>
      </w:r>
    </w:p>
  </w:footnote>
  <w:footnote w:type="continuationSeparator" w:id="0">
    <w:p w14:paraId="5C49F468" w14:textId="77777777" w:rsidR="00D6093A" w:rsidRDefault="00D6093A"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1AF5"/>
    <w:rsid w:val="00032231"/>
    <w:rsid w:val="00037924"/>
    <w:rsid w:val="00050C31"/>
    <w:rsid w:val="00057EFC"/>
    <w:rsid w:val="000722FF"/>
    <w:rsid w:val="000738E7"/>
    <w:rsid w:val="00095C12"/>
    <w:rsid w:val="000E4CAC"/>
    <w:rsid w:val="00110F07"/>
    <w:rsid w:val="00122D85"/>
    <w:rsid w:val="00141F8E"/>
    <w:rsid w:val="00142D78"/>
    <w:rsid w:val="00165C9D"/>
    <w:rsid w:val="00175649"/>
    <w:rsid w:val="00190418"/>
    <w:rsid w:val="001B4B08"/>
    <w:rsid w:val="001C12FC"/>
    <w:rsid w:val="001D6648"/>
    <w:rsid w:val="001E3959"/>
    <w:rsid w:val="001F3095"/>
    <w:rsid w:val="00286F3A"/>
    <w:rsid w:val="0029792B"/>
    <w:rsid w:val="002E39FF"/>
    <w:rsid w:val="0034247B"/>
    <w:rsid w:val="0038131E"/>
    <w:rsid w:val="003E23E1"/>
    <w:rsid w:val="00413D1E"/>
    <w:rsid w:val="00457C9C"/>
    <w:rsid w:val="00464851"/>
    <w:rsid w:val="004754E6"/>
    <w:rsid w:val="0049082F"/>
    <w:rsid w:val="00496A48"/>
    <w:rsid w:val="004F3E93"/>
    <w:rsid w:val="005034BC"/>
    <w:rsid w:val="0054183E"/>
    <w:rsid w:val="00573CB7"/>
    <w:rsid w:val="005907F3"/>
    <w:rsid w:val="005920F6"/>
    <w:rsid w:val="005B299F"/>
    <w:rsid w:val="005D5DB1"/>
    <w:rsid w:val="005E63B6"/>
    <w:rsid w:val="006702C2"/>
    <w:rsid w:val="006761AA"/>
    <w:rsid w:val="006B2226"/>
    <w:rsid w:val="006B45A8"/>
    <w:rsid w:val="006F5169"/>
    <w:rsid w:val="007055E9"/>
    <w:rsid w:val="00716C35"/>
    <w:rsid w:val="00721E1D"/>
    <w:rsid w:val="0073672D"/>
    <w:rsid w:val="007379F1"/>
    <w:rsid w:val="00750EFA"/>
    <w:rsid w:val="00755243"/>
    <w:rsid w:val="00761704"/>
    <w:rsid w:val="00786DDD"/>
    <w:rsid w:val="007A2000"/>
    <w:rsid w:val="007A500E"/>
    <w:rsid w:val="007C0443"/>
    <w:rsid w:val="007C0AD7"/>
    <w:rsid w:val="007C5945"/>
    <w:rsid w:val="007E0648"/>
    <w:rsid w:val="00851403"/>
    <w:rsid w:val="00891B97"/>
    <w:rsid w:val="00897C3D"/>
    <w:rsid w:val="008B7A5F"/>
    <w:rsid w:val="008D59E8"/>
    <w:rsid w:val="00901DD3"/>
    <w:rsid w:val="00936B24"/>
    <w:rsid w:val="009424EB"/>
    <w:rsid w:val="00961E4B"/>
    <w:rsid w:val="00973EFA"/>
    <w:rsid w:val="00986009"/>
    <w:rsid w:val="009C1794"/>
    <w:rsid w:val="009C6963"/>
    <w:rsid w:val="009D09BB"/>
    <w:rsid w:val="009E5950"/>
    <w:rsid w:val="009F7A69"/>
    <w:rsid w:val="00A01820"/>
    <w:rsid w:val="00A06F70"/>
    <w:rsid w:val="00A075BA"/>
    <w:rsid w:val="00A10DD2"/>
    <w:rsid w:val="00A16948"/>
    <w:rsid w:val="00A648F5"/>
    <w:rsid w:val="00A70643"/>
    <w:rsid w:val="00A732FF"/>
    <w:rsid w:val="00A76F1C"/>
    <w:rsid w:val="00A859C9"/>
    <w:rsid w:val="00AD162E"/>
    <w:rsid w:val="00B307A4"/>
    <w:rsid w:val="00B32B44"/>
    <w:rsid w:val="00B349A3"/>
    <w:rsid w:val="00B55E40"/>
    <w:rsid w:val="00B66951"/>
    <w:rsid w:val="00B81611"/>
    <w:rsid w:val="00B96743"/>
    <w:rsid w:val="00BC3A6E"/>
    <w:rsid w:val="00BD0596"/>
    <w:rsid w:val="00C41780"/>
    <w:rsid w:val="00C453CA"/>
    <w:rsid w:val="00CA3340"/>
    <w:rsid w:val="00CB3730"/>
    <w:rsid w:val="00CC52FA"/>
    <w:rsid w:val="00D1193A"/>
    <w:rsid w:val="00D12264"/>
    <w:rsid w:val="00D43BD6"/>
    <w:rsid w:val="00D6093A"/>
    <w:rsid w:val="00DA72D0"/>
    <w:rsid w:val="00DB48EA"/>
    <w:rsid w:val="00E04F65"/>
    <w:rsid w:val="00E06616"/>
    <w:rsid w:val="00E50FFE"/>
    <w:rsid w:val="00E61247"/>
    <w:rsid w:val="00E64008"/>
    <w:rsid w:val="00E64BA6"/>
    <w:rsid w:val="00E85A3A"/>
    <w:rsid w:val="00E92BAD"/>
    <w:rsid w:val="00EA2D05"/>
    <w:rsid w:val="00ED00FD"/>
    <w:rsid w:val="00ED4F3A"/>
    <w:rsid w:val="00EF13F9"/>
    <w:rsid w:val="00F07718"/>
    <w:rsid w:val="00F244B2"/>
    <w:rsid w:val="00F314D4"/>
    <w:rsid w:val="00F5648A"/>
    <w:rsid w:val="00F601D5"/>
    <w:rsid w:val="00F615F4"/>
    <w:rsid w:val="00FB6A8E"/>
    <w:rsid w:val="00FC2284"/>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chart" Target="charts/chart10.xml"/><Relationship Id="rId18" Type="http://schemas.openxmlformats.org/officeDocument/2006/relationships/chart" Target="charts/chart40.xml"/><Relationship Id="rId3" Type="http://schemas.openxmlformats.org/officeDocument/2006/relationships/styles" Target="styles.xml"/><Relationship Id="rId21" Type="http://schemas.openxmlformats.org/officeDocument/2006/relationships/chart" Target="charts/chart50.xml"/><Relationship Id="rId7" Type="http://schemas.openxmlformats.org/officeDocument/2006/relationships/endnotes" Target="endnotes.xml"/><Relationship Id="rId17" Type="http://schemas.openxmlformats.org/officeDocument/2006/relationships/chart" Target="charts/chart30.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0.xml"/><Relationship Id="rId22" Type="http://schemas.openxmlformats.org/officeDocument/2006/relationships/chart" Target="charts/chart60.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0.xml"/><Relationship Id="rId1" Type="http://schemas.microsoft.com/office/2011/relationships/chartStyle" Target="style6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26A5-174F-A126-787A8087DD63}"/>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26A5-174F-A126-787A8087DD63}"/>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26A5-174F-A126-787A8087DD63}"/>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26A5-174F-A126-787A8087DD63}"/>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411A-F044-8FFA-0814058B1447}"/>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411A-F044-8FFA-0814058B1447}"/>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411A-F044-8FFA-0814058B1447}"/>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411A-F044-8FFA-0814058B1447}"/>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411A-F044-8FFA-0814058B1447}"/>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411A-F044-8FFA-0814058B1447}"/>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411A-F044-8FFA-0814058B1447}"/>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411A-F044-8FFA-0814058B1447}"/>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411A-F044-8FFA-0814058B1447}"/>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411A-F044-8FFA-0814058B1447}"/>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411A-F044-8FFA-0814058B1447}"/>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411A-F044-8FFA-0814058B1447}"/>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A023-DDE2-7141-935E-582964D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9</Pages>
  <Words>4290</Words>
  <Characters>24453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31</cp:revision>
  <dcterms:created xsi:type="dcterms:W3CDTF">2025-01-02T02:14:00Z</dcterms:created>
  <dcterms:modified xsi:type="dcterms:W3CDTF">2025-01-08T09:18:00Z</dcterms:modified>
</cp:coreProperties>
</file>