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87A1" w14:textId="2BB443CA" w:rsidR="00482697" w:rsidRDefault="00482697"/>
    <w:p w14:paraId="3D9972A0" w14:textId="2F6A0C94" w:rsidR="00D935A6" w:rsidRDefault="00D935A6" w:rsidP="00D935A6">
      <w:pPr>
        <w:ind w:firstLine="284"/>
        <w:jc w:val="both"/>
        <w:rPr>
          <w:rFonts w:ascii="Times New Roman" w:hAnsi="Times New Roman" w:cs="Times New Roman"/>
          <w:sz w:val="22"/>
          <w:szCs w:val="22"/>
        </w:rPr>
      </w:pPr>
      <w:r w:rsidRPr="00D935A6">
        <w:rPr>
          <w:rFonts w:ascii="Times New Roman" w:hAnsi="Times New Roman" w:cs="Times New Roman"/>
          <w:sz w:val="22"/>
          <w:szCs w:val="22"/>
        </w:rPr>
        <w:t xml:space="preserve">The </w:t>
      </w:r>
      <w:proofErr w:type="gramStart"/>
      <w:r>
        <w:rPr>
          <w:rFonts w:ascii="Times New Roman" w:hAnsi="Times New Roman" w:cs="Times New Roman"/>
          <w:i/>
          <w:iCs/>
          <w:sz w:val="22"/>
          <w:szCs w:val="22"/>
        </w:rPr>
        <w:t>in silico</w:t>
      </w:r>
      <w:proofErr w:type="gramEnd"/>
      <w:r w:rsidRPr="00D935A6">
        <w:rPr>
          <w:rFonts w:ascii="Times New Roman" w:hAnsi="Times New Roman" w:cs="Times New Roman"/>
          <w:sz w:val="22"/>
          <w:szCs w:val="22"/>
        </w:rPr>
        <w:t xml:space="preserve"> simulation involves solving algebraic calculations and dynamic functions represented as ordinary differential equations (ODEs), which are crucial for model</w:t>
      </w:r>
      <w:r>
        <w:rPr>
          <w:rFonts w:ascii="Times New Roman" w:hAnsi="Times New Roman" w:cs="Times New Roman"/>
          <w:sz w:val="22"/>
          <w:szCs w:val="22"/>
        </w:rPr>
        <w:t>l</w:t>
      </w:r>
      <w:r w:rsidRPr="00D935A6">
        <w:rPr>
          <w:rFonts w:ascii="Times New Roman" w:hAnsi="Times New Roman" w:cs="Times New Roman"/>
          <w:sz w:val="22"/>
          <w:szCs w:val="22"/>
        </w:rPr>
        <w:t xml:space="preserve">ing the intricate </w:t>
      </w:r>
      <w:r w:rsidRPr="00D935A6">
        <w:rPr>
          <w:rFonts w:ascii="Times New Roman" w:hAnsi="Times New Roman" w:cs="Times New Roman"/>
          <w:sz w:val="22"/>
          <w:szCs w:val="22"/>
        </w:rPr>
        <w:t>behaviours</w:t>
      </w:r>
      <w:r w:rsidRPr="00D935A6">
        <w:rPr>
          <w:rFonts w:ascii="Times New Roman" w:hAnsi="Times New Roman" w:cs="Times New Roman"/>
          <w:sz w:val="22"/>
          <w:szCs w:val="22"/>
        </w:rPr>
        <w:t xml:space="preserve"> of biological systems. To efficiently solve these ODEs, the study utilized NVIDIA’s CUDA (Compute Unified Device Architecture)-based parallel processing framework</w:t>
      </w:r>
      <w:r w:rsidR="004666CB">
        <w:rPr>
          <w:rFonts w:ascii="Times New Roman" w:hAnsi="Times New Roman" w:cs="Times New Roman"/>
          <w:sz w:val="22"/>
          <w:szCs w:val="22"/>
        </w:rPr>
        <w:t xml:space="preserve"> [</w:t>
      </w:r>
      <w:proofErr w:type="spellStart"/>
      <w:r w:rsidR="004666CB">
        <w:rPr>
          <w:rFonts w:ascii="Times New Roman" w:hAnsi="Times New Roman" w:cs="Times New Roman"/>
          <w:sz w:val="22"/>
          <w:szCs w:val="22"/>
        </w:rPr>
        <w:t>cuda</w:t>
      </w:r>
      <w:proofErr w:type="spellEnd"/>
      <w:r w:rsidR="004666CB">
        <w:rPr>
          <w:rFonts w:ascii="Times New Roman" w:hAnsi="Times New Roman" w:cs="Times New Roman"/>
          <w:sz w:val="22"/>
          <w:szCs w:val="22"/>
        </w:rPr>
        <w:t>]</w:t>
      </w:r>
      <w:r w:rsidRPr="00D935A6">
        <w:rPr>
          <w:rFonts w:ascii="Times New Roman" w:hAnsi="Times New Roman" w:cs="Times New Roman"/>
          <w:sz w:val="22"/>
          <w:szCs w:val="22"/>
        </w:rPr>
        <w:t>. The Rush-Larsen method</w:t>
      </w:r>
      <w:r>
        <w:rPr>
          <w:rFonts w:ascii="Times New Roman" w:hAnsi="Times New Roman" w:cs="Times New Roman"/>
          <w:sz w:val="22"/>
          <w:szCs w:val="22"/>
        </w:rPr>
        <w:t xml:space="preserve"> </w:t>
      </w:r>
      <w:r w:rsidRPr="00D935A6">
        <w:rPr>
          <w:rFonts w:ascii="Times New Roman" w:hAnsi="Times New Roman" w:cs="Times New Roman"/>
          <w:sz w:val="22"/>
          <w:szCs w:val="22"/>
        </w:rPr>
        <w:t>was selected as the ODE solver due to its ability to balance computational efficiency, numerical stability, and compatibility with the CUDA architecture. In this research, the ODE solver was integrated into the cell model code as a function, enabling seamless execution within the parallelized framework.</w:t>
      </w:r>
    </w:p>
    <w:p w14:paraId="79B3B02F" w14:textId="77777777" w:rsidR="005D5799" w:rsidRDefault="004666CB" w:rsidP="005D5799">
      <w:pPr>
        <w:ind w:firstLine="284"/>
        <w:jc w:val="both"/>
        <w:rPr>
          <w:rFonts w:ascii="Times New Roman" w:hAnsi="Times New Roman" w:cs="Times New Roman"/>
          <w:sz w:val="22"/>
          <w:szCs w:val="22"/>
        </w:rPr>
      </w:pPr>
      <w:r>
        <w:rPr>
          <w:rFonts w:ascii="Times New Roman" w:hAnsi="Times New Roman" w:cs="Times New Roman"/>
          <w:sz w:val="22"/>
          <w:szCs w:val="22"/>
        </w:rPr>
        <w:t xml:space="preserve">Cell model used in this study based on </w:t>
      </w:r>
      <w:r w:rsidRPr="00971BDE">
        <w:rPr>
          <w:rFonts w:ascii="Times New Roman" w:hAnsi="Times New Roman" w:cs="Times New Roman"/>
          <w:sz w:val="22"/>
          <w:szCs w:val="22"/>
        </w:rPr>
        <w:t>O’Hara</w:t>
      </w:r>
      <w:r>
        <w:rPr>
          <w:rFonts w:ascii="Times New Roman" w:hAnsi="Times New Roman" w:cs="Times New Roman"/>
          <w:sz w:val="22"/>
          <w:szCs w:val="22"/>
        </w:rPr>
        <w:t xml:space="preserve"> et al. </w:t>
      </w:r>
      <w:r w:rsidRPr="00971BDE">
        <w:rPr>
          <w:rFonts w:ascii="Times New Roman" w:hAnsi="Times New Roman" w:cs="Times New Roman"/>
          <w:sz w:val="22"/>
          <w:szCs w:val="22"/>
        </w:rPr>
        <w:t xml:space="preserve"> 2011 </w:t>
      </w:r>
      <w:r>
        <w:rPr>
          <w:rFonts w:ascii="Times New Roman" w:hAnsi="Times New Roman" w:cs="Times New Roman"/>
          <w:sz w:val="22"/>
          <w:szCs w:val="22"/>
        </w:rPr>
        <w:t xml:space="preserve">(ORd 2011) </w:t>
      </w:r>
      <w:r w:rsidRPr="00971BDE">
        <w:rPr>
          <w:rFonts w:ascii="Times New Roman" w:hAnsi="Times New Roman" w:cs="Times New Roman"/>
          <w:sz w:val="22"/>
          <w:szCs w:val="22"/>
        </w:rPr>
        <w:t>[</w:t>
      </w:r>
      <w:proofErr w:type="spellStart"/>
      <w:r>
        <w:rPr>
          <w:rFonts w:ascii="Times New Roman" w:hAnsi="Times New Roman" w:cs="Times New Roman"/>
          <w:sz w:val="22"/>
          <w:szCs w:val="22"/>
        </w:rPr>
        <w:t>ord</w:t>
      </w:r>
      <w:proofErr w:type="spellEnd"/>
      <w:r w:rsidRPr="00971BDE">
        <w:rPr>
          <w:rFonts w:ascii="Times New Roman" w:hAnsi="Times New Roman" w:cs="Times New Roman"/>
          <w:sz w:val="22"/>
          <w:szCs w:val="22"/>
        </w:rPr>
        <w:t>]</w:t>
      </w:r>
      <w:r>
        <w:rPr>
          <w:rFonts w:ascii="Times New Roman" w:hAnsi="Times New Roman" w:cs="Times New Roman"/>
          <w:sz w:val="22"/>
          <w:szCs w:val="22"/>
        </w:rPr>
        <w:t>.</w:t>
      </w:r>
      <w:r w:rsidR="005D5799">
        <w:rPr>
          <w:rFonts w:ascii="Times New Roman" w:hAnsi="Times New Roman" w:cs="Times New Roman"/>
          <w:sz w:val="22"/>
          <w:szCs w:val="22"/>
        </w:rPr>
        <w:t xml:space="preserve"> </w:t>
      </w:r>
      <w:r w:rsidR="00D935A6" w:rsidRPr="00D935A6">
        <w:rPr>
          <w:rFonts w:ascii="Times New Roman" w:hAnsi="Times New Roman" w:cs="Times New Roman"/>
          <w:sz w:val="22"/>
          <w:szCs w:val="22"/>
        </w:rPr>
        <w:t>The model was adapted for GPU compatibility using offsetting, a memory optimization technique that converts multi-dimensional data into contiguous 1D arrays, ensuring efficient alignment with GPU global, shared, and constant memory.</w:t>
      </w:r>
    </w:p>
    <w:p w14:paraId="1D4F5B2A" w14:textId="5FCCD190" w:rsidR="00D935A6" w:rsidRPr="00D935A6" w:rsidRDefault="00D935A6" w:rsidP="005D5799">
      <w:pPr>
        <w:ind w:firstLine="284"/>
        <w:jc w:val="both"/>
        <w:rPr>
          <w:rFonts w:ascii="Times New Roman" w:hAnsi="Times New Roman" w:cs="Times New Roman"/>
          <w:sz w:val="22"/>
          <w:szCs w:val="22"/>
        </w:rPr>
      </w:pPr>
      <w:r w:rsidRPr="00D935A6">
        <w:rPr>
          <w:rFonts w:ascii="Times New Roman" w:hAnsi="Times New Roman" w:cs="Times New Roman"/>
          <w:sz w:val="22"/>
          <w:szCs w:val="22"/>
        </w:rPr>
        <w:t xml:space="preserve">Simulations were conducted in two phases: Phase 1 amplified </w:t>
      </w:r>
      <w:r w:rsidR="005D5799" w:rsidRPr="005D5799">
        <w:rPr>
          <w:rFonts w:ascii="Times New Roman" w:hAnsi="Times New Roman" w:cs="Times New Roman"/>
          <w:sz w:val="22"/>
          <w:szCs w:val="22"/>
        </w:rPr>
        <w:t xml:space="preserve">pharmacological effect of the </w:t>
      </w:r>
      <w:r w:rsidRPr="00D935A6">
        <w:rPr>
          <w:rFonts w:ascii="Times New Roman" w:hAnsi="Times New Roman" w:cs="Times New Roman"/>
          <w:sz w:val="22"/>
          <w:szCs w:val="22"/>
        </w:rPr>
        <w:t>drug by running 1,000 pacing cycles (</w:t>
      </w:r>
      <w:r w:rsidR="004666CB" w:rsidRPr="005D5799">
        <w:rPr>
          <w:rFonts w:ascii="Times New Roman" w:hAnsi="Times New Roman" w:cs="Times New Roman"/>
          <w:sz w:val="22"/>
          <w:szCs w:val="22"/>
        </w:rPr>
        <w:t xml:space="preserve">simulating </w:t>
      </w:r>
      <w:r w:rsidRPr="00D935A6">
        <w:rPr>
          <w:rFonts w:ascii="Times New Roman" w:hAnsi="Times New Roman" w:cs="Times New Roman"/>
          <w:sz w:val="22"/>
          <w:szCs w:val="22"/>
        </w:rPr>
        <w:t xml:space="preserve">1,000 </w:t>
      </w:r>
      <w:r w:rsidR="004666CB" w:rsidRPr="005D5799">
        <w:rPr>
          <w:rFonts w:ascii="Times New Roman" w:hAnsi="Times New Roman" w:cs="Times New Roman"/>
          <w:sz w:val="22"/>
          <w:szCs w:val="22"/>
        </w:rPr>
        <w:t>milli</w:t>
      </w:r>
      <w:r w:rsidRPr="00D935A6">
        <w:rPr>
          <w:rFonts w:ascii="Times New Roman" w:hAnsi="Times New Roman" w:cs="Times New Roman"/>
          <w:sz w:val="22"/>
          <w:szCs w:val="22"/>
        </w:rPr>
        <w:t>s</w:t>
      </w:r>
      <w:r w:rsidR="004666CB" w:rsidRPr="005D5799">
        <w:rPr>
          <w:rFonts w:ascii="Times New Roman" w:hAnsi="Times New Roman" w:cs="Times New Roman"/>
          <w:sz w:val="22"/>
          <w:szCs w:val="22"/>
        </w:rPr>
        <w:t>econds</w:t>
      </w:r>
      <w:r w:rsidRPr="00D935A6">
        <w:rPr>
          <w:rFonts w:ascii="Times New Roman" w:hAnsi="Times New Roman" w:cs="Times New Roman"/>
          <w:sz w:val="22"/>
          <w:szCs w:val="22"/>
        </w:rPr>
        <w:t xml:space="preserve"> each) to stabilize the system, generating a cache file of final states (e.g., ion channel </w:t>
      </w:r>
      <w:proofErr w:type="spellStart"/>
      <w:r w:rsidRPr="00D935A6">
        <w:rPr>
          <w:rFonts w:ascii="Times New Roman" w:hAnsi="Times New Roman" w:cs="Times New Roman"/>
          <w:sz w:val="22"/>
          <w:szCs w:val="22"/>
        </w:rPr>
        <w:t>conductances</w:t>
      </w:r>
      <w:proofErr w:type="spellEnd"/>
      <w:r w:rsidRPr="00D935A6">
        <w:rPr>
          <w:rFonts w:ascii="Times New Roman" w:hAnsi="Times New Roman" w:cs="Times New Roman"/>
          <w:sz w:val="22"/>
          <w:szCs w:val="22"/>
        </w:rPr>
        <w:t>, membrane potentials). Phase 2 recorded outputs by simulating one additional cycle, producing biomarker</w:t>
      </w:r>
      <w:r w:rsidR="005D5799" w:rsidRPr="005D5799">
        <w:rPr>
          <w:rFonts w:ascii="Times New Roman" w:hAnsi="Times New Roman" w:cs="Times New Roman"/>
          <w:sz w:val="22"/>
          <w:szCs w:val="22"/>
        </w:rPr>
        <w:t>s</w:t>
      </w:r>
      <w:r w:rsidRPr="00D935A6">
        <w:rPr>
          <w:rFonts w:ascii="Times New Roman" w:hAnsi="Times New Roman" w:cs="Times New Roman"/>
          <w:sz w:val="22"/>
          <w:szCs w:val="22"/>
        </w:rPr>
        <w:t xml:space="preserve"> </w:t>
      </w:r>
      <w:r w:rsidR="005D5799" w:rsidRPr="005D5799">
        <w:rPr>
          <w:rFonts w:ascii="Times New Roman" w:hAnsi="Times New Roman" w:cs="Times New Roman"/>
          <w:sz w:val="22"/>
          <w:szCs w:val="22"/>
        </w:rPr>
        <w:t>for this study</w:t>
      </w:r>
      <w:r w:rsidRPr="00D935A6">
        <w:rPr>
          <w:rFonts w:ascii="Times New Roman" w:hAnsi="Times New Roman" w:cs="Times New Roman"/>
          <w:sz w:val="22"/>
          <w:szCs w:val="22"/>
        </w:rPr>
        <w:t xml:space="preserve"> (summarizing APD50/90, calcium transients, and ion current amplitudes) and time-series files (one per sample) with detailed temporal data. Drug testing included control (</w:t>
      </w:r>
      <w:r w:rsidR="005D5799" w:rsidRPr="005D5799">
        <w:rPr>
          <w:rFonts w:ascii="Times New Roman" w:hAnsi="Times New Roman" w:cs="Times New Roman"/>
          <w:sz w:val="22"/>
          <w:szCs w:val="22"/>
        </w:rPr>
        <w:t xml:space="preserve">uses </w:t>
      </w:r>
      <w:r w:rsidRPr="00D935A6">
        <w:rPr>
          <w:rFonts w:ascii="Times New Roman" w:hAnsi="Times New Roman" w:cs="Times New Roman"/>
          <w:sz w:val="22"/>
          <w:szCs w:val="22"/>
        </w:rPr>
        <w:t>0 mMol</w:t>
      </w:r>
      <w:r w:rsidR="005D5799" w:rsidRPr="005D5799">
        <w:rPr>
          <w:rFonts w:ascii="Times New Roman" w:hAnsi="Times New Roman" w:cs="Times New Roman"/>
          <w:sz w:val="22"/>
          <w:szCs w:val="22"/>
        </w:rPr>
        <w:t xml:space="preserve"> concentration of drug</w:t>
      </w:r>
      <w:r w:rsidRPr="00D935A6">
        <w:rPr>
          <w:rFonts w:ascii="Times New Roman" w:hAnsi="Times New Roman" w:cs="Times New Roman"/>
          <w:sz w:val="22"/>
          <w:szCs w:val="22"/>
        </w:rPr>
        <w:t>) and </w:t>
      </w:r>
      <w:r w:rsidR="005D5799" w:rsidRPr="005D5799">
        <w:rPr>
          <w:rFonts w:ascii="Times New Roman" w:hAnsi="Times New Roman" w:cs="Times New Roman"/>
          <w:sz w:val="22"/>
          <w:szCs w:val="22"/>
        </w:rPr>
        <w:t>(</w:t>
      </w:r>
      <w:proofErr w:type="spellStart"/>
      <w:r w:rsidR="005D5799" w:rsidRPr="005D5799">
        <w:rPr>
          <w:rFonts w:ascii="Times New Roman" w:hAnsi="Times New Roman" w:cs="Times New Roman"/>
          <w:b/>
          <w:bCs/>
          <w:sz w:val="22"/>
          <w:szCs w:val="22"/>
        </w:rPr>
        <w:t>drugname</w:t>
      </w:r>
      <w:proofErr w:type="spellEnd"/>
      <w:r w:rsidR="005D5799" w:rsidRPr="005D5799">
        <w:rPr>
          <w:rFonts w:ascii="Times New Roman" w:hAnsi="Times New Roman" w:cs="Times New Roman"/>
          <w:b/>
          <w:bCs/>
          <w:sz w:val="22"/>
          <w:szCs w:val="22"/>
        </w:rPr>
        <w:t>)</w:t>
      </w:r>
      <w:r w:rsidR="005D5799" w:rsidRPr="005D5799">
        <w:rPr>
          <w:rFonts w:ascii="Times New Roman" w:hAnsi="Times New Roman" w:cs="Times New Roman"/>
          <w:sz w:val="22"/>
          <w:szCs w:val="22"/>
        </w:rPr>
        <w:t xml:space="preserve"> </w:t>
      </w:r>
      <w:r w:rsidRPr="00D935A6">
        <w:rPr>
          <w:rFonts w:ascii="Times New Roman" w:hAnsi="Times New Roman" w:cs="Times New Roman"/>
          <w:sz w:val="22"/>
          <w:szCs w:val="22"/>
        </w:rPr>
        <w:t xml:space="preserve">at </w:t>
      </w:r>
      <w:r w:rsidR="005D5799" w:rsidRPr="005D5799">
        <w:rPr>
          <w:rFonts w:ascii="Times New Roman" w:hAnsi="Times New Roman" w:cs="Times New Roman"/>
          <w:b/>
          <w:bCs/>
          <w:sz w:val="22"/>
          <w:szCs w:val="22"/>
        </w:rPr>
        <w:t>(conc)</w:t>
      </w:r>
      <w:r w:rsidRPr="00D935A6">
        <w:rPr>
          <w:rFonts w:ascii="Times New Roman" w:hAnsi="Times New Roman" w:cs="Times New Roman"/>
          <w:sz w:val="22"/>
          <w:szCs w:val="22"/>
        </w:rPr>
        <w:t xml:space="preserve"> mMol to assess dose-dependent effects. Validation </w:t>
      </w:r>
      <w:r w:rsidR="00872997">
        <w:rPr>
          <w:rFonts w:ascii="Times New Roman" w:hAnsi="Times New Roman" w:cs="Times New Roman"/>
          <w:sz w:val="22"/>
          <w:szCs w:val="22"/>
        </w:rPr>
        <w:t>for this</w:t>
      </w:r>
      <w:r w:rsidR="005D5799">
        <w:rPr>
          <w:rFonts w:ascii="Times New Roman" w:hAnsi="Times New Roman" w:cs="Times New Roman"/>
          <w:sz w:val="22"/>
          <w:szCs w:val="22"/>
        </w:rPr>
        <w:t xml:space="preserve"> </w:t>
      </w:r>
      <w:r w:rsidR="005D5799">
        <w:rPr>
          <w:rFonts w:ascii="Times New Roman" w:hAnsi="Times New Roman" w:cs="Times New Roman"/>
          <w:i/>
          <w:iCs/>
          <w:sz w:val="22"/>
          <w:szCs w:val="22"/>
        </w:rPr>
        <w:t>in silico</w:t>
      </w:r>
      <w:r w:rsidRPr="00D935A6">
        <w:rPr>
          <w:rFonts w:ascii="Times New Roman" w:hAnsi="Times New Roman" w:cs="Times New Roman"/>
          <w:sz w:val="22"/>
          <w:szCs w:val="22"/>
        </w:rPr>
        <w:t xml:space="preserve"> </w:t>
      </w:r>
      <w:r w:rsidR="00872997">
        <w:rPr>
          <w:rFonts w:ascii="Times New Roman" w:hAnsi="Times New Roman" w:cs="Times New Roman"/>
          <w:sz w:val="22"/>
          <w:szCs w:val="22"/>
        </w:rPr>
        <w:t>method</w:t>
      </w:r>
      <w:r w:rsidRPr="00D935A6">
        <w:rPr>
          <w:rFonts w:ascii="Times New Roman" w:hAnsi="Times New Roman" w:cs="Times New Roman"/>
          <w:sz w:val="22"/>
          <w:szCs w:val="22"/>
        </w:rPr>
        <w:t xml:space="preserve"> confirmed high accuracy</w:t>
      </w:r>
      <w:r w:rsidR="00872997">
        <w:rPr>
          <w:rFonts w:ascii="Times New Roman" w:hAnsi="Times New Roman" w:cs="Times New Roman"/>
          <w:sz w:val="22"/>
          <w:szCs w:val="22"/>
        </w:rPr>
        <w:t xml:space="preserve"> when compared with currently available CPU-based simulation</w:t>
      </w:r>
      <w:r w:rsidRPr="00D935A6">
        <w:rPr>
          <w:rFonts w:ascii="Times New Roman" w:hAnsi="Times New Roman" w:cs="Times New Roman"/>
          <w:sz w:val="22"/>
          <w:szCs w:val="22"/>
        </w:rPr>
        <w:t xml:space="preserve">, with a mean absolute error (MAE) of 0.078 mV for action potentials and near-identical biomarker trajectories. </w:t>
      </w:r>
    </w:p>
    <w:p w14:paraId="6B672FB4" w14:textId="26E93D22" w:rsidR="00D935A6" w:rsidRDefault="00D935A6" w:rsidP="00D935A6">
      <w:pPr>
        <w:ind w:firstLine="284"/>
        <w:jc w:val="both"/>
        <w:rPr>
          <w:rFonts w:ascii="Times New Roman" w:hAnsi="Times New Roman" w:cs="Times New Roman"/>
          <w:sz w:val="22"/>
          <w:szCs w:val="22"/>
        </w:rPr>
      </w:pPr>
    </w:p>
    <w:p w14:paraId="5CDB193E" w14:textId="5C643BD5" w:rsidR="005D5799" w:rsidRDefault="005D5799" w:rsidP="00D935A6">
      <w:pPr>
        <w:ind w:firstLine="284"/>
        <w:jc w:val="both"/>
        <w:rPr>
          <w:rFonts w:ascii="Times New Roman" w:hAnsi="Times New Roman" w:cs="Times New Roman"/>
          <w:sz w:val="22"/>
          <w:szCs w:val="22"/>
        </w:rPr>
      </w:pPr>
    </w:p>
    <w:p w14:paraId="073BC7B5" w14:textId="77777777" w:rsidR="005D5799" w:rsidRDefault="005D5799" w:rsidP="005D5799">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Ref:</w:t>
      </w:r>
      <w:r>
        <w:rPr>
          <w:rFonts w:ascii="Times New Roman" w:hAnsi="Times New Roman" w:cs="Times New Roman"/>
          <w:sz w:val="22"/>
          <w:szCs w:val="22"/>
        </w:rPr>
        <w:br/>
      </w:r>
      <w:r>
        <w:rPr>
          <w:rFonts w:ascii="Times New Roman" w:hAnsi="Times New Roman" w:cs="Times New Roman"/>
          <w:sz w:val="22"/>
          <w:szCs w:val="22"/>
        </w:rPr>
        <w:br/>
      </w:r>
      <w:proofErr w:type="spellStart"/>
      <w:r>
        <w:rPr>
          <w:rFonts w:ascii="Times New Roman" w:hAnsi="Times New Roman" w:cs="Times New Roman"/>
          <w:sz w:val="22"/>
          <w:szCs w:val="22"/>
        </w:rPr>
        <w:t>cuda</w:t>
      </w:r>
      <w:proofErr w:type="spellEnd"/>
      <w:r>
        <w:rPr>
          <w:rFonts w:ascii="Times New Roman" w:hAnsi="Times New Roman" w:cs="Times New Roman"/>
          <w:sz w:val="22"/>
          <w:szCs w:val="22"/>
        </w:rPr>
        <w:t xml:space="preserve">: </w:t>
      </w:r>
      <w:r>
        <w:rPr>
          <w:rFonts w:ascii="Times New Roman" w:hAnsi="Times New Roman" w:cs="Times New Roman"/>
          <w:sz w:val="22"/>
          <w:szCs w:val="22"/>
        </w:rPr>
        <w:t xml:space="preserve">Jason Sanders and Edward </w:t>
      </w:r>
      <w:proofErr w:type="spellStart"/>
      <w:r>
        <w:rPr>
          <w:rFonts w:ascii="Times New Roman" w:hAnsi="Times New Roman" w:cs="Times New Roman"/>
          <w:sz w:val="22"/>
          <w:szCs w:val="22"/>
        </w:rPr>
        <w:t>Kandrot</w:t>
      </w:r>
      <w:proofErr w:type="spellEnd"/>
      <w:r>
        <w:rPr>
          <w:rFonts w:ascii="Times New Roman" w:hAnsi="Times New Roman" w:cs="Times New Roman"/>
          <w:sz w:val="22"/>
          <w:szCs w:val="22"/>
        </w:rPr>
        <w:t>. 2010. “CUDA by Example: An Introduction to General-Purpose GPU Programming (1st. ed.)”. Addison-Wesley Professional.</w:t>
      </w:r>
    </w:p>
    <w:p w14:paraId="00C1934E" w14:textId="1D3CCCD6" w:rsidR="005D5799" w:rsidRDefault="005D5799" w:rsidP="005D5799">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4. M. </w:t>
      </w:r>
      <w:proofErr w:type="spellStart"/>
      <w:r>
        <w:rPr>
          <w:rFonts w:ascii="Times New Roman" w:hAnsi="Times New Roman" w:cs="Times New Roman"/>
          <w:sz w:val="22"/>
          <w:szCs w:val="22"/>
        </w:rPr>
        <w:t>Berghoff</w:t>
      </w:r>
      <w:proofErr w:type="spellEnd"/>
      <w:r>
        <w:rPr>
          <w:rFonts w:ascii="Times New Roman" w:hAnsi="Times New Roman" w:cs="Times New Roman"/>
          <w:sz w:val="22"/>
          <w:szCs w:val="22"/>
        </w:rPr>
        <w:t xml:space="preserve">, J. Rosenbauer, F. Hoffmann, and A. </w:t>
      </w:r>
      <w:proofErr w:type="spellStart"/>
      <w:r>
        <w:rPr>
          <w:rFonts w:ascii="Times New Roman" w:hAnsi="Times New Roman" w:cs="Times New Roman"/>
          <w:sz w:val="22"/>
          <w:szCs w:val="22"/>
        </w:rPr>
        <w:t>Schug</w:t>
      </w:r>
      <w:proofErr w:type="spellEnd"/>
      <w:r>
        <w:rPr>
          <w:rFonts w:ascii="Times New Roman" w:hAnsi="Times New Roman" w:cs="Times New Roman"/>
          <w:sz w:val="22"/>
          <w:szCs w:val="22"/>
        </w:rPr>
        <w:t xml:space="preserve">, “Cells in Silico-introducing a high-performance framework for large-scale tissue </w:t>
      </w:r>
      <w:proofErr w:type="spellStart"/>
      <w:r>
        <w:rPr>
          <w:rFonts w:ascii="Times New Roman" w:hAnsi="Times New Roman" w:cs="Times New Roman"/>
          <w:sz w:val="22"/>
          <w:szCs w:val="22"/>
        </w:rPr>
        <w:t>modeling</w:t>
      </w:r>
      <w:proofErr w:type="spellEnd"/>
      <w:r>
        <w:rPr>
          <w:rFonts w:ascii="Times New Roman" w:hAnsi="Times New Roman" w:cs="Times New Roman"/>
          <w:sz w:val="22"/>
          <w:szCs w:val="22"/>
        </w:rPr>
        <w:t xml:space="preserve">,” BMC Bioinformatics, vol. 21, no. 1, Oct. 2020, </w:t>
      </w:r>
      <w:proofErr w:type="spellStart"/>
      <w:r>
        <w:rPr>
          <w:rFonts w:ascii="Times New Roman" w:hAnsi="Times New Roman" w:cs="Times New Roman"/>
          <w:sz w:val="22"/>
          <w:szCs w:val="22"/>
        </w:rPr>
        <w:t>doi</w:t>
      </w:r>
      <w:proofErr w:type="spellEnd"/>
      <w:r>
        <w:rPr>
          <w:rFonts w:ascii="Times New Roman" w:hAnsi="Times New Roman" w:cs="Times New Roman"/>
          <w:sz w:val="22"/>
          <w:szCs w:val="22"/>
        </w:rPr>
        <w:t>: 10.1186/s12859-020-03728-7.</w:t>
      </w:r>
    </w:p>
    <w:p w14:paraId="408AFBBE" w14:textId="77777777" w:rsidR="005D5799" w:rsidRDefault="005D5799" w:rsidP="005D5799">
      <w:pPr>
        <w:autoSpaceDE w:val="0"/>
        <w:autoSpaceDN w:val="0"/>
        <w:adjustRightInd w:val="0"/>
        <w:ind w:left="284" w:right="49"/>
        <w:jc w:val="both"/>
        <w:rPr>
          <w:rFonts w:ascii="Times New Roman" w:hAnsi="Times New Roman" w:cs="Times New Roman"/>
          <w:sz w:val="22"/>
          <w:szCs w:val="22"/>
        </w:rPr>
      </w:pPr>
    </w:p>
    <w:p w14:paraId="0C585231" w14:textId="4B0E5AE3" w:rsidR="005D5799" w:rsidRDefault="005D5799" w:rsidP="005D5799">
      <w:pPr>
        <w:autoSpaceDE w:val="0"/>
        <w:autoSpaceDN w:val="0"/>
        <w:adjustRightInd w:val="0"/>
        <w:ind w:left="284" w:right="49"/>
        <w:jc w:val="both"/>
        <w:rPr>
          <w:rFonts w:ascii="Times New Roman" w:hAnsi="Times New Roman" w:cs="Times New Roman"/>
          <w:sz w:val="22"/>
          <w:szCs w:val="22"/>
        </w:rPr>
      </w:pPr>
      <w:r>
        <w:rPr>
          <w:rFonts w:ascii="Times New Roman" w:hAnsi="Times New Roman" w:cs="Times New Roman"/>
          <w:sz w:val="22"/>
          <w:szCs w:val="22"/>
        </w:rPr>
        <w:t xml:space="preserve">Ord: </w:t>
      </w:r>
      <w:r>
        <w:rPr>
          <w:rFonts w:ascii="Times New Roman" w:hAnsi="Times New Roman" w:cs="Times New Roman"/>
          <w:sz w:val="22"/>
          <w:szCs w:val="22"/>
        </w:rPr>
        <w:t xml:space="preserve">T. O'Hara, L. </w:t>
      </w:r>
      <w:proofErr w:type="spellStart"/>
      <w:r>
        <w:rPr>
          <w:rFonts w:ascii="Times New Roman" w:hAnsi="Times New Roman" w:cs="Times New Roman"/>
          <w:sz w:val="22"/>
          <w:szCs w:val="22"/>
        </w:rPr>
        <w:t>Virág</w:t>
      </w:r>
      <w:proofErr w:type="spellEnd"/>
      <w:r>
        <w:rPr>
          <w:rFonts w:ascii="Times New Roman" w:hAnsi="Times New Roman" w:cs="Times New Roman"/>
          <w:sz w:val="22"/>
          <w:szCs w:val="22"/>
        </w:rPr>
        <w:t xml:space="preserve">, A. </w:t>
      </w:r>
      <w:proofErr w:type="spellStart"/>
      <w:r>
        <w:rPr>
          <w:rFonts w:ascii="Times New Roman" w:hAnsi="Times New Roman" w:cs="Times New Roman"/>
          <w:sz w:val="22"/>
          <w:szCs w:val="22"/>
        </w:rPr>
        <w:t>Varró</w:t>
      </w:r>
      <w:proofErr w:type="spellEnd"/>
      <w:r>
        <w:rPr>
          <w:rFonts w:ascii="Times New Roman" w:hAnsi="Times New Roman" w:cs="Times New Roman"/>
          <w:sz w:val="22"/>
          <w:szCs w:val="22"/>
        </w:rPr>
        <w:t xml:space="preserve">, and Y. Rudy, “Simulation of the </w:t>
      </w:r>
      <w:proofErr w:type="spellStart"/>
      <w:r>
        <w:rPr>
          <w:rFonts w:ascii="Times New Roman" w:hAnsi="Times New Roman" w:cs="Times New Roman"/>
          <w:sz w:val="22"/>
          <w:szCs w:val="22"/>
        </w:rPr>
        <w:t>Undiseased</w:t>
      </w:r>
      <w:proofErr w:type="spellEnd"/>
      <w:r>
        <w:rPr>
          <w:rFonts w:ascii="Times New Roman" w:hAnsi="Times New Roman" w:cs="Times New Roman"/>
          <w:sz w:val="22"/>
          <w:szCs w:val="22"/>
        </w:rPr>
        <w:t xml:space="preserve"> Human Cardiac Ventricular Action Potential: Model Formulation and Experimental Validation.” 2011, PLOS Computational Biology 7(5): e1002061.  </w:t>
      </w:r>
    </w:p>
    <w:p w14:paraId="075FE47C" w14:textId="77777777" w:rsidR="005D5799" w:rsidRPr="00D935A6" w:rsidRDefault="005D5799" w:rsidP="00D935A6">
      <w:pPr>
        <w:ind w:firstLine="284"/>
        <w:jc w:val="both"/>
        <w:rPr>
          <w:rFonts w:ascii="Times New Roman" w:hAnsi="Times New Roman" w:cs="Times New Roman"/>
          <w:sz w:val="22"/>
          <w:szCs w:val="22"/>
        </w:rPr>
      </w:pPr>
    </w:p>
    <w:sectPr w:rsidR="005D5799" w:rsidRPr="00D93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97"/>
    <w:rsid w:val="004666CB"/>
    <w:rsid w:val="00482697"/>
    <w:rsid w:val="005D5799"/>
    <w:rsid w:val="00872997"/>
    <w:rsid w:val="00D935A6"/>
    <w:rsid w:val="00EE5B09"/>
    <w:rsid w:val="00F876E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7D8B09"/>
  <w15:chartTrackingRefBased/>
  <w15:docId w15:val="{706C9252-639E-FF4C-A061-55E74BD7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3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6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 Narendra Pramawijaya</dc:creator>
  <cp:keywords/>
  <dc:description/>
  <cp:lastModifiedBy>Iga Narendra Pramawijaya</cp:lastModifiedBy>
  <cp:revision>1</cp:revision>
  <dcterms:created xsi:type="dcterms:W3CDTF">2025-01-24T07:06:00Z</dcterms:created>
  <dcterms:modified xsi:type="dcterms:W3CDTF">2025-01-24T08:01:00Z</dcterms:modified>
</cp:coreProperties>
</file>