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7B44" w14:textId="77777777" w:rsidR="005C2E4F" w:rsidRDefault="00423852" w:rsidP="00C3042F">
      <w:pPr>
        <w:ind w:left="-1134" w:right="-1322"/>
        <w:jc w:val="center"/>
        <w:rPr>
          <w:b/>
          <w:sz w:val="32"/>
        </w:rPr>
      </w:pPr>
      <w:r w:rsidRPr="005D79FC">
        <w:rPr>
          <w:b/>
          <w:sz w:val="32"/>
        </w:rPr>
        <w:t xml:space="preserve">Singapore Cooperation Programme and </w:t>
      </w:r>
    </w:p>
    <w:p w14:paraId="1B673EFF" w14:textId="2B3D30EF" w:rsidR="00423852" w:rsidRPr="005D79FC" w:rsidRDefault="00423852" w:rsidP="00C3042F">
      <w:pPr>
        <w:ind w:left="-1134" w:right="-1322"/>
        <w:jc w:val="center"/>
        <w:rPr>
          <w:b/>
          <w:sz w:val="32"/>
        </w:rPr>
      </w:pPr>
      <w:r w:rsidRPr="005D79FC">
        <w:rPr>
          <w:b/>
          <w:sz w:val="32"/>
        </w:rPr>
        <w:t>Climate Action Package Courses</w:t>
      </w:r>
      <w:r w:rsidR="005C2E4F">
        <w:rPr>
          <w:b/>
          <w:sz w:val="32"/>
        </w:rPr>
        <w:t xml:space="preserve"> (2019 – 2020)</w:t>
      </w:r>
      <w:r w:rsidRPr="005D79FC">
        <w:rPr>
          <w:b/>
          <w:sz w:val="32"/>
        </w:rPr>
        <w:t xml:space="preserve"> </w:t>
      </w:r>
    </w:p>
    <w:p w14:paraId="62E88C49" w14:textId="77777777" w:rsidR="00C3042F" w:rsidRDefault="00C3042F" w:rsidP="00C3042F">
      <w:pPr>
        <w:ind w:left="-1134" w:right="-1322"/>
      </w:pPr>
    </w:p>
    <w:p w14:paraId="0E5AA995" w14:textId="77777777" w:rsidR="005D79FC" w:rsidRDefault="005D79FC" w:rsidP="00C3042F">
      <w:pPr>
        <w:ind w:left="-1134" w:right="-1322"/>
      </w:pPr>
    </w:p>
    <w:p w14:paraId="47288388" w14:textId="629118F5" w:rsidR="00EA5BC8" w:rsidRDefault="00A475FA" w:rsidP="00C3042F">
      <w:pPr>
        <w:ind w:left="-1134" w:right="-1322"/>
      </w:pPr>
      <w:r>
        <w:t>Singapore is committed to the effective implementation of the 2030 Agenda for Sustainable Development and the Paris Agreement. We also believe in the importance of doing</w:t>
      </w:r>
      <w:r w:rsidR="00EA5BC8" w:rsidRPr="00EA5BC8">
        <w:t xml:space="preserve"> our part to suppo</w:t>
      </w:r>
      <w:r>
        <w:t xml:space="preserve">rt fellow developing countries. In July 2018, </w:t>
      </w:r>
      <w:r w:rsidR="00EA5BC8" w:rsidRPr="00EA5BC8">
        <w:t>Singapore launched the Climate Action Package (CAP)</w:t>
      </w:r>
      <w:r>
        <w:t xml:space="preserve"> with the aim to </w:t>
      </w:r>
      <w:r w:rsidR="00EA5BC8" w:rsidRPr="00EA5BC8">
        <w:t>support the region’s climate action efforts by developing capacity in key areas such as climate change mitigation and adaptation strategies, green climate finance and stormwater management. The CAP courses are supported by the broader S</w:t>
      </w:r>
      <w:r w:rsidR="00EA5BC8">
        <w:t>ingapore Cooperation Programme</w:t>
      </w:r>
      <w:r>
        <w:t xml:space="preserve"> (SCP)</w:t>
      </w:r>
      <w:r w:rsidR="005C2E4F">
        <w:t>. S</w:t>
      </w:r>
      <w:r w:rsidR="00EA5BC8" w:rsidRPr="00EA5BC8">
        <w:t xml:space="preserve">ince 1992, </w:t>
      </w:r>
      <w:r w:rsidR="005C2E4F">
        <w:t xml:space="preserve">the SCP has </w:t>
      </w:r>
      <w:r w:rsidR="00EA5BC8" w:rsidRPr="00EA5BC8">
        <w:t>benefited more than 128,000 officials from fellow developing countries</w:t>
      </w:r>
      <w:r w:rsidR="005A35A8">
        <w:t>, by providing training</w:t>
      </w:r>
      <w:r w:rsidR="00EA5BC8" w:rsidRPr="00EA5BC8">
        <w:t xml:space="preserve"> in key areas such as sustainable development, urban planning, water and transport management.</w:t>
      </w:r>
    </w:p>
    <w:p w14:paraId="784AE067" w14:textId="77777777" w:rsidR="002E5D41" w:rsidRDefault="002E5D41" w:rsidP="00C3042F">
      <w:pPr>
        <w:ind w:left="-1134" w:right="-1322"/>
      </w:pPr>
    </w:p>
    <w:p w14:paraId="30F3D504" w14:textId="42045A36" w:rsidR="00BF498C" w:rsidRDefault="00BF498C" w:rsidP="00BF498C">
      <w:pPr>
        <w:ind w:left="-1134" w:right="-1322"/>
        <w:rPr>
          <w:b/>
        </w:rPr>
      </w:pPr>
      <w:r w:rsidRPr="00E0212D">
        <w:rPr>
          <w:b/>
        </w:rPr>
        <w:t>Interested parties may access the following webpage (</w:t>
      </w:r>
      <w:hyperlink r:id="rId7" w:history="1">
        <w:r w:rsidRPr="00E0212D">
          <w:rPr>
            <w:b/>
          </w:rPr>
          <w:t>https://scpcatalog.wixsite.com/scp2019</w:t>
        </w:r>
      </w:hyperlink>
      <w:r w:rsidRPr="00E0212D">
        <w:rPr>
          <w:b/>
        </w:rPr>
        <w:t xml:space="preserve">) </w:t>
      </w:r>
      <w:r w:rsidR="005C2E4F">
        <w:rPr>
          <w:b/>
        </w:rPr>
        <w:t>for</w:t>
      </w:r>
      <w:r w:rsidRPr="00E0212D">
        <w:rPr>
          <w:b/>
        </w:rPr>
        <w:t xml:space="preserve"> more information, as well as to submit an application for the courses. </w:t>
      </w:r>
      <w:r>
        <w:rPr>
          <w:b/>
        </w:rPr>
        <w:t>Courses are available for application 2</w:t>
      </w:r>
      <w:r w:rsidR="005C2E4F">
        <w:rPr>
          <w:b/>
        </w:rPr>
        <w:t xml:space="preserve"> to </w:t>
      </w:r>
      <w:r>
        <w:rPr>
          <w:b/>
        </w:rPr>
        <w:t>3 months before the scheduled course dates.</w:t>
      </w:r>
    </w:p>
    <w:p w14:paraId="7CC51CEE" w14:textId="77777777" w:rsidR="00BF498C" w:rsidRDefault="00BF498C" w:rsidP="00C3042F">
      <w:pPr>
        <w:ind w:left="-1134" w:right="-1322"/>
      </w:pPr>
    </w:p>
    <w:p w14:paraId="07C950C1" w14:textId="541840E2" w:rsidR="002E5D41" w:rsidRPr="002E5D41" w:rsidRDefault="002E5D41" w:rsidP="00C3042F">
      <w:pPr>
        <w:ind w:left="-1134" w:right="-1322"/>
        <w:rPr>
          <w:u w:val="single"/>
        </w:rPr>
      </w:pPr>
      <w:r w:rsidRPr="002E5D41">
        <w:rPr>
          <w:u w:val="single"/>
        </w:rPr>
        <w:t xml:space="preserve">Courses </w:t>
      </w:r>
      <w:r w:rsidR="00B4713F">
        <w:rPr>
          <w:u w:val="single"/>
        </w:rPr>
        <w:t xml:space="preserve">offered </w:t>
      </w:r>
      <w:r w:rsidRPr="002E5D41">
        <w:rPr>
          <w:u w:val="single"/>
        </w:rPr>
        <w:t>under the Climate Action Package</w:t>
      </w:r>
    </w:p>
    <w:p w14:paraId="512BA519" w14:textId="77777777" w:rsidR="00423852" w:rsidRDefault="00423852"/>
    <w:tbl>
      <w:tblPr>
        <w:tblStyle w:val="TableGrid"/>
        <w:tblW w:w="10348" w:type="dxa"/>
        <w:tblInd w:w="-1139" w:type="dxa"/>
        <w:tblLayout w:type="fixed"/>
        <w:tblLook w:val="04A0" w:firstRow="1" w:lastRow="0" w:firstColumn="1" w:lastColumn="0" w:noHBand="0" w:noVBand="1"/>
      </w:tblPr>
      <w:tblGrid>
        <w:gridCol w:w="625"/>
        <w:gridCol w:w="1360"/>
        <w:gridCol w:w="1134"/>
        <w:gridCol w:w="850"/>
        <w:gridCol w:w="993"/>
        <w:gridCol w:w="1417"/>
        <w:gridCol w:w="3969"/>
      </w:tblGrid>
      <w:tr w:rsidR="00AD6467" w14:paraId="003DE6EE" w14:textId="77777777" w:rsidTr="00AD6467">
        <w:trPr>
          <w:trHeight w:val="583"/>
        </w:trPr>
        <w:tc>
          <w:tcPr>
            <w:tcW w:w="625" w:type="dxa"/>
            <w:shd w:val="clear" w:color="auto" w:fill="DEEAF6" w:themeFill="accent1" w:themeFillTint="33"/>
            <w:vAlign w:val="center"/>
          </w:tcPr>
          <w:p w14:paraId="126997A3" w14:textId="77777777" w:rsidR="00AD6467" w:rsidRPr="005C5EAB" w:rsidRDefault="00AD6467" w:rsidP="00423852">
            <w:pPr>
              <w:jc w:val="center"/>
              <w:rPr>
                <w:b/>
                <w:sz w:val="16"/>
              </w:rPr>
            </w:pPr>
            <w:r w:rsidRPr="005C5EAB">
              <w:rPr>
                <w:b/>
                <w:sz w:val="16"/>
              </w:rPr>
              <w:t>S/N</w:t>
            </w:r>
          </w:p>
        </w:tc>
        <w:tc>
          <w:tcPr>
            <w:tcW w:w="1360" w:type="dxa"/>
            <w:shd w:val="clear" w:color="auto" w:fill="DEEAF6" w:themeFill="accent1" w:themeFillTint="33"/>
            <w:vAlign w:val="center"/>
          </w:tcPr>
          <w:p w14:paraId="77EAFCBD" w14:textId="77777777" w:rsidR="00AD6467" w:rsidRPr="005C5EAB" w:rsidRDefault="00AD6467" w:rsidP="00423852">
            <w:pPr>
              <w:jc w:val="center"/>
              <w:rPr>
                <w:b/>
                <w:sz w:val="16"/>
              </w:rPr>
            </w:pPr>
            <w:r w:rsidRPr="005C5EAB">
              <w:rPr>
                <w:b/>
                <w:sz w:val="16"/>
              </w:rPr>
              <w:t>Course Title</w:t>
            </w:r>
          </w:p>
        </w:tc>
        <w:tc>
          <w:tcPr>
            <w:tcW w:w="1134" w:type="dxa"/>
            <w:shd w:val="clear" w:color="auto" w:fill="DEEAF6" w:themeFill="accent1" w:themeFillTint="33"/>
            <w:vAlign w:val="center"/>
          </w:tcPr>
          <w:p w14:paraId="0CEEC52A" w14:textId="77777777" w:rsidR="00AD6467" w:rsidRDefault="00AD6467" w:rsidP="00423852">
            <w:pPr>
              <w:jc w:val="center"/>
              <w:rPr>
                <w:b/>
                <w:sz w:val="16"/>
              </w:rPr>
            </w:pPr>
            <w:r>
              <w:rPr>
                <w:b/>
                <w:sz w:val="16"/>
              </w:rPr>
              <w:t>Topic</w:t>
            </w:r>
          </w:p>
        </w:tc>
        <w:tc>
          <w:tcPr>
            <w:tcW w:w="850" w:type="dxa"/>
            <w:shd w:val="clear" w:color="auto" w:fill="DEEAF6" w:themeFill="accent1" w:themeFillTint="33"/>
            <w:vAlign w:val="center"/>
          </w:tcPr>
          <w:p w14:paraId="3F0EA251" w14:textId="77777777" w:rsidR="00AD6467" w:rsidRPr="005C5EAB" w:rsidRDefault="00AD6467" w:rsidP="00423852">
            <w:pPr>
              <w:jc w:val="center"/>
              <w:rPr>
                <w:b/>
                <w:sz w:val="16"/>
              </w:rPr>
            </w:pPr>
            <w:r>
              <w:rPr>
                <w:b/>
                <w:sz w:val="16"/>
              </w:rPr>
              <w:t>Agency in charge</w:t>
            </w:r>
          </w:p>
        </w:tc>
        <w:tc>
          <w:tcPr>
            <w:tcW w:w="993" w:type="dxa"/>
            <w:shd w:val="clear" w:color="auto" w:fill="DEEAF6" w:themeFill="accent1" w:themeFillTint="33"/>
            <w:vAlign w:val="center"/>
          </w:tcPr>
          <w:p w14:paraId="2F75D0E6" w14:textId="77777777" w:rsidR="00AD6467" w:rsidRPr="005C5EAB" w:rsidRDefault="00AD6467" w:rsidP="00423852">
            <w:pPr>
              <w:jc w:val="center"/>
              <w:rPr>
                <w:b/>
                <w:sz w:val="16"/>
              </w:rPr>
            </w:pPr>
            <w:r w:rsidRPr="005C5EAB">
              <w:rPr>
                <w:b/>
                <w:sz w:val="16"/>
              </w:rPr>
              <w:t>Course Dates</w:t>
            </w:r>
          </w:p>
        </w:tc>
        <w:tc>
          <w:tcPr>
            <w:tcW w:w="1417" w:type="dxa"/>
            <w:shd w:val="clear" w:color="auto" w:fill="DEEAF6" w:themeFill="accent1" w:themeFillTint="33"/>
            <w:vAlign w:val="center"/>
          </w:tcPr>
          <w:p w14:paraId="55DBC85E" w14:textId="77777777" w:rsidR="00AD6467" w:rsidRPr="005C5EAB" w:rsidRDefault="00AD6467" w:rsidP="00423852">
            <w:pPr>
              <w:jc w:val="center"/>
              <w:rPr>
                <w:b/>
                <w:sz w:val="16"/>
              </w:rPr>
            </w:pPr>
            <w:r w:rsidRPr="005C5EAB">
              <w:rPr>
                <w:b/>
                <w:sz w:val="16"/>
              </w:rPr>
              <w:t>Participant Profile</w:t>
            </w:r>
          </w:p>
        </w:tc>
        <w:tc>
          <w:tcPr>
            <w:tcW w:w="3969" w:type="dxa"/>
            <w:shd w:val="clear" w:color="auto" w:fill="DEEAF6" w:themeFill="accent1" w:themeFillTint="33"/>
            <w:vAlign w:val="center"/>
          </w:tcPr>
          <w:p w14:paraId="6BA29C8E" w14:textId="77777777" w:rsidR="00AD6467" w:rsidRPr="005C5EAB" w:rsidRDefault="00AD6467" w:rsidP="00423852">
            <w:pPr>
              <w:jc w:val="center"/>
              <w:rPr>
                <w:b/>
                <w:sz w:val="16"/>
              </w:rPr>
            </w:pPr>
            <w:r w:rsidRPr="005C5EAB">
              <w:rPr>
                <w:b/>
                <w:sz w:val="16"/>
              </w:rPr>
              <w:t>Synopsis and Key Topics</w:t>
            </w:r>
          </w:p>
        </w:tc>
      </w:tr>
      <w:tr w:rsidR="00AD6467" w14:paraId="57EFCB59" w14:textId="77777777" w:rsidTr="00AD6467">
        <w:trPr>
          <w:trHeight w:val="1212"/>
        </w:trPr>
        <w:tc>
          <w:tcPr>
            <w:tcW w:w="625" w:type="dxa"/>
            <w:vAlign w:val="center"/>
          </w:tcPr>
          <w:p w14:paraId="61D0D7C7" w14:textId="77777777" w:rsidR="00AD6467" w:rsidRPr="005C5EAB" w:rsidRDefault="00AD6467" w:rsidP="00423852">
            <w:pPr>
              <w:jc w:val="center"/>
              <w:rPr>
                <w:sz w:val="16"/>
              </w:rPr>
            </w:pPr>
            <w:r>
              <w:rPr>
                <w:sz w:val="16"/>
              </w:rPr>
              <w:t>1</w:t>
            </w:r>
          </w:p>
        </w:tc>
        <w:tc>
          <w:tcPr>
            <w:tcW w:w="1360" w:type="dxa"/>
            <w:vAlign w:val="center"/>
          </w:tcPr>
          <w:p w14:paraId="23F2EAA7" w14:textId="77777777" w:rsidR="00AD6467" w:rsidRPr="005C5EAB" w:rsidRDefault="00AD6467" w:rsidP="00423852">
            <w:pPr>
              <w:rPr>
                <w:sz w:val="16"/>
              </w:rPr>
            </w:pPr>
            <w:r w:rsidRPr="005C5EAB">
              <w:rPr>
                <w:rFonts w:cs="Times New Roman"/>
                <w:sz w:val="16"/>
              </w:rPr>
              <w:t>Environmental Conservation and Sustainability</w:t>
            </w:r>
          </w:p>
        </w:tc>
        <w:tc>
          <w:tcPr>
            <w:tcW w:w="1134" w:type="dxa"/>
            <w:vAlign w:val="center"/>
          </w:tcPr>
          <w:p w14:paraId="3920C61C" w14:textId="77777777" w:rsidR="00AD6467" w:rsidRPr="00117572" w:rsidRDefault="00AD6467" w:rsidP="00423852">
            <w:pPr>
              <w:rPr>
                <w:rFonts w:cs="Times New Roman"/>
                <w:sz w:val="16"/>
              </w:rPr>
            </w:pPr>
            <w:r>
              <w:rPr>
                <w:rFonts w:cs="Times New Roman"/>
                <w:sz w:val="16"/>
              </w:rPr>
              <w:t>Sustainability</w:t>
            </w:r>
          </w:p>
        </w:tc>
        <w:tc>
          <w:tcPr>
            <w:tcW w:w="850" w:type="dxa"/>
            <w:vAlign w:val="center"/>
          </w:tcPr>
          <w:p w14:paraId="395CF7EA" w14:textId="3DB32451" w:rsidR="00AD6467" w:rsidRPr="005C5EAB" w:rsidRDefault="00AD6467" w:rsidP="00423852">
            <w:pPr>
              <w:rPr>
                <w:rFonts w:cs="Times New Roman"/>
                <w:sz w:val="16"/>
              </w:rPr>
            </w:pPr>
            <w:r>
              <w:rPr>
                <w:rFonts w:cs="Times New Roman"/>
                <w:sz w:val="16"/>
              </w:rPr>
              <w:t>National Environment Agency</w:t>
            </w:r>
          </w:p>
        </w:tc>
        <w:tc>
          <w:tcPr>
            <w:tcW w:w="993" w:type="dxa"/>
            <w:vAlign w:val="center"/>
          </w:tcPr>
          <w:p w14:paraId="3E9F9A62" w14:textId="77777777" w:rsidR="00AD6467" w:rsidRPr="005C5EAB" w:rsidRDefault="00AD6467" w:rsidP="00423852">
            <w:pPr>
              <w:rPr>
                <w:sz w:val="16"/>
              </w:rPr>
            </w:pPr>
            <w:bookmarkStart w:id="0" w:name="_GoBack"/>
            <w:r w:rsidRPr="005C5EAB">
              <w:rPr>
                <w:rFonts w:cs="Times New Roman"/>
                <w:sz w:val="16"/>
              </w:rPr>
              <w:t>6 – 10 May 2019</w:t>
            </w:r>
            <w:bookmarkEnd w:id="0"/>
          </w:p>
        </w:tc>
        <w:tc>
          <w:tcPr>
            <w:tcW w:w="1417" w:type="dxa"/>
            <w:vAlign w:val="center"/>
          </w:tcPr>
          <w:p w14:paraId="0BF27B4B" w14:textId="77777777" w:rsidR="00AD6467" w:rsidRPr="005C5EAB" w:rsidRDefault="00AD6467" w:rsidP="00423852">
            <w:pPr>
              <w:rPr>
                <w:sz w:val="16"/>
              </w:rPr>
            </w:pPr>
            <w:r w:rsidRPr="005C5EAB">
              <w:rPr>
                <w:rFonts w:cs="Times New Roman"/>
                <w:sz w:val="16"/>
              </w:rPr>
              <w:t>Middle level government officials involved in policymaking on environmental conservation and sustainability</w:t>
            </w:r>
          </w:p>
        </w:tc>
        <w:tc>
          <w:tcPr>
            <w:tcW w:w="3969" w:type="dxa"/>
            <w:vAlign w:val="center"/>
          </w:tcPr>
          <w:p w14:paraId="7070AFFB" w14:textId="77777777" w:rsidR="00AD6467" w:rsidRPr="005C5EAB" w:rsidRDefault="00AD6467" w:rsidP="00423852">
            <w:pPr>
              <w:autoSpaceDE w:val="0"/>
              <w:autoSpaceDN w:val="0"/>
              <w:adjustRightInd w:val="0"/>
              <w:jc w:val="both"/>
              <w:rPr>
                <w:rFonts w:cs="Times New Roman"/>
                <w:sz w:val="16"/>
              </w:rPr>
            </w:pPr>
          </w:p>
          <w:p w14:paraId="2E1C11D1" w14:textId="77777777" w:rsidR="00AD6467" w:rsidRPr="005C5EAB" w:rsidRDefault="00AD6467" w:rsidP="00423852">
            <w:pPr>
              <w:autoSpaceDE w:val="0"/>
              <w:autoSpaceDN w:val="0"/>
              <w:adjustRightInd w:val="0"/>
              <w:jc w:val="both"/>
              <w:rPr>
                <w:rFonts w:cs="Times New Roman"/>
                <w:sz w:val="16"/>
              </w:rPr>
            </w:pPr>
            <w:r w:rsidRPr="005C5EAB">
              <w:rPr>
                <w:rFonts w:cs="Times New Roman"/>
                <w:sz w:val="16"/>
              </w:rPr>
              <w:t>Addressing issues related to coastal population and urbanisation, this course analyses policymaking on environmental sustainability in various areas.</w:t>
            </w:r>
          </w:p>
          <w:p w14:paraId="05E44C7B" w14:textId="77777777" w:rsidR="00AD6467" w:rsidRPr="005C5EAB" w:rsidRDefault="00AD6467" w:rsidP="00423852">
            <w:pPr>
              <w:autoSpaceDE w:val="0"/>
              <w:autoSpaceDN w:val="0"/>
              <w:adjustRightInd w:val="0"/>
              <w:jc w:val="both"/>
              <w:rPr>
                <w:rFonts w:cs="Times New Roman"/>
                <w:sz w:val="16"/>
              </w:rPr>
            </w:pPr>
          </w:p>
          <w:p w14:paraId="2256BE16"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74C71CB1"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Sustainability and sustainable pathways</w:t>
            </w:r>
          </w:p>
          <w:p w14:paraId="15A4B62D"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Environmental threats in land, sea and air</w:t>
            </w:r>
          </w:p>
          <w:p w14:paraId="6AEDAA32" w14:textId="1C850CEC"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Land and ocean-based con</w:t>
            </w:r>
            <w:r>
              <w:rPr>
                <w:rFonts w:cs="Times New Roman"/>
                <w:sz w:val="16"/>
              </w:rPr>
              <w:t>ser</w:t>
            </w:r>
            <w:r w:rsidRPr="005C5EAB">
              <w:rPr>
                <w:rFonts w:cs="Times New Roman"/>
                <w:sz w:val="16"/>
              </w:rPr>
              <w:t>ation issues</w:t>
            </w:r>
          </w:p>
          <w:p w14:paraId="3AA735CD"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Pollution, health and climate change</w:t>
            </w:r>
          </w:p>
          <w:p w14:paraId="3BC7DA35"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Freshwater sustainability and water security</w:t>
            </w:r>
          </w:p>
          <w:p w14:paraId="7D0AE9D5"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Food production and security</w:t>
            </w:r>
          </w:p>
          <w:p w14:paraId="26B994A1"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Environmental conservation and Sustainable Development Goals</w:t>
            </w:r>
          </w:p>
          <w:p w14:paraId="3887AEE5" w14:textId="77777777" w:rsidR="00AD6467" w:rsidRPr="005C5EAB" w:rsidRDefault="00AD6467" w:rsidP="00423852">
            <w:pPr>
              <w:pStyle w:val="ListParagraph"/>
              <w:autoSpaceDE w:val="0"/>
              <w:autoSpaceDN w:val="0"/>
              <w:adjustRightInd w:val="0"/>
              <w:ind w:left="360"/>
              <w:jc w:val="both"/>
              <w:rPr>
                <w:rFonts w:cs="Times New Roman"/>
                <w:sz w:val="16"/>
              </w:rPr>
            </w:pPr>
          </w:p>
        </w:tc>
      </w:tr>
      <w:tr w:rsidR="00AD6467" w14:paraId="01991B4D" w14:textId="77777777" w:rsidTr="00AD6467">
        <w:trPr>
          <w:trHeight w:val="1212"/>
        </w:trPr>
        <w:tc>
          <w:tcPr>
            <w:tcW w:w="625" w:type="dxa"/>
            <w:vAlign w:val="center"/>
          </w:tcPr>
          <w:p w14:paraId="25590979" w14:textId="77777777" w:rsidR="00AD6467" w:rsidRPr="005C5EAB" w:rsidRDefault="00AD6467" w:rsidP="00423852">
            <w:pPr>
              <w:jc w:val="center"/>
              <w:rPr>
                <w:sz w:val="16"/>
              </w:rPr>
            </w:pPr>
            <w:r>
              <w:rPr>
                <w:sz w:val="16"/>
              </w:rPr>
              <w:t>2</w:t>
            </w:r>
          </w:p>
        </w:tc>
        <w:tc>
          <w:tcPr>
            <w:tcW w:w="1360" w:type="dxa"/>
            <w:vAlign w:val="center"/>
          </w:tcPr>
          <w:p w14:paraId="63CD2F43" w14:textId="77777777" w:rsidR="00AD6467" w:rsidRPr="005C5EAB" w:rsidRDefault="00AD6467" w:rsidP="00423852">
            <w:pPr>
              <w:rPr>
                <w:sz w:val="16"/>
              </w:rPr>
            </w:pPr>
            <w:r w:rsidRPr="005C5EAB">
              <w:rPr>
                <w:sz w:val="16"/>
              </w:rPr>
              <w:t>Disaster Risk Reduction</w:t>
            </w:r>
          </w:p>
        </w:tc>
        <w:tc>
          <w:tcPr>
            <w:tcW w:w="1134" w:type="dxa"/>
            <w:vAlign w:val="center"/>
          </w:tcPr>
          <w:p w14:paraId="519B020B" w14:textId="77777777" w:rsidR="00AD6467" w:rsidRPr="005C5EAB" w:rsidRDefault="00AD6467" w:rsidP="00423852">
            <w:pPr>
              <w:rPr>
                <w:rFonts w:cs="Times New Roman"/>
                <w:sz w:val="16"/>
              </w:rPr>
            </w:pPr>
            <w:r>
              <w:rPr>
                <w:rFonts w:cs="Times New Roman"/>
                <w:sz w:val="16"/>
              </w:rPr>
              <w:t>Resilience Building</w:t>
            </w:r>
          </w:p>
        </w:tc>
        <w:tc>
          <w:tcPr>
            <w:tcW w:w="850" w:type="dxa"/>
            <w:vAlign w:val="center"/>
          </w:tcPr>
          <w:p w14:paraId="42AA3EA1" w14:textId="31D6519B" w:rsidR="00AD6467" w:rsidRPr="005C5EAB" w:rsidRDefault="00AD6467" w:rsidP="005957E8">
            <w:pPr>
              <w:rPr>
                <w:rFonts w:cs="Times New Roman"/>
                <w:sz w:val="16"/>
              </w:rPr>
            </w:pPr>
            <w:r>
              <w:rPr>
                <w:rFonts w:cs="Times New Roman"/>
                <w:sz w:val="16"/>
                <w:szCs w:val="20"/>
              </w:rPr>
              <w:t>Ministry of Foreign Affairs</w:t>
            </w:r>
          </w:p>
        </w:tc>
        <w:tc>
          <w:tcPr>
            <w:tcW w:w="993" w:type="dxa"/>
            <w:vAlign w:val="center"/>
          </w:tcPr>
          <w:p w14:paraId="18319024" w14:textId="77777777" w:rsidR="00AD6467" w:rsidRPr="007A53B4" w:rsidRDefault="00AD6467" w:rsidP="00423852">
            <w:pPr>
              <w:rPr>
                <w:rFonts w:cs="Times New Roman"/>
                <w:sz w:val="16"/>
              </w:rPr>
            </w:pPr>
            <w:r w:rsidRPr="007A53B4">
              <w:rPr>
                <w:rFonts w:cs="Times New Roman"/>
                <w:sz w:val="16"/>
              </w:rPr>
              <w:t>3 – 6 September 2019</w:t>
            </w:r>
          </w:p>
        </w:tc>
        <w:tc>
          <w:tcPr>
            <w:tcW w:w="1417" w:type="dxa"/>
            <w:vAlign w:val="center"/>
          </w:tcPr>
          <w:p w14:paraId="40736CE6" w14:textId="77777777" w:rsidR="00AD6467" w:rsidRPr="005C5EAB" w:rsidRDefault="00AD6467" w:rsidP="00423852">
            <w:pPr>
              <w:rPr>
                <w:sz w:val="16"/>
              </w:rPr>
            </w:pPr>
            <w:r w:rsidRPr="005C5EAB">
              <w:rPr>
                <w:rFonts w:cs="Times New Roman"/>
                <w:sz w:val="16"/>
              </w:rPr>
              <w:t>Middle to senior level officials involved in planning and implementing disaster risk policy and management</w:t>
            </w:r>
          </w:p>
        </w:tc>
        <w:tc>
          <w:tcPr>
            <w:tcW w:w="3969" w:type="dxa"/>
            <w:vAlign w:val="center"/>
          </w:tcPr>
          <w:p w14:paraId="272599C2" w14:textId="77777777" w:rsidR="00AD6467" w:rsidRPr="005C5EAB" w:rsidRDefault="00AD6467" w:rsidP="00423852">
            <w:pPr>
              <w:rPr>
                <w:rFonts w:cs="Times New Roman"/>
                <w:sz w:val="16"/>
              </w:rPr>
            </w:pPr>
          </w:p>
          <w:p w14:paraId="68887806" w14:textId="77777777" w:rsidR="00AD6467" w:rsidRPr="005C5EAB" w:rsidRDefault="00AD6467" w:rsidP="00423852">
            <w:pPr>
              <w:rPr>
                <w:rFonts w:cs="Times New Roman"/>
                <w:sz w:val="16"/>
              </w:rPr>
            </w:pPr>
            <w:r w:rsidRPr="005C5EAB">
              <w:rPr>
                <w:rFonts w:cs="Times New Roman"/>
                <w:sz w:val="16"/>
              </w:rPr>
              <w:t xml:space="preserve">Conducted in collaboration with the United Nations Office for Disaster Risk Reduction (UNISDR), this course looks at the key principles of disaster risk reduction and the hardcoding of resilience into policy, infrastructure and human behaviour. </w:t>
            </w:r>
          </w:p>
          <w:p w14:paraId="56716222" w14:textId="77777777" w:rsidR="00AD6467" w:rsidRPr="005C5EAB" w:rsidRDefault="00AD6467" w:rsidP="00423852">
            <w:pPr>
              <w:rPr>
                <w:rFonts w:cs="Times New Roman"/>
                <w:sz w:val="16"/>
              </w:rPr>
            </w:pPr>
          </w:p>
          <w:p w14:paraId="56CE9807"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4EAB310A"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 xml:space="preserve">Vulnerability assessment </w:t>
            </w:r>
          </w:p>
          <w:p w14:paraId="18852713"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Early warning systems and pandemic preparedness</w:t>
            </w:r>
          </w:p>
          <w:p w14:paraId="4738C098"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Emergency management and evacuation plans</w:t>
            </w:r>
          </w:p>
          <w:p w14:paraId="67416600"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Public-private partnership to strengthen decision-making</w:t>
            </w:r>
          </w:p>
          <w:p w14:paraId="52F30596"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Climate change adaptation and mitigation</w:t>
            </w:r>
          </w:p>
          <w:p w14:paraId="502A216F" w14:textId="77777777" w:rsidR="00AD6467" w:rsidRPr="005C5EAB" w:rsidRDefault="00AD6467" w:rsidP="00423852">
            <w:pPr>
              <w:pStyle w:val="ListParagraph"/>
              <w:autoSpaceDE w:val="0"/>
              <w:autoSpaceDN w:val="0"/>
              <w:adjustRightInd w:val="0"/>
              <w:ind w:left="360"/>
              <w:jc w:val="both"/>
              <w:rPr>
                <w:rFonts w:cs="Times New Roman"/>
                <w:sz w:val="16"/>
              </w:rPr>
            </w:pPr>
          </w:p>
        </w:tc>
      </w:tr>
      <w:tr w:rsidR="00AD6467" w14:paraId="70E6868E" w14:textId="77777777" w:rsidTr="00AD6467">
        <w:trPr>
          <w:trHeight w:val="1212"/>
        </w:trPr>
        <w:tc>
          <w:tcPr>
            <w:tcW w:w="625" w:type="dxa"/>
            <w:vAlign w:val="center"/>
          </w:tcPr>
          <w:p w14:paraId="69B913CA" w14:textId="77777777" w:rsidR="00AD6467" w:rsidRPr="005C5EAB" w:rsidRDefault="00AD6467" w:rsidP="00423852">
            <w:pPr>
              <w:jc w:val="center"/>
              <w:rPr>
                <w:sz w:val="16"/>
              </w:rPr>
            </w:pPr>
            <w:r>
              <w:rPr>
                <w:sz w:val="16"/>
              </w:rPr>
              <w:t>3</w:t>
            </w:r>
          </w:p>
        </w:tc>
        <w:tc>
          <w:tcPr>
            <w:tcW w:w="1360" w:type="dxa"/>
            <w:vAlign w:val="center"/>
          </w:tcPr>
          <w:p w14:paraId="7C391CC6" w14:textId="77777777" w:rsidR="00AD6467" w:rsidRPr="005C5EAB" w:rsidRDefault="00AD6467" w:rsidP="00423852">
            <w:pPr>
              <w:rPr>
                <w:sz w:val="16"/>
              </w:rPr>
            </w:pPr>
            <w:r w:rsidRPr="005C5EAB">
              <w:rPr>
                <w:rFonts w:cs="Times New Roman"/>
                <w:sz w:val="16"/>
              </w:rPr>
              <w:t>Climate Change: Adaptation and Mitigation Strategies</w:t>
            </w:r>
          </w:p>
        </w:tc>
        <w:tc>
          <w:tcPr>
            <w:tcW w:w="1134" w:type="dxa"/>
            <w:vAlign w:val="center"/>
          </w:tcPr>
          <w:p w14:paraId="3611CEEB" w14:textId="77777777" w:rsidR="00AD6467" w:rsidRPr="00117572" w:rsidRDefault="00AD6467" w:rsidP="00423852">
            <w:pPr>
              <w:rPr>
                <w:rFonts w:cs="Times New Roman"/>
                <w:sz w:val="16"/>
              </w:rPr>
            </w:pPr>
            <w:r>
              <w:rPr>
                <w:rFonts w:cs="Times New Roman"/>
                <w:sz w:val="16"/>
              </w:rPr>
              <w:t>Climate Adaptation &amp; Mitigation</w:t>
            </w:r>
          </w:p>
        </w:tc>
        <w:tc>
          <w:tcPr>
            <w:tcW w:w="850" w:type="dxa"/>
            <w:vAlign w:val="center"/>
          </w:tcPr>
          <w:p w14:paraId="643BD1EE" w14:textId="0605862C" w:rsidR="00AD6467" w:rsidRPr="005C5EAB" w:rsidRDefault="00AD6467" w:rsidP="00423852">
            <w:pPr>
              <w:rPr>
                <w:rFonts w:cs="Times New Roman"/>
                <w:sz w:val="16"/>
              </w:rPr>
            </w:pPr>
            <w:r>
              <w:rPr>
                <w:rFonts w:cs="Times New Roman"/>
                <w:sz w:val="16"/>
              </w:rPr>
              <w:t>National Environment Agency</w:t>
            </w:r>
          </w:p>
        </w:tc>
        <w:tc>
          <w:tcPr>
            <w:tcW w:w="993" w:type="dxa"/>
            <w:vAlign w:val="center"/>
          </w:tcPr>
          <w:p w14:paraId="65F17904" w14:textId="77777777" w:rsidR="00AD6467" w:rsidRPr="003C018E" w:rsidRDefault="00AD6467" w:rsidP="00423852">
            <w:pPr>
              <w:rPr>
                <w:rFonts w:cs="Times New Roman"/>
                <w:sz w:val="16"/>
              </w:rPr>
            </w:pPr>
            <w:r w:rsidRPr="003C018E">
              <w:rPr>
                <w:rFonts w:cs="Times New Roman"/>
                <w:sz w:val="16"/>
              </w:rPr>
              <w:t>9 – 13 September 2019</w:t>
            </w:r>
          </w:p>
        </w:tc>
        <w:tc>
          <w:tcPr>
            <w:tcW w:w="1417" w:type="dxa"/>
            <w:vAlign w:val="center"/>
          </w:tcPr>
          <w:p w14:paraId="7BBC7B52" w14:textId="77777777" w:rsidR="00AD6467" w:rsidRPr="005C5EAB" w:rsidRDefault="00AD6467" w:rsidP="00423852">
            <w:pPr>
              <w:rPr>
                <w:rFonts w:cs="Times New Roman"/>
                <w:sz w:val="16"/>
              </w:rPr>
            </w:pPr>
            <w:r w:rsidRPr="005C5EAB">
              <w:rPr>
                <w:rFonts w:cs="Times New Roman"/>
                <w:sz w:val="16"/>
              </w:rPr>
              <w:t>Middle level government officials involved in climate change, adaptation strategies and mitigation measures</w:t>
            </w:r>
          </w:p>
        </w:tc>
        <w:tc>
          <w:tcPr>
            <w:tcW w:w="3969" w:type="dxa"/>
            <w:vAlign w:val="center"/>
          </w:tcPr>
          <w:p w14:paraId="08D3F613" w14:textId="77777777" w:rsidR="00AD6467" w:rsidRPr="005C5EAB" w:rsidRDefault="00AD6467" w:rsidP="00423852">
            <w:pPr>
              <w:autoSpaceDE w:val="0"/>
              <w:autoSpaceDN w:val="0"/>
              <w:adjustRightInd w:val="0"/>
              <w:jc w:val="both"/>
              <w:rPr>
                <w:rFonts w:cs="Times New Roman"/>
                <w:sz w:val="16"/>
              </w:rPr>
            </w:pPr>
          </w:p>
          <w:p w14:paraId="4693DEFD" w14:textId="77777777" w:rsidR="00AD6467" w:rsidRPr="005C5EAB" w:rsidRDefault="00AD6467" w:rsidP="00423852">
            <w:pPr>
              <w:autoSpaceDE w:val="0"/>
              <w:autoSpaceDN w:val="0"/>
              <w:adjustRightInd w:val="0"/>
              <w:jc w:val="both"/>
              <w:rPr>
                <w:rFonts w:cs="Times New Roman"/>
                <w:sz w:val="16"/>
              </w:rPr>
            </w:pPr>
            <w:r w:rsidRPr="005C5EAB">
              <w:rPr>
                <w:rFonts w:cs="Times New Roman"/>
                <w:sz w:val="16"/>
              </w:rPr>
              <w:t>Focusing on ways to mitigate environmental challenges that arise from climate change, this course discusses the impact of climate change, and the various adaptation and mitigation strategies.</w:t>
            </w:r>
          </w:p>
          <w:p w14:paraId="31DE7092" w14:textId="77777777" w:rsidR="00AD6467" w:rsidRPr="005C5EAB" w:rsidRDefault="00AD6467" w:rsidP="00423852">
            <w:pPr>
              <w:autoSpaceDE w:val="0"/>
              <w:autoSpaceDN w:val="0"/>
              <w:adjustRightInd w:val="0"/>
              <w:jc w:val="both"/>
              <w:rPr>
                <w:rFonts w:cs="Times New Roman"/>
                <w:sz w:val="16"/>
              </w:rPr>
            </w:pPr>
          </w:p>
          <w:p w14:paraId="3D9150A7"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0ACFF8AE"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Understanding the risks and impact of climate change</w:t>
            </w:r>
          </w:p>
          <w:p w14:paraId="6783CECD"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lastRenderedPageBreak/>
              <w:t>Adaptation strategies in urban environments, freshwater, food, health, transportation and rising sea levels</w:t>
            </w:r>
          </w:p>
          <w:p w14:paraId="46A17307"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Mitigation technologies and policies</w:t>
            </w:r>
          </w:p>
          <w:p w14:paraId="3AC6A43E"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Reflections on Singapore’s environmental journey</w:t>
            </w:r>
          </w:p>
          <w:p w14:paraId="7197AA0C"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Energy efficiency in Singapore</w:t>
            </w:r>
          </w:p>
          <w:p w14:paraId="62639228" w14:textId="77777777" w:rsidR="00AD6467" w:rsidRPr="005C5EAB" w:rsidRDefault="00AD6467" w:rsidP="00423852">
            <w:pPr>
              <w:pStyle w:val="ListParagraph"/>
              <w:autoSpaceDE w:val="0"/>
              <w:autoSpaceDN w:val="0"/>
              <w:adjustRightInd w:val="0"/>
              <w:ind w:left="360"/>
              <w:jc w:val="both"/>
              <w:rPr>
                <w:rFonts w:cs="Times New Roman"/>
                <w:sz w:val="16"/>
              </w:rPr>
            </w:pPr>
          </w:p>
        </w:tc>
      </w:tr>
      <w:tr w:rsidR="00AD6467" w14:paraId="5B53B2FC" w14:textId="77777777" w:rsidTr="00AD6467">
        <w:trPr>
          <w:trHeight w:val="1212"/>
        </w:trPr>
        <w:tc>
          <w:tcPr>
            <w:tcW w:w="625" w:type="dxa"/>
            <w:vAlign w:val="center"/>
          </w:tcPr>
          <w:p w14:paraId="56C4F809" w14:textId="77777777" w:rsidR="00AD6467" w:rsidRPr="005C5EAB" w:rsidRDefault="00AD6467" w:rsidP="00423852">
            <w:pPr>
              <w:jc w:val="center"/>
              <w:rPr>
                <w:sz w:val="16"/>
              </w:rPr>
            </w:pPr>
            <w:r>
              <w:rPr>
                <w:sz w:val="16"/>
              </w:rPr>
              <w:lastRenderedPageBreak/>
              <w:t>4</w:t>
            </w:r>
          </w:p>
        </w:tc>
        <w:tc>
          <w:tcPr>
            <w:tcW w:w="1360" w:type="dxa"/>
            <w:vAlign w:val="center"/>
          </w:tcPr>
          <w:p w14:paraId="5D6C5440" w14:textId="77777777" w:rsidR="00AD6467" w:rsidRPr="005C5EAB" w:rsidRDefault="00AD6467" w:rsidP="00423852">
            <w:pPr>
              <w:rPr>
                <w:sz w:val="16"/>
              </w:rPr>
            </w:pPr>
            <w:r w:rsidRPr="005C5EAB">
              <w:rPr>
                <w:rFonts w:cs="Times New Roman"/>
                <w:sz w:val="16"/>
              </w:rPr>
              <w:t>Clean Energy and Emission Reduction</w:t>
            </w:r>
          </w:p>
        </w:tc>
        <w:tc>
          <w:tcPr>
            <w:tcW w:w="1134" w:type="dxa"/>
            <w:vAlign w:val="center"/>
          </w:tcPr>
          <w:p w14:paraId="1FE8F311" w14:textId="77777777" w:rsidR="00AD6467" w:rsidRPr="005C5EAB" w:rsidRDefault="00AD6467" w:rsidP="00423852">
            <w:pPr>
              <w:rPr>
                <w:rFonts w:cs="Times New Roman"/>
                <w:sz w:val="16"/>
              </w:rPr>
            </w:pPr>
            <w:r>
              <w:rPr>
                <w:rFonts w:cs="Times New Roman"/>
                <w:sz w:val="16"/>
              </w:rPr>
              <w:t>Climate Mitigation</w:t>
            </w:r>
          </w:p>
        </w:tc>
        <w:tc>
          <w:tcPr>
            <w:tcW w:w="850" w:type="dxa"/>
            <w:vAlign w:val="center"/>
          </w:tcPr>
          <w:p w14:paraId="46C1A885" w14:textId="1CF8F7D0" w:rsidR="00AD6467" w:rsidRPr="005C5EAB" w:rsidRDefault="00AD6467" w:rsidP="00423852">
            <w:pPr>
              <w:rPr>
                <w:rFonts w:cs="Times New Roman"/>
                <w:sz w:val="16"/>
              </w:rPr>
            </w:pPr>
            <w:r>
              <w:rPr>
                <w:rFonts w:cs="Times New Roman"/>
                <w:sz w:val="16"/>
              </w:rPr>
              <w:t>National Environment Agency</w:t>
            </w:r>
          </w:p>
        </w:tc>
        <w:tc>
          <w:tcPr>
            <w:tcW w:w="993" w:type="dxa"/>
            <w:vAlign w:val="center"/>
          </w:tcPr>
          <w:p w14:paraId="0E6ACBE3" w14:textId="77777777" w:rsidR="00AD6467" w:rsidRPr="007A53B4" w:rsidRDefault="00AD6467" w:rsidP="00423852">
            <w:pPr>
              <w:rPr>
                <w:rFonts w:cs="Times New Roman"/>
                <w:sz w:val="16"/>
              </w:rPr>
            </w:pPr>
            <w:r w:rsidRPr="005C5EAB">
              <w:rPr>
                <w:rFonts w:cs="Times New Roman"/>
                <w:sz w:val="16"/>
              </w:rPr>
              <w:t>30 September – 4 October 2019</w:t>
            </w:r>
          </w:p>
        </w:tc>
        <w:tc>
          <w:tcPr>
            <w:tcW w:w="1417" w:type="dxa"/>
            <w:vAlign w:val="center"/>
          </w:tcPr>
          <w:p w14:paraId="321C8793" w14:textId="77777777" w:rsidR="00AD6467" w:rsidRPr="005C5EAB" w:rsidRDefault="00AD6467" w:rsidP="00423852">
            <w:pPr>
              <w:rPr>
                <w:sz w:val="16"/>
              </w:rPr>
            </w:pPr>
            <w:r w:rsidRPr="005C5EAB">
              <w:rPr>
                <w:rFonts w:cs="Times New Roman"/>
                <w:sz w:val="16"/>
              </w:rPr>
              <w:t>Middle to senior level officials involved in policymaking for sustainability and environmental excellence</w:t>
            </w:r>
          </w:p>
        </w:tc>
        <w:tc>
          <w:tcPr>
            <w:tcW w:w="3969" w:type="dxa"/>
            <w:vAlign w:val="center"/>
          </w:tcPr>
          <w:p w14:paraId="0B89F084" w14:textId="77777777" w:rsidR="00AD6467" w:rsidRPr="005C5EAB" w:rsidRDefault="00AD6467" w:rsidP="00423852">
            <w:pPr>
              <w:autoSpaceDE w:val="0"/>
              <w:autoSpaceDN w:val="0"/>
              <w:adjustRightInd w:val="0"/>
              <w:jc w:val="both"/>
              <w:rPr>
                <w:rFonts w:cs="Times New Roman"/>
                <w:sz w:val="16"/>
              </w:rPr>
            </w:pPr>
          </w:p>
          <w:p w14:paraId="45DCB0D3" w14:textId="77777777" w:rsidR="00AD6467" w:rsidRPr="005C5EAB" w:rsidRDefault="00AD6467" w:rsidP="00423852">
            <w:pPr>
              <w:autoSpaceDE w:val="0"/>
              <w:autoSpaceDN w:val="0"/>
              <w:adjustRightInd w:val="0"/>
              <w:jc w:val="both"/>
              <w:rPr>
                <w:rFonts w:cs="Times New Roman"/>
                <w:sz w:val="16"/>
              </w:rPr>
            </w:pPr>
            <w:r w:rsidRPr="005C5EAB">
              <w:rPr>
                <w:rFonts w:cs="Times New Roman"/>
                <w:sz w:val="16"/>
              </w:rPr>
              <w:t>This course shares Singapore’s multi-agency engagement in formulating clean and renewable energy solutions. It also aims to give a better appreciation of issues surrounding collective mitigating actions on a global scale.</w:t>
            </w:r>
          </w:p>
          <w:p w14:paraId="3E786352" w14:textId="77777777" w:rsidR="00AD6467" w:rsidRPr="005C5EAB" w:rsidRDefault="00AD6467" w:rsidP="00423852">
            <w:pPr>
              <w:autoSpaceDE w:val="0"/>
              <w:autoSpaceDN w:val="0"/>
              <w:adjustRightInd w:val="0"/>
              <w:jc w:val="both"/>
              <w:rPr>
                <w:rFonts w:cs="Times New Roman"/>
                <w:sz w:val="16"/>
              </w:rPr>
            </w:pPr>
          </w:p>
          <w:p w14:paraId="2B87245F"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7A8B1358"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Introduction to clean energy resources and technologies</w:t>
            </w:r>
          </w:p>
          <w:p w14:paraId="44721812"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Energy and climate security</w:t>
            </w:r>
          </w:p>
          <w:p w14:paraId="6812432D"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Sustainable and clean energy governance issues</w:t>
            </w:r>
          </w:p>
          <w:p w14:paraId="1FA810FB"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Clean Development Mechanism adoption and implementation</w:t>
            </w:r>
          </w:p>
          <w:p w14:paraId="0DA03BC9" w14:textId="77777777" w:rsidR="00AD6467" w:rsidRPr="005C5EAB" w:rsidRDefault="00AD6467" w:rsidP="00423852">
            <w:pPr>
              <w:autoSpaceDE w:val="0"/>
              <w:autoSpaceDN w:val="0"/>
              <w:adjustRightInd w:val="0"/>
              <w:ind w:left="360"/>
              <w:jc w:val="both"/>
              <w:rPr>
                <w:rFonts w:cs="Times New Roman"/>
                <w:sz w:val="16"/>
              </w:rPr>
            </w:pPr>
          </w:p>
        </w:tc>
      </w:tr>
      <w:tr w:rsidR="00AD6467" w14:paraId="38400960" w14:textId="77777777" w:rsidTr="00AD6467">
        <w:trPr>
          <w:trHeight w:val="1212"/>
        </w:trPr>
        <w:tc>
          <w:tcPr>
            <w:tcW w:w="625" w:type="dxa"/>
            <w:vAlign w:val="center"/>
          </w:tcPr>
          <w:p w14:paraId="3506504E" w14:textId="77777777" w:rsidR="00AD6467" w:rsidRPr="005C5EAB" w:rsidRDefault="00AD6467" w:rsidP="00423852">
            <w:pPr>
              <w:jc w:val="center"/>
              <w:rPr>
                <w:sz w:val="16"/>
              </w:rPr>
            </w:pPr>
            <w:r>
              <w:rPr>
                <w:sz w:val="16"/>
              </w:rPr>
              <w:t>5</w:t>
            </w:r>
          </w:p>
        </w:tc>
        <w:tc>
          <w:tcPr>
            <w:tcW w:w="1360" w:type="dxa"/>
            <w:vAlign w:val="center"/>
          </w:tcPr>
          <w:p w14:paraId="4E43833F" w14:textId="77777777" w:rsidR="00AD6467" w:rsidRPr="005C5EAB" w:rsidRDefault="00AD6467" w:rsidP="00423852">
            <w:pPr>
              <w:rPr>
                <w:sz w:val="16"/>
              </w:rPr>
            </w:pPr>
            <w:r w:rsidRPr="005C5EAB">
              <w:rPr>
                <w:rFonts w:cs="Times New Roman"/>
                <w:sz w:val="16"/>
              </w:rPr>
              <w:t>Managing Coastal Biodiversity under Urbanisation and Climate Change Pressures</w:t>
            </w:r>
          </w:p>
        </w:tc>
        <w:tc>
          <w:tcPr>
            <w:tcW w:w="1134" w:type="dxa"/>
            <w:vAlign w:val="center"/>
          </w:tcPr>
          <w:p w14:paraId="0F0EE999" w14:textId="77777777" w:rsidR="00AD6467" w:rsidRPr="00117572" w:rsidRDefault="00AD6467" w:rsidP="00423852">
            <w:pPr>
              <w:rPr>
                <w:rFonts w:cs="Times New Roman"/>
                <w:sz w:val="16"/>
              </w:rPr>
            </w:pPr>
            <w:r>
              <w:rPr>
                <w:rFonts w:cs="Times New Roman"/>
                <w:sz w:val="16"/>
              </w:rPr>
              <w:t>Biodiversity</w:t>
            </w:r>
          </w:p>
        </w:tc>
        <w:tc>
          <w:tcPr>
            <w:tcW w:w="850" w:type="dxa"/>
            <w:vAlign w:val="center"/>
          </w:tcPr>
          <w:p w14:paraId="4A2440AA" w14:textId="1647B863" w:rsidR="00AD6467" w:rsidRPr="005C5EAB" w:rsidRDefault="00AD6467" w:rsidP="00423852">
            <w:pPr>
              <w:rPr>
                <w:rFonts w:cs="Times New Roman"/>
                <w:sz w:val="16"/>
              </w:rPr>
            </w:pPr>
            <w:r>
              <w:rPr>
                <w:rFonts w:cs="Times New Roman"/>
                <w:sz w:val="16"/>
              </w:rPr>
              <w:t>National Environment Agency</w:t>
            </w:r>
          </w:p>
        </w:tc>
        <w:tc>
          <w:tcPr>
            <w:tcW w:w="993" w:type="dxa"/>
            <w:vAlign w:val="center"/>
          </w:tcPr>
          <w:p w14:paraId="6BD1886E" w14:textId="77777777" w:rsidR="00AD6467" w:rsidRPr="007A53B4" w:rsidRDefault="00AD6467" w:rsidP="00423852">
            <w:pPr>
              <w:rPr>
                <w:rFonts w:cs="Times New Roman"/>
                <w:sz w:val="16"/>
              </w:rPr>
            </w:pPr>
            <w:r>
              <w:rPr>
                <w:rFonts w:cs="Times New Roman"/>
                <w:sz w:val="16"/>
              </w:rPr>
              <w:t>14 – 18 October 2019</w:t>
            </w:r>
          </w:p>
        </w:tc>
        <w:tc>
          <w:tcPr>
            <w:tcW w:w="1417" w:type="dxa"/>
            <w:vAlign w:val="center"/>
          </w:tcPr>
          <w:p w14:paraId="606BD986" w14:textId="77777777" w:rsidR="00AD6467" w:rsidRPr="005C5EAB" w:rsidRDefault="00AD6467" w:rsidP="00423852">
            <w:pPr>
              <w:rPr>
                <w:sz w:val="16"/>
              </w:rPr>
            </w:pPr>
            <w:r w:rsidRPr="005C5EAB">
              <w:rPr>
                <w:rFonts w:cs="Times New Roman"/>
                <w:sz w:val="16"/>
              </w:rPr>
              <w:t>Middle level policymakers and government officials involved in coastal management</w:t>
            </w:r>
          </w:p>
        </w:tc>
        <w:tc>
          <w:tcPr>
            <w:tcW w:w="3969" w:type="dxa"/>
            <w:vAlign w:val="center"/>
          </w:tcPr>
          <w:p w14:paraId="2484C35F" w14:textId="77777777" w:rsidR="00AD6467" w:rsidRPr="005C5EAB" w:rsidRDefault="00AD6467" w:rsidP="00423852">
            <w:pPr>
              <w:autoSpaceDE w:val="0"/>
              <w:autoSpaceDN w:val="0"/>
              <w:adjustRightInd w:val="0"/>
              <w:jc w:val="both"/>
              <w:rPr>
                <w:rFonts w:cs="Times New Roman"/>
                <w:sz w:val="16"/>
              </w:rPr>
            </w:pPr>
          </w:p>
          <w:p w14:paraId="1447D740" w14:textId="77777777" w:rsidR="00AD6467" w:rsidRPr="005C5EAB" w:rsidRDefault="00AD6467" w:rsidP="00423852">
            <w:pPr>
              <w:autoSpaceDE w:val="0"/>
              <w:autoSpaceDN w:val="0"/>
              <w:adjustRightInd w:val="0"/>
              <w:jc w:val="both"/>
              <w:rPr>
                <w:rFonts w:cs="Times New Roman"/>
                <w:sz w:val="16"/>
              </w:rPr>
            </w:pPr>
            <w:r w:rsidRPr="005C5EAB">
              <w:rPr>
                <w:rFonts w:cs="Times New Roman"/>
                <w:sz w:val="16"/>
              </w:rPr>
              <w:t>This course shares Singapore’s approach to protect and manage coastal biodiversity despite urbanisation. It also discusses how climate change impacts Sustainable Development Goals.</w:t>
            </w:r>
          </w:p>
          <w:p w14:paraId="23196D85" w14:textId="77777777" w:rsidR="00AD6467" w:rsidRPr="005C5EAB" w:rsidRDefault="00AD6467" w:rsidP="00423852">
            <w:pPr>
              <w:autoSpaceDE w:val="0"/>
              <w:autoSpaceDN w:val="0"/>
              <w:adjustRightInd w:val="0"/>
              <w:jc w:val="both"/>
              <w:rPr>
                <w:rFonts w:cs="Times New Roman"/>
                <w:sz w:val="16"/>
              </w:rPr>
            </w:pPr>
          </w:p>
          <w:p w14:paraId="218B54CB"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7940C28A"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Ecosystem services and benefits</w:t>
            </w:r>
          </w:p>
          <w:p w14:paraId="44741D52"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Response to urbanisation and climate change impact</w:t>
            </w:r>
          </w:p>
          <w:p w14:paraId="3595AFED"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Enhancing biodiversity in urbanised coastal environment</w:t>
            </w:r>
          </w:p>
          <w:p w14:paraId="4A8AE878" w14:textId="77777777" w:rsidR="00AD6467" w:rsidRPr="005C5EAB" w:rsidRDefault="00AD6467" w:rsidP="00423852">
            <w:pPr>
              <w:pStyle w:val="ListParagraph"/>
              <w:numPr>
                <w:ilvl w:val="0"/>
                <w:numId w:val="1"/>
              </w:numPr>
              <w:autoSpaceDE w:val="0"/>
              <w:autoSpaceDN w:val="0"/>
              <w:adjustRightInd w:val="0"/>
              <w:jc w:val="both"/>
              <w:rPr>
                <w:rFonts w:cs="Times New Roman"/>
                <w:sz w:val="16"/>
              </w:rPr>
            </w:pPr>
            <w:r w:rsidRPr="005C5EAB">
              <w:rPr>
                <w:rFonts w:cs="Times New Roman"/>
                <w:sz w:val="16"/>
              </w:rPr>
              <w:t>Management approaches relevant to urbanisation, climate change adaptation and mitigation</w:t>
            </w:r>
          </w:p>
          <w:p w14:paraId="4E052779" w14:textId="77777777" w:rsidR="00AD6467" w:rsidRPr="005C5EAB" w:rsidRDefault="00AD6467" w:rsidP="00423852">
            <w:pPr>
              <w:pStyle w:val="ListParagraph"/>
              <w:autoSpaceDE w:val="0"/>
              <w:autoSpaceDN w:val="0"/>
              <w:adjustRightInd w:val="0"/>
              <w:ind w:left="360"/>
              <w:jc w:val="both"/>
              <w:rPr>
                <w:rFonts w:cs="Times New Roman"/>
                <w:sz w:val="16"/>
              </w:rPr>
            </w:pPr>
          </w:p>
        </w:tc>
      </w:tr>
      <w:tr w:rsidR="00AD6467" w14:paraId="70E109EA" w14:textId="77777777" w:rsidTr="00AD6467">
        <w:trPr>
          <w:trHeight w:val="1212"/>
        </w:trPr>
        <w:tc>
          <w:tcPr>
            <w:tcW w:w="625" w:type="dxa"/>
            <w:vAlign w:val="center"/>
          </w:tcPr>
          <w:p w14:paraId="0BB481F1" w14:textId="77777777" w:rsidR="00AD6467" w:rsidRPr="005C5EAB" w:rsidRDefault="00AD6467" w:rsidP="00423852">
            <w:pPr>
              <w:jc w:val="center"/>
              <w:rPr>
                <w:sz w:val="16"/>
              </w:rPr>
            </w:pPr>
            <w:r>
              <w:rPr>
                <w:sz w:val="16"/>
              </w:rPr>
              <w:t>6</w:t>
            </w:r>
          </w:p>
        </w:tc>
        <w:tc>
          <w:tcPr>
            <w:tcW w:w="1360" w:type="dxa"/>
            <w:vAlign w:val="center"/>
          </w:tcPr>
          <w:p w14:paraId="26E9BAC4" w14:textId="77777777" w:rsidR="00AD6467" w:rsidRPr="005C5EAB" w:rsidRDefault="00AD6467" w:rsidP="00423852">
            <w:pPr>
              <w:rPr>
                <w:sz w:val="16"/>
              </w:rPr>
            </w:pPr>
            <w:r w:rsidRPr="005C5EAB">
              <w:rPr>
                <w:rFonts w:cs="Times New Roman"/>
                <w:sz w:val="16"/>
              </w:rPr>
              <w:t>Green Climate Financing</w:t>
            </w:r>
          </w:p>
        </w:tc>
        <w:tc>
          <w:tcPr>
            <w:tcW w:w="1134" w:type="dxa"/>
            <w:vAlign w:val="center"/>
          </w:tcPr>
          <w:p w14:paraId="6FAEBE3A" w14:textId="77777777" w:rsidR="00AD6467" w:rsidRPr="005C5EAB" w:rsidRDefault="00AD6467" w:rsidP="00423852">
            <w:pPr>
              <w:rPr>
                <w:rFonts w:cs="Times New Roman"/>
                <w:sz w:val="16"/>
              </w:rPr>
            </w:pPr>
            <w:r>
              <w:rPr>
                <w:rFonts w:cs="Times New Roman"/>
                <w:sz w:val="16"/>
              </w:rPr>
              <w:t>Climate Finance</w:t>
            </w:r>
          </w:p>
        </w:tc>
        <w:tc>
          <w:tcPr>
            <w:tcW w:w="850" w:type="dxa"/>
            <w:vAlign w:val="center"/>
          </w:tcPr>
          <w:p w14:paraId="1DC4ACC9" w14:textId="45A16672" w:rsidR="00AD6467" w:rsidRPr="005C5EAB" w:rsidRDefault="00AD6467" w:rsidP="00423852">
            <w:pPr>
              <w:rPr>
                <w:rFonts w:cs="Times New Roman"/>
                <w:sz w:val="16"/>
              </w:rPr>
            </w:pPr>
            <w:r>
              <w:rPr>
                <w:rFonts w:cs="Times New Roman"/>
                <w:sz w:val="16"/>
                <w:szCs w:val="20"/>
              </w:rPr>
              <w:t>Ministry of Foreign Affairs</w:t>
            </w:r>
          </w:p>
        </w:tc>
        <w:tc>
          <w:tcPr>
            <w:tcW w:w="993" w:type="dxa"/>
            <w:vAlign w:val="center"/>
          </w:tcPr>
          <w:p w14:paraId="1D255C49" w14:textId="77777777" w:rsidR="00AD6467" w:rsidRPr="007A53B4" w:rsidRDefault="00AD6467" w:rsidP="00423852">
            <w:pPr>
              <w:rPr>
                <w:rFonts w:cs="Times New Roman"/>
                <w:sz w:val="16"/>
              </w:rPr>
            </w:pPr>
            <w:r w:rsidRPr="005C5EAB">
              <w:rPr>
                <w:rFonts w:cs="Times New Roman"/>
                <w:sz w:val="16"/>
              </w:rPr>
              <w:t>11 – 15 November 2019</w:t>
            </w:r>
          </w:p>
        </w:tc>
        <w:tc>
          <w:tcPr>
            <w:tcW w:w="1417" w:type="dxa"/>
            <w:vAlign w:val="center"/>
          </w:tcPr>
          <w:p w14:paraId="3D521803" w14:textId="77777777" w:rsidR="00AD6467" w:rsidRPr="005C5EAB" w:rsidRDefault="00AD6467" w:rsidP="00423852">
            <w:pPr>
              <w:rPr>
                <w:sz w:val="16"/>
              </w:rPr>
            </w:pPr>
            <w:r w:rsidRPr="005C5EAB">
              <w:rPr>
                <w:rFonts w:cs="Times New Roman"/>
                <w:sz w:val="16"/>
              </w:rPr>
              <w:t>Middle to senior level government officials involved in climate change projects, planning and investment</w:t>
            </w:r>
          </w:p>
        </w:tc>
        <w:tc>
          <w:tcPr>
            <w:tcW w:w="3969" w:type="dxa"/>
            <w:vAlign w:val="center"/>
          </w:tcPr>
          <w:p w14:paraId="11700D79" w14:textId="77777777" w:rsidR="00AD6467" w:rsidRPr="005C5EAB" w:rsidRDefault="00AD6467" w:rsidP="00423852">
            <w:pPr>
              <w:autoSpaceDE w:val="0"/>
              <w:autoSpaceDN w:val="0"/>
              <w:adjustRightInd w:val="0"/>
              <w:jc w:val="both"/>
              <w:rPr>
                <w:rFonts w:cs="Times New Roman"/>
                <w:sz w:val="16"/>
              </w:rPr>
            </w:pPr>
          </w:p>
          <w:p w14:paraId="12C1A165" w14:textId="5BE3EFEA" w:rsidR="00AD6467" w:rsidRPr="005C5EAB" w:rsidRDefault="00AD6467" w:rsidP="00423852">
            <w:pPr>
              <w:autoSpaceDE w:val="0"/>
              <w:autoSpaceDN w:val="0"/>
              <w:adjustRightInd w:val="0"/>
              <w:jc w:val="both"/>
              <w:rPr>
                <w:rFonts w:cs="Times New Roman"/>
                <w:sz w:val="16"/>
              </w:rPr>
            </w:pPr>
            <w:r w:rsidRPr="005C5EAB">
              <w:rPr>
                <w:rFonts w:cs="Times New Roman"/>
                <w:sz w:val="16"/>
              </w:rPr>
              <w:t>Focusing on climate financing strategies, th</w:t>
            </w:r>
            <w:r>
              <w:rPr>
                <w:rFonts w:cs="Times New Roman"/>
                <w:sz w:val="16"/>
              </w:rPr>
              <w:t>is</w:t>
            </w:r>
            <w:r w:rsidRPr="005C5EAB">
              <w:rPr>
                <w:rFonts w:cs="Times New Roman"/>
                <w:sz w:val="16"/>
              </w:rPr>
              <w:t xml:space="preserve"> course will provide insights into mechanisms available to support projects and programmes to counter climate change.</w:t>
            </w:r>
          </w:p>
          <w:p w14:paraId="29594947" w14:textId="77777777" w:rsidR="00AD6467" w:rsidRPr="005C5EAB" w:rsidRDefault="00AD6467" w:rsidP="00423852">
            <w:pPr>
              <w:autoSpaceDE w:val="0"/>
              <w:autoSpaceDN w:val="0"/>
              <w:adjustRightInd w:val="0"/>
              <w:jc w:val="both"/>
              <w:rPr>
                <w:rFonts w:cs="Times New Roman"/>
                <w:sz w:val="16"/>
              </w:rPr>
            </w:pPr>
          </w:p>
          <w:p w14:paraId="615CFB5D"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4723FF11"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United Nations Framework Convention on Climate Change (UNFCCC)</w:t>
            </w:r>
          </w:p>
          <w:p w14:paraId="4AFD18AD"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Trends in green climate financing</w:t>
            </w:r>
          </w:p>
          <w:p w14:paraId="6AA87518"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Global and regional climate financing sources</w:t>
            </w:r>
          </w:p>
          <w:p w14:paraId="5BA10829"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Challenges of National Implementing Entities and National Climate Finance Institutions</w:t>
            </w:r>
          </w:p>
          <w:p w14:paraId="4BC3030E"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Monitoring, reporting and verifying financial flows</w:t>
            </w:r>
          </w:p>
          <w:p w14:paraId="13591B16" w14:textId="77777777" w:rsidR="00AD6467" w:rsidRPr="005C5EAB" w:rsidRDefault="00AD6467" w:rsidP="00423852">
            <w:pPr>
              <w:autoSpaceDE w:val="0"/>
              <w:autoSpaceDN w:val="0"/>
              <w:adjustRightInd w:val="0"/>
              <w:ind w:left="360"/>
              <w:jc w:val="both"/>
              <w:rPr>
                <w:rFonts w:cs="Times New Roman"/>
                <w:sz w:val="16"/>
              </w:rPr>
            </w:pPr>
          </w:p>
        </w:tc>
      </w:tr>
      <w:tr w:rsidR="00AD6467" w14:paraId="65BC71C9" w14:textId="77777777" w:rsidTr="00AD6467">
        <w:trPr>
          <w:trHeight w:val="1212"/>
        </w:trPr>
        <w:tc>
          <w:tcPr>
            <w:tcW w:w="625" w:type="dxa"/>
            <w:vAlign w:val="center"/>
          </w:tcPr>
          <w:p w14:paraId="044653AB" w14:textId="77777777" w:rsidR="00AD6467" w:rsidRPr="005C5EAB" w:rsidRDefault="00AD6467" w:rsidP="00423852">
            <w:pPr>
              <w:jc w:val="center"/>
              <w:rPr>
                <w:sz w:val="16"/>
              </w:rPr>
            </w:pPr>
            <w:r>
              <w:rPr>
                <w:sz w:val="16"/>
              </w:rPr>
              <w:t>7</w:t>
            </w:r>
          </w:p>
        </w:tc>
        <w:tc>
          <w:tcPr>
            <w:tcW w:w="1360" w:type="dxa"/>
            <w:vAlign w:val="center"/>
          </w:tcPr>
          <w:p w14:paraId="19046BC4" w14:textId="77777777" w:rsidR="00AD6467" w:rsidRPr="005C5EAB" w:rsidRDefault="00AD6467" w:rsidP="00423852">
            <w:pPr>
              <w:rPr>
                <w:sz w:val="16"/>
              </w:rPr>
            </w:pPr>
            <w:r w:rsidRPr="005C5EAB">
              <w:rPr>
                <w:rFonts w:cs="Times New Roman"/>
                <w:sz w:val="16"/>
              </w:rPr>
              <w:t>Sustainable Urban Planning and Green City</w:t>
            </w:r>
          </w:p>
        </w:tc>
        <w:tc>
          <w:tcPr>
            <w:tcW w:w="1134" w:type="dxa"/>
            <w:vAlign w:val="center"/>
          </w:tcPr>
          <w:p w14:paraId="59A6EADC" w14:textId="77777777" w:rsidR="00AD6467" w:rsidRPr="005C5EAB" w:rsidRDefault="00AD6467" w:rsidP="00423852">
            <w:pPr>
              <w:rPr>
                <w:rFonts w:cs="Times New Roman"/>
                <w:sz w:val="16"/>
              </w:rPr>
            </w:pPr>
            <w:r>
              <w:rPr>
                <w:rFonts w:cs="Times New Roman"/>
                <w:sz w:val="16"/>
              </w:rPr>
              <w:t>Sustainability</w:t>
            </w:r>
          </w:p>
        </w:tc>
        <w:tc>
          <w:tcPr>
            <w:tcW w:w="850" w:type="dxa"/>
            <w:vAlign w:val="center"/>
          </w:tcPr>
          <w:p w14:paraId="738CDDA6" w14:textId="5958C15F" w:rsidR="00AD6467" w:rsidRPr="00EA0EE5" w:rsidRDefault="00AD6467" w:rsidP="00EA0EE5">
            <w:pPr>
              <w:rPr>
                <w:rFonts w:cs="Times New Roman"/>
                <w:sz w:val="16"/>
              </w:rPr>
            </w:pPr>
            <w:r>
              <w:rPr>
                <w:rFonts w:cs="Times New Roman"/>
                <w:sz w:val="16"/>
                <w:szCs w:val="20"/>
              </w:rPr>
              <w:t>Ministry of Foreign Affairs</w:t>
            </w:r>
          </w:p>
        </w:tc>
        <w:tc>
          <w:tcPr>
            <w:tcW w:w="993" w:type="dxa"/>
            <w:vAlign w:val="center"/>
          </w:tcPr>
          <w:p w14:paraId="7E202070" w14:textId="77777777" w:rsidR="00AD6467" w:rsidRPr="007A53B4" w:rsidRDefault="00AD6467" w:rsidP="00423852">
            <w:pPr>
              <w:rPr>
                <w:rFonts w:cs="Times New Roman"/>
                <w:sz w:val="16"/>
              </w:rPr>
            </w:pPr>
            <w:r w:rsidRPr="005C5EAB">
              <w:rPr>
                <w:rFonts w:cs="Times New Roman"/>
                <w:sz w:val="16"/>
              </w:rPr>
              <w:t>17 – 21 February 2020</w:t>
            </w:r>
          </w:p>
        </w:tc>
        <w:tc>
          <w:tcPr>
            <w:tcW w:w="1417" w:type="dxa"/>
            <w:vAlign w:val="center"/>
          </w:tcPr>
          <w:p w14:paraId="318961B3" w14:textId="77777777" w:rsidR="00AD6467" w:rsidRPr="005C5EAB" w:rsidRDefault="00AD6467" w:rsidP="00423852">
            <w:pPr>
              <w:rPr>
                <w:sz w:val="16"/>
              </w:rPr>
            </w:pPr>
            <w:r w:rsidRPr="005C5EAB">
              <w:rPr>
                <w:rFonts w:cs="Times New Roman"/>
                <w:sz w:val="16"/>
              </w:rPr>
              <w:t>Middle to senior level officials involved in urban town planning, management and public works</w:t>
            </w:r>
          </w:p>
        </w:tc>
        <w:tc>
          <w:tcPr>
            <w:tcW w:w="3969" w:type="dxa"/>
            <w:vAlign w:val="center"/>
          </w:tcPr>
          <w:p w14:paraId="7E75D0FD" w14:textId="77777777" w:rsidR="00AD6467" w:rsidRPr="005C5EAB" w:rsidRDefault="00AD6467" w:rsidP="00423852">
            <w:pPr>
              <w:autoSpaceDE w:val="0"/>
              <w:autoSpaceDN w:val="0"/>
              <w:adjustRightInd w:val="0"/>
              <w:jc w:val="both"/>
              <w:rPr>
                <w:rFonts w:cs="Times New Roman"/>
                <w:sz w:val="16"/>
              </w:rPr>
            </w:pPr>
          </w:p>
          <w:p w14:paraId="08DF6643" w14:textId="77777777" w:rsidR="00AD6467" w:rsidRPr="005C5EAB" w:rsidRDefault="00AD6467" w:rsidP="00423852">
            <w:pPr>
              <w:autoSpaceDE w:val="0"/>
              <w:autoSpaceDN w:val="0"/>
              <w:adjustRightInd w:val="0"/>
              <w:jc w:val="both"/>
              <w:rPr>
                <w:rFonts w:cs="Times New Roman"/>
                <w:sz w:val="16"/>
              </w:rPr>
            </w:pPr>
            <w:r w:rsidRPr="005C5EAB">
              <w:rPr>
                <w:rFonts w:cs="Times New Roman"/>
                <w:sz w:val="16"/>
              </w:rPr>
              <w:t>This course focuses on best practices in pursuit of sustainable development. It shares Singapore’s experience in green city planning, policymaking and living in an eco-city.</w:t>
            </w:r>
          </w:p>
          <w:p w14:paraId="7D62BEA0" w14:textId="77777777" w:rsidR="00AD6467" w:rsidRPr="005C5EAB" w:rsidRDefault="00AD6467" w:rsidP="00423852">
            <w:pPr>
              <w:autoSpaceDE w:val="0"/>
              <w:autoSpaceDN w:val="0"/>
              <w:adjustRightInd w:val="0"/>
              <w:jc w:val="both"/>
              <w:rPr>
                <w:rFonts w:cs="Times New Roman"/>
                <w:sz w:val="16"/>
              </w:rPr>
            </w:pPr>
          </w:p>
          <w:p w14:paraId="5037F95C"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0E66145E" w14:textId="3CFF31C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 xml:space="preserve">Sustainable development and its application </w:t>
            </w:r>
            <w:r>
              <w:rPr>
                <w:rFonts w:cs="Times New Roman"/>
                <w:sz w:val="16"/>
              </w:rPr>
              <w:t>i</w:t>
            </w:r>
            <w:r w:rsidRPr="005C5EAB">
              <w:rPr>
                <w:rFonts w:cs="Times New Roman"/>
                <w:sz w:val="16"/>
              </w:rPr>
              <w:t>n green building, transportation and resource management</w:t>
            </w:r>
          </w:p>
          <w:p w14:paraId="7D281ABC"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Singapore’s experience as a green, liveable city</w:t>
            </w:r>
          </w:p>
          <w:p w14:paraId="06968E2B"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Delivering water and energy-efficient projects</w:t>
            </w:r>
          </w:p>
          <w:p w14:paraId="58D8C270" w14:textId="77777777" w:rsidR="00AD6467" w:rsidRPr="005C5EAB" w:rsidRDefault="00AD6467" w:rsidP="00423852">
            <w:pPr>
              <w:autoSpaceDE w:val="0"/>
              <w:autoSpaceDN w:val="0"/>
              <w:adjustRightInd w:val="0"/>
              <w:ind w:left="360"/>
              <w:jc w:val="both"/>
              <w:rPr>
                <w:rFonts w:cs="Times New Roman"/>
                <w:sz w:val="16"/>
              </w:rPr>
            </w:pPr>
          </w:p>
        </w:tc>
      </w:tr>
      <w:tr w:rsidR="00AD6467" w14:paraId="7B994103" w14:textId="77777777" w:rsidTr="00AD6467">
        <w:trPr>
          <w:trHeight w:val="1212"/>
        </w:trPr>
        <w:tc>
          <w:tcPr>
            <w:tcW w:w="625" w:type="dxa"/>
            <w:vAlign w:val="center"/>
          </w:tcPr>
          <w:p w14:paraId="09661EF7" w14:textId="77777777" w:rsidR="00AD6467" w:rsidRPr="005C5EAB" w:rsidRDefault="00AD6467" w:rsidP="00423852">
            <w:pPr>
              <w:jc w:val="center"/>
              <w:rPr>
                <w:sz w:val="16"/>
              </w:rPr>
            </w:pPr>
            <w:r>
              <w:rPr>
                <w:sz w:val="16"/>
              </w:rPr>
              <w:t>8</w:t>
            </w:r>
          </w:p>
        </w:tc>
        <w:tc>
          <w:tcPr>
            <w:tcW w:w="1360" w:type="dxa"/>
            <w:vAlign w:val="center"/>
          </w:tcPr>
          <w:p w14:paraId="2DBE8F45" w14:textId="77777777" w:rsidR="00AD6467" w:rsidRPr="005C5EAB" w:rsidRDefault="00AD6467" w:rsidP="00423852">
            <w:pPr>
              <w:rPr>
                <w:rFonts w:cs="Times New Roman"/>
                <w:sz w:val="16"/>
              </w:rPr>
            </w:pPr>
            <w:r w:rsidRPr="005C5EAB">
              <w:rPr>
                <w:rFonts w:cs="Times New Roman"/>
                <w:sz w:val="16"/>
              </w:rPr>
              <w:t>Sustainable Integrated Water Resources and Stormwater Management</w:t>
            </w:r>
          </w:p>
        </w:tc>
        <w:tc>
          <w:tcPr>
            <w:tcW w:w="1134" w:type="dxa"/>
            <w:vAlign w:val="center"/>
          </w:tcPr>
          <w:p w14:paraId="028B23FC" w14:textId="77777777" w:rsidR="00AD6467" w:rsidRDefault="00AD6467" w:rsidP="00423852">
            <w:pPr>
              <w:rPr>
                <w:rFonts w:cs="Times New Roman"/>
                <w:sz w:val="16"/>
              </w:rPr>
            </w:pPr>
            <w:r>
              <w:rPr>
                <w:rFonts w:cs="Times New Roman"/>
                <w:sz w:val="16"/>
              </w:rPr>
              <w:t>Water Resource Management</w:t>
            </w:r>
          </w:p>
        </w:tc>
        <w:tc>
          <w:tcPr>
            <w:tcW w:w="850" w:type="dxa"/>
            <w:vAlign w:val="center"/>
          </w:tcPr>
          <w:p w14:paraId="2EF02CD3" w14:textId="0BB7C47C" w:rsidR="00AD6467" w:rsidRPr="005C5EAB" w:rsidRDefault="00AD6467" w:rsidP="00423852">
            <w:pPr>
              <w:rPr>
                <w:rFonts w:cs="Times New Roman"/>
                <w:sz w:val="16"/>
              </w:rPr>
            </w:pPr>
            <w:r>
              <w:rPr>
                <w:rFonts w:cs="Times New Roman"/>
                <w:sz w:val="16"/>
              </w:rPr>
              <w:t>PUB, Singapore’s National Water Agency</w:t>
            </w:r>
          </w:p>
        </w:tc>
        <w:tc>
          <w:tcPr>
            <w:tcW w:w="993" w:type="dxa"/>
            <w:vAlign w:val="center"/>
          </w:tcPr>
          <w:p w14:paraId="4EF46FEC" w14:textId="77777777" w:rsidR="00AD6467" w:rsidRPr="005C5EAB" w:rsidRDefault="00AD6467" w:rsidP="00423852">
            <w:pPr>
              <w:rPr>
                <w:rFonts w:cs="Times New Roman"/>
                <w:sz w:val="16"/>
              </w:rPr>
            </w:pPr>
            <w:r w:rsidRPr="005C5EAB">
              <w:rPr>
                <w:rFonts w:cs="Times New Roman"/>
                <w:sz w:val="16"/>
              </w:rPr>
              <w:t>9 – 11 March 2020</w:t>
            </w:r>
          </w:p>
        </w:tc>
        <w:tc>
          <w:tcPr>
            <w:tcW w:w="1417" w:type="dxa"/>
            <w:vAlign w:val="center"/>
          </w:tcPr>
          <w:p w14:paraId="12769657" w14:textId="77777777" w:rsidR="00AD6467" w:rsidRPr="005C5EAB" w:rsidRDefault="00AD6467" w:rsidP="00423852">
            <w:pPr>
              <w:rPr>
                <w:rFonts w:cs="Times New Roman"/>
                <w:sz w:val="16"/>
              </w:rPr>
            </w:pPr>
            <w:r w:rsidRPr="005C5EAB">
              <w:rPr>
                <w:rFonts w:cs="Times New Roman"/>
                <w:sz w:val="16"/>
              </w:rPr>
              <w:t>Middle to senior level government officials involved in integrated water resources and stormwater management</w:t>
            </w:r>
          </w:p>
        </w:tc>
        <w:tc>
          <w:tcPr>
            <w:tcW w:w="3969" w:type="dxa"/>
            <w:vAlign w:val="center"/>
          </w:tcPr>
          <w:p w14:paraId="6A7246C5" w14:textId="77777777" w:rsidR="00AD6467" w:rsidRPr="005C5EAB" w:rsidRDefault="00AD6467" w:rsidP="00423852">
            <w:pPr>
              <w:autoSpaceDE w:val="0"/>
              <w:autoSpaceDN w:val="0"/>
              <w:adjustRightInd w:val="0"/>
              <w:jc w:val="both"/>
              <w:rPr>
                <w:rFonts w:cs="Times New Roman"/>
                <w:sz w:val="16"/>
              </w:rPr>
            </w:pPr>
          </w:p>
          <w:p w14:paraId="3D11D220" w14:textId="25257816" w:rsidR="00AD6467" w:rsidRPr="005C5EAB" w:rsidRDefault="00AD6467" w:rsidP="00423852">
            <w:pPr>
              <w:autoSpaceDE w:val="0"/>
              <w:autoSpaceDN w:val="0"/>
              <w:adjustRightInd w:val="0"/>
              <w:jc w:val="both"/>
              <w:rPr>
                <w:rFonts w:cs="Times New Roman"/>
                <w:sz w:val="16"/>
              </w:rPr>
            </w:pPr>
            <w:r w:rsidRPr="005C5EAB">
              <w:rPr>
                <w:rFonts w:cs="Times New Roman"/>
                <w:sz w:val="16"/>
              </w:rPr>
              <w:t>Th</w:t>
            </w:r>
            <w:r>
              <w:rPr>
                <w:rFonts w:cs="Times New Roman"/>
                <w:sz w:val="16"/>
              </w:rPr>
              <w:t>is</w:t>
            </w:r>
            <w:r w:rsidRPr="005C5EAB">
              <w:rPr>
                <w:rFonts w:cs="Times New Roman"/>
                <w:sz w:val="16"/>
              </w:rPr>
              <w:t xml:space="preserve"> course discusses approaches to integrated water resources management to deal with the extreme weather conditions brought on by climate change.</w:t>
            </w:r>
          </w:p>
          <w:p w14:paraId="6FB6F84E" w14:textId="77777777" w:rsidR="00AD6467" w:rsidRPr="005C5EAB" w:rsidRDefault="00AD6467" w:rsidP="00423852">
            <w:pPr>
              <w:autoSpaceDE w:val="0"/>
              <w:autoSpaceDN w:val="0"/>
              <w:adjustRightInd w:val="0"/>
              <w:jc w:val="both"/>
              <w:rPr>
                <w:rFonts w:cs="Times New Roman"/>
                <w:sz w:val="16"/>
              </w:rPr>
            </w:pPr>
          </w:p>
          <w:p w14:paraId="5960AAA4" w14:textId="77777777" w:rsidR="00AD6467" w:rsidRPr="005C5EAB" w:rsidRDefault="00AD6467" w:rsidP="00423852">
            <w:pPr>
              <w:autoSpaceDE w:val="0"/>
              <w:autoSpaceDN w:val="0"/>
              <w:adjustRightInd w:val="0"/>
              <w:rPr>
                <w:rFonts w:cs="Times New Roman"/>
                <w:sz w:val="16"/>
              </w:rPr>
            </w:pPr>
            <w:r w:rsidRPr="005C5EAB">
              <w:rPr>
                <w:rFonts w:cs="Times New Roman"/>
                <w:sz w:val="16"/>
              </w:rPr>
              <w:t>The following topics are covered:</w:t>
            </w:r>
          </w:p>
          <w:p w14:paraId="6C7F3B67"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Water supply diversification to enhance resilience to droughts</w:t>
            </w:r>
          </w:p>
          <w:p w14:paraId="6816D8D9"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Demand management to reduce consumption</w:t>
            </w:r>
          </w:p>
          <w:p w14:paraId="4F89F58A"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lastRenderedPageBreak/>
              <w:t>Stormwater management strategies</w:t>
            </w:r>
          </w:p>
          <w:p w14:paraId="7A9DA0DF" w14:textId="77777777" w:rsidR="00AD6467" w:rsidRPr="005C5EAB" w:rsidRDefault="00AD6467" w:rsidP="00423852">
            <w:pPr>
              <w:numPr>
                <w:ilvl w:val="0"/>
                <w:numId w:val="1"/>
              </w:numPr>
              <w:autoSpaceDE w:val="0"/>
              <w:autoSpaceDN w:val="0"/>
              <w:adjustRightInd w:val="0"/>
              <w:jc w:val="both"/>
              <w:rPr>
                <w:rFonts w:cs="Times New Roman"/>
                <w:sz w:val="16"/>
              </w:rPr>
            </w:pPr>
            <w:r w:rsidRPr="005C5EAB">
              <w:rPr>
                <w:rFonts w:cs="Times New Roman"/>
                <w:sz w:val="16"/>
              </w:rPr>
              <w:t>Smart solutions to improve water sustainability</w:t>
            </w:r>
          </w:p>
          <w:p w14:paraId="0C3180E1" w14:textId="77777777" w:rsidR="00AD6467" w:rsidRPr="005C5EAB" w:rsidRDefault="00AD6467" w:rsidP="00423852">
            <w:pPr>
              <w:autoSpaceDE w:val="0"/>
              <w:autoSpaceDN w:val="0"/>
              <w:adjustRightInd w:val="0"/>
              <w:ind w:left="360"/>
              <w:jc w:val="both"/>
              <w:rPr>
                <w:rFonts w:cs="Times New Roman"/>
                <w:sz w:val="16"/>
              </w:rPr>
            </w:pPr>
          </w:p>
        </w:tc>
      </w:tr>
    </w:tbl>
    <w:p w14:paraId="41601995" w14:textId="77777777" w:rsidR="00423852" w:rsidRDefault="00423852"/>
    <w:p w14:paraId="1EC24EF5" w14:textId="77777777" w:rsidR="005D79FC" w:rsidRDefault="005D79FC" w:rsidP="002E5D41">
      <w:pPr>
        <w:ind w:left="-1134" w:right="-1322"/>
        <w:rPr>
          <w:u w:val="single"/>
        </w:rPr>
      </w:pPr>
    </w:p>
    <w:p w14:paraId="1F5BE113" w14:textId="77777777" w:rsidR="002E5D41" w:rsidRPr="002E5D41" w:rsidRDefault="002E5D41" w:rsidP="002E5D41">
      <w:pPr>
        <w:ind w:left="-1134" w:right="-1322"/>
        <w:rPr>
          <w:u w:val="single"/>
        </w:rPr>
      </w:pPr>
      <w:r>
        <w:rPr>
          <w:u w:val="single"/>
        </w:rPr>
        <w:t>Other MEWR Family</w:t>
      </w:r>
      <w:r w:rsidR="00A475FA">
        <w:rPr>
          <w:u w:val="single"/>
        </w:rPr>
        <w:t>-led</w:t>
      </w:r>
      <w:r>
        <w:rPr>
          <w:u w:val="single"/>
        </w:rPr>
        <w:t xml:space="preserve"> </w:t>
      </w:r>
      <w:r w:rsidRPr="002E5D41">
        <w:rPr>
          <w:u w:val="single"/>
        </w:rPr>
        <w:t xml:space="preserve">Courses under the </w:t>
      </w:r>
      <w:r>
        <w:rPr>
          <w:u w:val="single"/>
        </w:rPr>
        <w:t>Singapore Cooperation Programme</w:t>
      </w:r>
    </w:p>
    <w:p w14:paraId="22D6681A" w14:textId="77777777" w:rsidR="00423852" w:rsidRDefault="00423852"/>
    <w:tbl>
      <w:tblPr>
        <w:tblStyle w:val="TableGrid"/>
        <w:tblW w:w="11413" w:type="dxa"/>
        <w:tblInd w:w="-1139" w:type="dxa"/>
        <w:tblLayout w:type="fixed"/>
        <w:tblLook w:val="04A0" w:firstRow="1" w:lastRow="0" w:firstColumn="1" w:lastColumn="0" w:noHBand="0" w:noVBand="1"/>
      </w:tblPr>
      <w:tblGrid>
        <w:gridCol w:w="625"/>
        <w:gridCol w:w="1643"/>
        <w:gridCol w:w="1134"/>
        <w:gridCol w:w="851"/>
        <w:gridCol w:w="878"/>
        <w:gridCol w:w="1673"/>
        <w:gridCol w:w="3226"/>
        <w:gridCol w:w="1383"/>
      </w:tblGrid>
      <w:tr w:rsidR="00423852" w:rsidRPr="00423852" w14:paraId="1188A5DA" w14:textId="77777777" w:rsidTr="00423852">
        <w:trPr>
          <w:trHeight w:val="583"/>
        </w:trPr>
        <w:tc>
          <w:tcPr>
            <w:tcW w:w="625" w:type="dxa"/>
            <w:shd w:val="clear" w:color="auto" w:fill="DEEAF6" w:themeFill="accent1" w:themeFillTint="33"/>
            <w:vAlign w:val="center"/>
          </w:tcPr>
          <w:p w14:paraId="16646AE4" w14:textId="77777777" w:rsidR="00423852" w:rsidRPr="005C5EAB" w:rsidRDefault="00423852" w:rsidP="00607317">
            <w:pPr>
              <w:jc w:val="center"/>
              <w:rPr>
                <w:b/>
                <w:sz w:val="16"/>
              </w:rPr>
            </w:pPr>
            <w:r w:rsidRPr="005C5EAB">
              <w:rPr>
                <w:b/>
                <w:sz w:val="16"/>
              </w:rPr>
              <w:t>S/N</w:t>
            </w:r>
          </w:p>
        </w:tc>
        <w:tc>
          <w:tcPr>
            <w:tcW w:w="1643" w:type="dxa"/>
            <w:shd w:val="clear" w:color="auto" w:fill="DEEAF6" w:themeFill="accent1" w:themeFillTint="33"/>
            <w:vAlign w:val="center"/>
          </w:tcPr>
          <w:p w14:paraId="25655E35" w14:textId="77777777" w:rsidR="00423852" w:rsidRPr="005C5EAB" w:rsidRDefault="00423852" w:rsidP="00607317">
            <w:pPr>
              <w:jc w:val="center"/>
              <w:rPr>
                <w:b/>
                <w:sz w:val="16"/>
              </w:rPr>
            </w:pPr>
            <w:r w:rsidRPr="005C5EAB">
              <w:rPr>
                <w:b/>
                <w:sz w:val="16"/>
              </w:rPr>
              <w:t>Course Title</w:t>
            </w:r>
          </w:p>
        </w:tc>
        <w:tc>
          <w:tcPr>
            <w:tcW w:w="1134" w:type="dxa"/>
            <w:shd w:val="clear" w:color="auto" w:fill="DEEAF6" w:themeFill="accent1" w:themeFillTint="33"/>
            <w:vAlign w:val="center"/>
          </w:tcPr>
          <w:p w14:paraId="3CDBE5A1" w14:textId="77777777" w:rsidR="00423852" w:rsidRDefault="00423852" w:rsidP="00607317">
            <w:pPr>
              <w:jc w:val="center"/>
              <w:rPr>
                <w:b/>
                <w:sz w:val="16"/>
              </w:rPr>
            </w:pPr>
            <w:r>
              <w:rPr>
                <w:b/>
                <w:sz w:val="16"/>
              </w:rPr>
              <w:t>Topic</w:t>
            </w:r>
          </w:p>
        </w:tc>
        <w:tc>
          <w:tcPr>
            <w:tcW w:w="851" w:type="dxa"/>
            <w:shd w:val="clear" w:color="auto" w:fill="DEEAF6" w:themeFill="accent1" w:themeFillTint="33"/>
            <w:vAlign w:val="center"/>
          </w:tcPr>
          <w:p w14:paraId="5B052B2D" w14:textId="77777777" w:rsidR="00423852" w:rsidRPr="005C5EAB" w:rsidRDefault="00423852" w:rsidP="00607317">
            <w:pPr>
              <w:jc w:val="center"/>
              <w:rPr>
                <w:b/>
                <w:sz w:val="16"/>
              </w:rPr>
            </w:pPr>
            <w:r>
              <w:rPr>
                <w:b/>
                <w:sz w:val="16"/>
              </w:rPr>
              <w:t>Agency in charge</w:t>
            </w:r>
          </w:p>
        </w:tc>
        <w:tc>
          <w:tcPr>
            <w:tcW w:w="878" w:type="dxa"/>
            <w:shd w:val="clear" w:color="auto" w:fill="DEEAF6" w:themeFill="accent1" w:themeFillTint="33"/>
            <w:vAlign w:val="center"/>
          </w:tcPr>
          <w:p w14:paraId="70564772" w14:textId="77777777" w:rsidR="00423852" w:rsidRPr="005C5EAB" w:rsidRDefault="00423852" w:rsidP="00607317">
            <w:pPr>
              <w:jc w:val="center"/>
              <w:rPr>
                <w:b/>
                <w:sz w:val="16"/>
              </w:rPr>
            </w:pPr>
            <w:r w:rsidRPr="005C5EAB">
              <w:rPr>
                <w:b/>
                <w:sz w:val="16"/>
              </w:rPr>
              <w:t>Course Dates</w:t>
            </w:r>
          </w:p>
        </w:tc>
        <w:tc>
          <w:tcPr>
            <w:tcW w:w="1673" w:type="dxa"/>
            <w:shd w:val="clear" w:color="auto" w:fill="DEEAF6" w:themeFill="accent1" w:themeFillTint="33"/>
            <w:vAlign w:val="center"/>
          </w:tcPr>
          <w:p w14:paraId="38FFC20C" w14:textId="77777777" w:rsidR="00423852" w:rsidRPr="005C5EAB" w:rsidRDefault="00423852" w:rsidP="00607317">
            <w:pPr>
              <w:jc w:val="center"/>
              <w:rPr>
                <w:b/>
                <w:sz w:val="16"/>
              </w:rPr>
            </w:pPr>
            <w:r w:rsidRPr="005C5EAB">
              <w:rPr>
                <w:b/>
                <w:sz w:val="16"/>
              </w:rPr>
              <w:t>Participant Profile</w:t>
            </w:r>
          </w:p>
        </w:tc>
        <w:tc>
          <w:tcPr>
            <w:tcW w:w="3226" w:type="dxa"/>
            <w:shd w:val="clear" w:color="auto" w:fill="DEEAF6" w:themeFill="accent1" w:themeFillTint="33"/>
            <w:vAlign w:val="center"/>
          </w:tcPr>
          <w:p w14:paraId="46C413E9" w14:textId="77777777" w:rsidR="00423852" w:rsidRPr="005C5EAB" w:rsidRDefault="00423852" w:rsidP="00607317">
            <w:pPr>
              <w:jc w:val="center"/>
              <w:rPr>
                <w:b/>
                <w:sz w:val="16"/>
              </w:rPr>
            </w:pPr>
            <w:r w:rsidRPr="005C5EAB">
              <w:rPr>
                <w:b/>
                <w:sz w:val="16"/>
              </w:rPr>
              <w:t>Synopsis and Key Topics</w:t>
            </w:r>
          </w:p>
        </w:tc>
        <w:tc>
          <w:tcPr>
            <w:tcW w:w="1383" w:type="dxa"/>
            <w:shd w:val="clear" w:color="auto" w:fill="DEEAF6" w:themeFill="accent1" w:themeFillTint="33"/>
            <w:vAlign w:val="center"/>
          </w:tcPr>
          <w:p w14:paraId="6B3CAB68" w14:textId="77777777" w:rsidR="00423852" w:rsidRPr="00423852" w:rsidRDefault="00423852" w:rsidP="00607317">
            <w:pPr>
              <w:jc w:val="center"/>
              <w:rPr>
                <w:b/>
                <w:sz w:val="16"/>
              </w:rPr>
            </w:pPr>
            <w:r w:rsidRPr="00423852">
              <w:rPr>
                <w:b/>
                <w:sz w:val="16"/>
              </w:rPr>
              <w:t>Remarks</w:t>
            </w:r>
          </w:p>
        </w:tc>
      </w:tr>
      <w:tr w:rsidR="00423852" w:rsidRPr="00423852" w14:paraId="1052CE04" w14:textId="77777777" w:rsidTr="00627BB1">
        <w:trPr>
          <w:trHeight w:val="3798"/>
        </w:trPr>
        <w:tc>
          <w:tcPr>
            <w:tcW w:w="625" w:type="dxa"/>
            <w:vAlign w:val="center"/>
          </w:tcPr>
          <w:p w14:paraId="424F536B" w14:textId="77777777" w:rsidR="00423852" w:rsidRPr="00934DDD" w:rsidRDefault="00423852" w:rsidP="00423852">
            <w:pPr>
              <w:jc w:val="center"/>
              <w:rPr>
                <w:sz w:val="16"/>
                <w:szCs w:val="16"/>
              </w:rPr>
            </w:pPr>
            <w:r>
              <w:rPr>
                <w:sz w:val="16"/>
                <w:szCs w:val="16"/>
              </w:rPr>
              <w:t>1</w:t>
            </w:r>
          </w:p>
        </w:tc>
        <w:tc>
          <w:tcPr>
            <w:tcW w:w="1643" w:type="dxa"/>
            <w:vAlign w:val="center"/>
          </w:tcPr>
          <w:p w14:paraId="784004B0" w14:textId="77777777" w:rsidR="00423852" w:rsidRPr="00934DDD" w:rsidRDefault="00423852" w:rsidP="00423852">
            <w:pPr>
              <w:rPr>
                <w:rFonts w:cs="Times New Roman"/>
                <w:sz w:val="16"/>
                <w:szCs w:val="16"/>
              </w:rPr>
            </w:pPr>
            <w:r w:rsidRPr="003C7C14">
              <w:rPr>
                <w:rFonts w:cs="Times New Roman"/>
                <w:sz w:val="16"/>
                <w:szCs w:val="16"/>
              </w:rPr>
              <w:t>Leaving No One Behind: Sustainable WASH Services in a Rapidly Changing Context</w:t>
            </w:r>
          </w:p>
        </w:tc>
        <w:tc>
          <w:tcPr>
            <w:tcW w:w="1134" w:type="dxa"/>
            <w:vAlign w:val="center"/>
          </w:tcPr>
          <w:p w14:paraId="4B00C574" w14:textId="77777777" w:rsidR="00423852" w:rsidRDefault="00423852" w:rsidP="00423852">
            <w:pPr>
              <w:rPr>
                <w:rFonts w:cs="Times New Roman"/>
                <w:sz w:val="16"/>
                <w:szCs w:val="16"/>
              </w:rPr>
            </w:pPr>
            <w:r>
              <w:rPr>
                <w:rFonts w:cs="Times New Roman"/>
                <w:sz w:val="16"/>
                <w:szCs w:val="16"/>
              </w:rPr>
              <w:t xml:space="preserve">Sustainability </w:t>
            </w:r>
          </w:p>
        </w:tc>
        <w:tc>
          <w:tcPr>
            <w:tcW w:w="851" w:type="dxa"/>
            <w:vAlign w:val="center"/>
          </w:tcPr>
          <w:p w14:paraId="77A3D42B" w14:textId="332B495F" w:rsidR="00423852" w:rsidRDefault="00423852" w:rsidP="00423852">
            <w:pPr>
              <w:rPr>
                <w:rFonts w:cs="Times New Roman"/>
                <w:sz w:val="16"/>
                <w:szCs w:val="16"/>
              </w:rPr>
            </w:pPr>
            <w:r>
              <w:rPr>
                <w:rFonts w:cs="Times New Roman"/>
                <w:sz w:val="16"/>
                <w:szCs w:val="16"/>
              </w:rPr>
              <w:t>PUB</w:t>
            </w:r>
            <w:r w:rsidR="00B4713F">
              <w:rPr>
                <w:rFonts w:cs="Times New Roman"/>
                <w:sz w:val="16"/>
              </w:rPr>
              <w:t>, Singapore’s National Water Agency</w:t>
            </w:r>
          </w:p>
        </w:tc>
        <w:tc>
          <w:tcPr>
            <w:tcW w:w="878" w:type="dxa"/>
            <w:vAlign w:val="center"/>
          </w:tcPr>
          <w:p w14:paraId="630F7E70" w14:textId="77777777" w:rsidR="00423852" w:rsidRPr="00934DDD" w:rsidRDefault="00423852" w:rsidP="00423852">
            <w:pPr>
              <w:rPr>
                <w:rFonts w:cs="Times New Roman"/>
                <w:sz w:val="16"/>
                <w:szCs w:val="16"/>
              </w:rPr>
            </w:pPr>
            <w:r>
              <w:rPr>
                <w:rFonts w:cs="Times New Roman"/>
                <w:sz w:val="16"/>
                <w:szCs w:val="16"/>
              </w:rPr>
              <w:t>19 – 23 August 2019</w:t>
            </w:r>
          </w:p>
        </w:tc>
        <w:tc>
          <w:tcPr>
            <w:tcW w:w="1673" w:type="dxa"/>
            <w:vAlign w:val="center"/>
          </w:tcPr>
          <w:p w14:paraId="6472829A" w14:textId="77777777" w:rsidR="00423852" w:rsidRPr="00423852" w:rsidRDefault="00423852" w:rsidP="00423852">
            <w:pPr>
              <w:rPr>
                <w:rFonts w:cs="Times New Roman"/>
                <w:sz w:val="16"/>
                <w:szCs w:val="16"/>
              </w:rPr>
            </w:pPr>
            <w:r w:rsidRPr="00423852">
              <w:rPr>
                <w:rFonts w:cs="Times New Roman"/>
                <w:sz w:val="16"/>
                <w:szCs w:val="16"/>
              </w:rPr>
              <w:t>Middle to senior level government officials dealing with WASH from public health departments, and those representing urban and rural WASH</w:t>
            </w:r>
          </w:p>
        </w:tc>
        <w:tc>
          <w:tcPr>
            <w:tcW w:w="3226" w:type="dxa"/>
            <w:vAlign w:val="center"/>
          </w:tcPr>
          <w:p w14:paraId="180927B6" w14:textId="77777777" w:rsidR="00423852" w:rsidRDefault="00423852" w:rsidP="00627BB1">
            <w:pPr>
              <w:rPr>
                <w:rFonts w:cs="Times New Roman"/>
                <w:sz w:val="16"/>
                <w:szCs w:val="16"/>
              </w:rPr>
            </w:pPr>
            <w:r>
              <w:rPr>
                <w:rFonts w:cs="Times New Roman"/>
                <w:sz w:val="16"/>
                <w:szCs w:val="16"/>
              </w:rPr>
              <w:t>Conducted in collaboration with the United Nations Children’s Fund (UNICEF), this course shares the skills and knowledge on water management, urban sanitation and drinking water quality monitoring.</w:t>
            </w:r>
          </w:p>
          <w:p w14:paraId="32453BD2" w14:textId="77777777" w:rsidR="00423852" w:rsidRDefault="00423852" w:rsidP="00627BB1">
            <w:pPr>
              <w:rPr>
                <w:rFonts w:cs="Times New Roman"/>
                <w:sz w:val="16"/>
                <w:szCs w:val="16"/>
              </w:rPr>
            </w:pPr>
          </w:p>
          <w:p w14:paraId="2514C4CD" w14:textId="77777777" w:rsidR="00423852" w:rsidRPr="005C5EAB" w:rsidRDefault="00423852" w:rsidP="00627BB1">
            <w:pPr>
              <w:autoSpaceDE w:val="0"/>
              <w:autoSpaceDN w:val="0"/>
              <w:adjustRightInd w:val="0"/>
              <w:rPr>
                <w:rFonts w:cs="Times New Roman"/>
                <w:sz w:val="16"/>
              </w:rPr>
            </w:pPr>
            <w:r w:rsidRPr="005C5EAB">
              <w:rPr>
                <w:rFonts w:cs="Times New Roman"/>
                <w:sz w:val="16"/>
              </w:rPr>
              <w:t>The following topics are covered:</w:t>
            </w:r>
          </w:p>
          <w:p w14:paraId="28CEBA53" w14:textId="77777777" w:rsidR="00423852" w:rsidRDefault="00423852" w:rsidP="00627BB1">
            <w:pPr>
              <w:numPr>
                <w:ilvl w:val="0"/>
                <w:numId w:val="1"/>
              </w:numPr>
              <w:autoSpaceDE w:val="0"/>
              <w:autoSpaceDN w:val="0"/>
              <w:adjustRightInd w:val="0"/>
              <w:rPr>
                <w:rFonts w:cs="Times New Roman"/>
                <w:sz w:val="16"/>
              </w:rPr>
            </w:pPr>
            <w:r>
              <w:rPr>
                <w:rFonts w:cs="Times New Roman"/>
                <w:sz w:val="16"/>
              </w:rPr>
              <w:t>UNICEF Global Water, Sanitation and Hygiene (WASH) strategy and tools</w:t>
            </w:r>
          </w:p>
          <w:p w14:paraId="1DCED16E" w14:textId="77777777" w:rsidR="00423852" w:rsidRDefault="00423852" w:rsidP="00627BB1">
            <w:pPr>
              <w:numPr>
                <w:ilvl w:val="0"/>
                <w:numId w:val="1"/>
              </w:numPr>
              <w:autoSpaceDE w:val="0"/>
              <w:autoSpaceDN w:val="0"/>
              <w:adjustRightInd w:val="0"/>
              <w:rPr>
                <w:rFonts w:cs="Times New Roman"/>
                <w:sz w:val="16"/>
              </w:rPr>
            </w:pPr>
            <w:r>
              <w:rPr>
                <w:rFonts w:cs="Times New Roman"/>
                <w:sz w:val="16"/>
              </w:rPr>
              <w:t>Global and regional status and implications of WASH</w:t>
            </w:r>
          </w:p>
          <w:p w14:paraId="2245232F" w14:textId="77777777" w:rsidR="00423852" w:rsidRDefault="00423852" w:rsidP="00627BB1">
            <w:pPr>
              <w:numPr>
                <w:ilvl w:val="0"/>
                <w:numId w:val="1"/>
              </w:numPr>
              <w:autoSpaceDE w:val="0"/>
              <w:autoSpaceDN w:val="0"/>
              <w:adjustRightInd w:val="0"/>
              <w:rPr>
                <w:rFonts w:cs="Times New Roman"/>
                <w:sz w:val="16"/>
              </w:rPr>
            </w:pPr>
            <w:r>
              <w:rPr>
                <w:rFonts w:cs="Times New Roman"/>
                <w:sz w:val="16"/>
              </w:rPr>
              <w:t>WASH Enabling Environment and WASH Bottleneck Analysis</w:t>
            </w:r>
          </w:p>
          <w:p w14:paraId="51637AB8" w14:textId="77777777" w:rsidR="00423852" w:rsidRDefault="00423852" w:rsidP="00627BB1">
            <w:pPr>
              <w:numPr>
                <w:ilvl w:val="0"/>
                <w:numId w:val="1"/>
              </w:numPr>
              <w:autoSpaceDE w:val="0"/>
              <w:autoSpaceDN w:val="0"/>
              <w:adjustRightInd w:val="0"/>
              <w:rPr>
                <w:rFonts w:cs="Times New Roman"/>
                <w:sz w:val="16"/>
              </w:rPr>
            </w:pPr>
            <w:r>
              <w:rPr>
                <w:rFonts w:cs="Times New Roman"/>
                <w:sz w:val="16"/>
              </w:rPr>
              <w:t>Integrated management of water resources, water quality and used water</w:t>
            </w:r>
          </w:p>
          <w:p w14:paraId="7067CAF8" w14:textId="77777777" w:rsidR="00423852" w:rsidRDefault="00423852" w:rsidP="00627BB1">
            <w:pPr>
              <w:numPr>
                <w:ilvl w:val="0"/>
                <w:numId w:val="1"/>
              </w:numPr>
              <w:autoSpaceDE w:val="0"/>
              <w:autoSpaceDN w:val="0"/>
              <w:adjustRightInd w:val="0"/>
              <w:rPr>
                <w:rFonts w:cs="Times New Roman"/>
                <w:sz w:val="16"/>
              </w:rPr>
            </w:pPr>
            <w:r>
              <w:rPr>
                <w:rFonts w:cs="Times New Roman"/>
                <w:sz w:val="16"/>
              </w:rPr>
              <w:t>Environmental protection and management in Singapore</w:t>
            </w:r>
          </w:p>
          <w:p w14:paraId="58E27C09" w14:textId="77777777" w:rsidR="00423852" w:rsidRPr="00423852" w:rsidRDefault="00423852" w:rsidP="00627BB1">
            <w:pPr>
              <w:numPr>
                <w:ilvl w:val="0"/>
                <w:numId w:val="1"/>
              </w:numPr>
              <w:autoSpaceDE w:val="0"/>
              <w:autoSpaceDN w:val="0"/>
              <w:adjustRightInd w:val="0"/>
              <w:rPr>
                <w:rFonts w:cs="Times New Roman"/>
                <w:sz w:val="16"/>
              </w:rPr>
            </w:pPr>
            <w:r>
              <w:rPr>
                <w:rFonts w:cs="Times New Roman"/>
                <w:sz w:val="16"/>
              </w:rPr>
              <w:t>Water pollution control and strategies</w:t>
            </w:r>
          </w:p>
        </w:tc>
        <w:tc>
          <w:tcPr>
            <w:tcW w:w="1383" w:type="dxa"/>
            <w:vAlign w:val="center"/>
          </w:tcPr>
          <w:p w14:paraId="03BD4D80" w14:textId="77777777" w:rsidR="00423852" w:rsidRDefault="00423852" w:rsidP="00423852">
            <w:r w:rsidRPr="00B938A6">
              <w:rPr>
                <w:rFonts w:cs="Times New Roman"/>
                <w:sz w:val="16"/>
              </w:rPr>
              <w:t>Completed</w:t>
            </w:r>
          </w:p>
        </w:tc>
      </w:tr>
      <w:tr w:rsidR="00423852" w14:paraId="6A4459D1" w14:textId="77777777" w:rsidTr="00627BB1">
        <w:trPr>
          <w:trHeight w:val="3245"/>
        </w:trPr>
        <w:tc>
          <w:tcPr>
            <w:tcW w:w="625" w:type="dxa"/>
            <w:vAlign w:val="center"/>
          </w:tcPr>
          <w:p w14:paraId="53B630DD" w14:textId="77777777" w:rsidR="00423852" w:rsidRPr="005C5EAB" w:rsidRDefault="00423852" w:rsidP="00423852">
            <w:pPr>
              <w:jc w:val="center"/>
              <w:rPr>
                <w:sz w:val="16"/>
              </w:rPr>
            </w:pPr>
            <w:r>
              <w:rPr>
                <w:sz w:val="16"/>
              </w:rPr>
              <w:t>2</w:t>
            </w:r>
          </w:p>
        </w:tc>
        <w:tc>
          <w:tcPr>
            <w:tcW w:w="1643" w:type="dxa"/>
            <w:vAlign w:val="center"/>
          </w:tcPr>
          <w:p w14:paraId="0F7D7E15" w14:textId="77777777" w:rsidR="00423852" w:rsidRDefault="00423852" w:rsidP="00423852">
            <w:pPr>
              <w:rPr>
                <w:rFonts w:cs="Times New Roman"/>
                <w:sz w:val="16"/>
                <w:szCs w:val="16"/>
              </w:rPr>
            </w:pPr>
            <w:r w:rsidRPr="00934DDD">
              <w:rPr>
                <w:rFonts w:cs="Times New Roman"/>
                <w:sz w:val="16"/>
                <w:szCs w:val="16"/>
              </w:rPr>
              <w:t>Leadership and Management Programme for Senior Management of National Meteorological and Hydrological Services (NMHSs) of World Meteorological Organization (WMO) Regional Associations (RA) II and V</w:t>
            </w:r>
          </w:p>
          <w:p w14:paraId="5C5A9F67" w14:textId="77777777" w:rsidR="00423852" w:rsidRPr="00934DDD" w:rsidRDefault="00423852" w:rsidP="00423852">
            <w:pPr>
              <w:rPr>
                <w:rFonts w:cs="Times New Roman"/>
                <w:sz w:val="16"/>
                <w:szCs w:val="16"/>
              </w:rPr>
            </w:pPr>
          </w:p>
        </w:tc>
        <w:tc>
          <w:tcPr>
            <w:tcW w:w="1134" w:type="dxa"/>
            <w:vAlign w:val="center"/>
          </w:tcPr>
          <w:p w14:paraId="1BA21FF7" w14:textId="77777777" w:rsidR="00423852" w:rsidRDefault="00423852" w:rsidP="00423852">
            <w:pPr>
              <w:rPr>
                <w:rFonts w:cs="Times New Roman"/>
                <w:sz w:val="16"/>
                <w:szCs w:val="16"/>
              </w:rPr>
            </w:pPr>
            <w:r>
              <w:rPr>
                <w:rFonts w:cs="Times New Roman"/>
                <w:sz w:val="16"/>
                <w:szCs w:val="16"/>
              </w:rPr>
              <w:t>Leadership and Governance</w:t>
            </w:r>
          </w:p>
        </w:tc>
        <w:tc>
          <w:tcPr>
            <w:tcW w:w="851" w:type="dxa"/>
            <w:vAlign w:val="center"/>
          </w:tcPr>
          <w:p w14:paraId="35B10FA3" w14:textId="297CA0D6" w:rsidR="00423852" w:rsidRPr="00934DDD" w:rsidRDefault="005957E8" w:rsidP="00423852">
            <w:pPr>
              <w:rPr>
                <w:rFonts w:cs="Times New Roman"/>
                <w:sz w:val="16"/>
                <w:szCs w:val="16"/>
              </w:rPr>
            </w:pPr>
            <w:r>
              <w:rPr>
                <w:rFonts w:cs="Times New Roman"/>
                <w:sz w:val="16"/>
              </w:rPr>
              <w:t>National Environment Agency</w:t>
            </w:r>
          </w:p>
        </w:tc>
        <w:tc>
          <w:tcPr>
            <w:tcW w:w="878" w:type="dxa"/>
            <w:vAlign w:val="center"/>
          </w:tcPr>
          <w:p w14:paraId="64B1AFF0" w14:textId="77777777" w:rsidR="00423852" w:rsidRPr="00934DDD" w:rsidRDefault="00423852" w:rsidP="00423852">
            <w:pPr>
              <w:rPr>
                <w:rFonts w:cs="Times New Roman"/>
                <w:sz w:val="16"/>
                <w:szCs w:val="16"/>
              </w:rPr>
            </w:pPr>
            <w:r w:rsidRPr="00934DDD">
              <w:rPr>
                <w:rFonts w:cs="Times New Roman"/>
                <w:sz w:val="16"/>
                <w:szCs w:val="16"/>
              </w:rPr>
              <w:t>26 - 30 August 2019</w:t>
            </w:r>
          </w:p>
        </w:tc>
        <w:tc>
          <w:tcPr>
            <w:tcW w:w="1673" w:type="dxa"/>
            <w:vAlign w:val="center"/>
          </w:tcPr>
          <w:p w14:paraId="0FB76E38" w14:textId="77777777" w:rsidR="00423852" w:rsidRPr="00934DDD" w:rsidRDefault="00423852" w:rsidP="00423852">
            <w:pPr>
              <w:rPr>
                <w:rFonts w:cs="Times New Roman"/>
                <w:sz w:val="16"/>
                <w:szCs w:val="16"/>
              </w:rPr>
            </w:pPr>
            <w:r w:rsidRPr="00934DDD">
              <w:rPr>
                <w:rFonts w:cs="Times New Roman"/>
                <w:sz w:val="16"/>
                <w:szCs w:val="16"/>
              </w:rPr>
              <w:t>Director-General and Directors of NMHSs (or equivalent)</w:t>
            </w:r>
          </w:p>
        </w:tc>
        <w:tc>
          <w:tcPr>
            <w:tcW w:w="3226" w:type="dxa"/>
            <w:vAlign w:val="center"/>
          </w:tcPr>
          <w:p w14:paraId="0B0C20A1" w14:textId="77777777" w:rsidR="00423852" w:rsidRPr="00934DDD" w:rsidRDefault="00423852" w:rsidP="00627BB1">
            <w:pPr>
              <w:autoSpaceDE w:val="0"/>
              <w:autoSpaceDN w:val="0"/>
              <w:adjustRightInd w:val="0"/>
              <w:rPr>
                <w:rFonts w:cs="Times New Roman"/>
                <w:sz w:val="16"/>
                <w:szCs w:val="16"/>
              </w:rPr>
            </w:pPr>
            <w:r w:rsidRPr="00934DDD">
              <w:rPr>
                <w:rFonts w:cs="Times New Roman"/>
                <w:sz w:val="16"/>
                <w:szCs w:val="16"/>
              </w:rPr>
              <w:t>Management development is an important issue for all NMHSs, even more so in today’s rapidly changing and broadening roles. The programme aims to develop successful managers in WMO Member NMHSs in WMO RA II (Asia) and V (South-West Pacific). It is jointly conducted by the Meteorological Service Singapore (MSS) and the WMO.</w:t>
            </w:r>
          </w:p>
          <w:p w14:paraId="6B4C827F" w14:textId="77777777" w:rsidR="00423852" w:rsidRPr="00934DDD" w:rsidRDefault="00423852" w:rsidP="00627BB1">
            <w:pPr>
              <w:autoSpaceDE w:val="0"/>
              <w:autoSpaceDN w:val="0"/>
              <w:adjustRightInd w:val="0"/>
              <w:rPr>
                <w:rFonts w:cs="Times New Roman"/>
                <w:sz w:val="16"/>
                <w:szCs w:val="16"/>
              </w:rPr>
            </w:pPr>
          </w:p>
          <w:p w14:paraId="7137434F" w14:textId="77777777" w:rsidR="00423852" w:rsidRPr="00934DDD" w:rsidRDefault="00423852" w:rsidP="00627BB1">
            <w:pPr>
              <w:autoSpaceDE w:val="0"/>
              <w:autoSpaceDN w:val="0"/>
              <w:adjustRightInd w:val="0"/>
              <w:rPr>
                <w:rFonts w:cs="Times New Roman"/>
                <w:sz w:val="16"/>
                <w:szCs w:val="16"/>
              </w:rPr>
            </w:pPr>
            <w:r w:rsidRPr="00934DDD">
              <w:rPr>
                <w:rFonts w:cs="Times New Roman"/>
                <w:sz w:val="16"/>
                <w:szCs w:val="16"/>
              </w:rPr>
              <w:t>The following topics are covered:</w:t>
            </w:r>
          </w:p>
          <w:p w14:paraId="701E3398" w14:textId="77777777" w:rsidR="00423852" w:rsidRPr="00627BB1" w:rsidRDefault="00423852" w:rsidP="00627BB1">
            <w:pPr>
              <w:numPr>
                <w:ilvl w:val="0"/>
                <w:numId w:val="1"/>
              </w:numPr>
              <w:autoSpaceDE w:val="0"/>
              <w:autoSpaceDN w:val="0"/>
              <w:adjustRightInd w:val="0"/>
              <w:rPr>
                <w:rFonts w:cs="Times New Roman"/>
                <w:sz w:val="16"/>
              </w:rPr>
            </w:pPr>
            <w:r w:rsidRPr="00627BB1">
              <w:rPr>
                <w:rFonts w:cs="Times New Roman"/>
                <w:sz w:val="16"/>
              </w:rPr>
              <w:t>Leadership and governance</w:t>
            </w:r>
          </w:p>
          <w:p w14:paraId="51AE3ED6" w14:textId="77777777" w:rsidR="00423852" w:rsidRPr="00627BB1" w:rsidRDefault="00423852" w:rsidP="00627BB1">
            <w:pPr>
              <w:numPr>
                <w:ilvl w:val="0"/>
                <w:numId w:val="1"/>
              </w:numPr>
              <w:autoSpaceDE w:val="0"/>
              <w:autoSpaceDN w:val="0"/>
              <w:adjustRightInd w:val="0"/>
              <w:rPr>
                <w:rFonts w:cs="Times New Roman"/>
                <w:sz w:val="16"/>
              </w:rPr>
            </w:pPr>
            <w:r w:rsidRPr="00627BB1">
              <w:rPr>
                <w:rFonts w:cs="Times New Roman"/>
                <w:sz w:val="16"/>
              </w:rPr>
              <w:t xml:space="preserve">Strategic planning </w:t>
            </w:r>
          </w:p>
          <w:p w14:paraId="24AD71E2" w14:textId="77777777" w:rsidR="00423852" w:rsidRPr="00627BB1" w:rsidRDefault="00423852" w:rsidP="00627BB1">
            <w:pPr>
              <w:numPr>
                <w:ilvl w:val="0"/>
                <w:numId w:val="1"/>
              </w:numPr>
              <w:autoSpaceDE w:val="0"/>
              <w:autoSpaceDN w:val="0"/>
              <w:adjustRightInd w:val="0"/>
              <w:rPr>
                <w:rFonts w:cs="Times New Roman"/>
                <w:sz w:val="16"/>
              </w:rPr>
            </w:pPr>
            <w:r w:rsidRPr="00627BB1">
              <w:rPr>
                <w:rFonts w:cs="Times New Roman"/>
                <w:sz w:val="16"/>
              </w:rPr>
              <w:t>Financial management</w:t>
            </w:r>
          </w:p>
          <w:p w14:paraId="2CF6B249" w14:textId="77777777" w:rsidR="00423852" w:rsidRPr="00627BB1" w:rsidRDefault="00423852" w:rsidP="00627BB1">
            <w:pPr>
              <w:numPr>
                <w:ilvl w:val="0"/>
                <w:numId w:val="1"/>
              </w:numPr>
              <w:autoSpaceDE w:val="0"/>
              <w:autoSpaceDN w:val="0"/>
              <w:adjustRightInd w:val="0"/>
              <w:rPr>
                <w:rFonts w:cs="Times New Roman"/>
                <w:sz w:val="16"/>
              </w:rPr>
            </w:pPr>
            <w:r w:rsidRPr="00627BB1">
              <w:rPr>
                <w:rFonts w:cs="Times New Roman"/>
                <w:sz w:val="16"/>
              </w:rPr>
              <w:t xml:space="preserve">Human resource management </w:t>
            </w:r>
          </w:p>
          <w:p w14:paraId="0F22636E" w14:textId="77777777" w:rsidR="00423852" w:rsidRPr="00627BB1" w:rsidRDefault="00423852" w:rsidP="00627BB1">
            <w:pPr>
              <w:numPr>
                <w:ilvl w:val="0"/>
                <w:numId w:val="1"/>
              </w:numPr>
              <w:autoSpaceDE w:val="0"/>
              <w:autoSpaceDN w:val="0"/>
              <w:adjustRightInd w:val="0"/>
              <w:rPr>
                <w:rFonts w:cs="Times New Roman"/>
                <w:sz w:val="16"/>
              </w:rPr>
            </w:pPr>
            <w:r w:rsidRPr="00627BB1">
              <w:rPr>
                <w:rFonts w:cs="Times New Roman"/>
                <w:sz w:val="16"/>
              </w:rPr>
              <w:t>Effective communications</w:t>
            </w:r>
          </w:p>
        </w:tc>
        <w:tc>
          <w:tcPr>
            <w:tcW w:w="1383" w:type="dxa"/>
            <w:vAlign w:val="center"/>
          </w:tcPr>
          <w:p w14:paraId="354D1C53" w14:textId="77777777" w:rsidR="00423852" w:rsidRDefault="00423852" w:rsidP="00423852">
            <w:r w:rsidRPr="00B938A6">
              <w:rPr>
                <w:rFonts w:cs="Times New Roman"/>
                <w:sz w:val="16"/>
              </w:rPr>
              <w:t>Completed</w:t>
            </w:r>
          </w:p>
        </w:tc>
      </w:tr>
    </w:tbl>
    <w:p w14:paraId="5B369392" w14:textId="77777777" w:rsidR="009234C5" w:rsidRDefault="009234C5" w:rsidP="009234C5"/>
    <w:p w14:paraId="57C8306A" w14:textId="77777777" w:rsidR="00631C3F" w:rsidRDefault="00631C3F" w:rsidP="009234C5">
      <w:pPr>
        <w:rPr>
          <w:b/>
        </w:rPr>
      </w:pPr>
    </w:p>
    <w:p w14:paraId="35F62D52" w14:textId="77777777" w:rsidR="00E25355" w:rsidRPr="00E0212D" w:rsidRDefault="00E25355" w:rsidP="009234C5">
      <w:pPr>
        <w:rPr>
          <w:b/>
        </w:rPr>
      </w:pPr>
    </w:p>
    <w:p w14:paraId="5FD57454" w14:textId="77777777" w:rsidR="003860CB" w:rsidRDefault="003860CB" w:rsidP="003860CB">
      <w:pPr>
        <w:ind w:left="-1134" w:right="-1322"/>
        <w:rPr>
          <w:b/>
        </w:rPr>
      </w:pPr>
    </w:p>
    <w:p w14:paraId="1ADCB3FA" w14:textId="77777777" w:rsidR="003860CB" w:rsidRDefault="003860CB" w:rsidP="003860CB">
      <w:pPr>
        <w:ind w:left="-1134" w:right="-1322"/>
        <w:rPr>
          <w:b/>
        </w:rPr>
      </w:pPr>
    </w:p>
    <w:p w14:paraId="1FF14228" w14:textId="77777777" w:rsidR="003860CB" w:rsidRDefault="003860CB" w:rsidP="003860CB">
      <w:pPr>
        <w:ind w:left="-1134" w:right="-1322"/>
        <w:rPr>
          <w:b/>
        </w:rPr>
      </w:pPr>
    </w:p>
    <w:p w14:paraId="0583C530" w14:textId="77777777" w:rsidR="003860CB" w:rsidRPr="003860CB" w:rsidRDefault="003860CB" w:rsidP="003860CB">
      <w:pPr>
        <w:ind w:left="-1134" w:right="-1322"/>
        <w:jc w:val="center"/>
        <w:rPr>
          <w:b/>
        </w:rPr>
      </w:pPr>
      <w:r>
        <w:t>- - - - - - - - - - -</w:t>
      </w:r>
    </w:p>
    <w:sectPr w:rsidR="003860CB" w:rsidRPr="003860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8EA09" w14:textId="77777777" w:rsidR="005C2E4F" w:rsidRDefault="005C2E4F" w:rsidP="005C2E4F">
      <w:r>
        <w:separator/>
      </w:r>
    </w:p>
  </w:endnote>
  <w:endnote w:type="continuationSeparator" w:id="0">
    <w:p w14:paraId="2DD1ECDF" w14:textId="77777777" w:rsidR="005C2E4F" w:rsidRDefault="005C2E4F" w:rsidP="005C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8"/>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8"/>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14D88" w14:textId="77777777" w:rsidR="005C2E4F" w:rsidRDefault="005C2E4F" w:rsidP="005C2E4F">
      <w:r>
        <w:separator/>
      </w:r>
    </w:p>
  </w:footnote>
  <w:footnote w:type="continuationSeparator" w:id="0">
    <w:p w14:paraId="383992B6" w14:textId="77777777" w:rsidR="005C2E4F" w:rsidRDefault="005C2E4F" w:rsidP="005C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070C2"/>
    <w:multiLevelType w:val="hybridMultilevel"/>
    <w:tmpl w:val="47760A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852"/>
    <w:rsid w:val="000D0F81"/>
    <w:rsid w:val="001B037A"/>
    <w:rsid w:val="002E5D41"/>
    <w:rsid w:val="003860CB"/>
    <w:rsid w:val="00423852"/>
    <w:rsid w:val="005957E8"/>
    <w:rsid w:val="005A35A8"/>
    <w:rsid w:val="005C2E4F"/>
    <w:rsid w:val="005D79FC"/>
    <w:rsid w:val="005E55C0"/>
    <w:rsid w:val="00627BB1"/>
    <w:rsid w:val="00631C3F"/>
    <w:rsid w:val="00632BBF"/>
    <w:rsid w:val="00812695"/>
    <w:rsid w:val="00846F7E"/>
    <w:rsid w:val="008669E4"/>
    <w:rsid w:val="008D6EC9"/>
    <w:rsid w:val="009234C5"/>
    <w:rsid w:val="00A475FA"/>
    <w:rsid w:val="00A762A7"/>
    <w:rsid w:val="00AD6467"/>
    <w:rsid w:val="00B44C1D"/>
    <w:rsid w:val="00B4713F"/>
    <w:rsid w:val="00B57226"/>
    <w:rsid w:val="00BF498C"/>
    <w:rsid w:val="00C3042F"/>
    <w:rsid w:val="00CE384D"/>
    <w:rsid w:val="00D572F4"/>
    <w:rsid w:val="00E0212D"/>
    <w:rsid w:val="00E25355"/>
    <w:rsid w:val="00E61E14"/>
    <w:rsid w:val="00EA0EE5"/>
    <w:rsid w:val="00EA5B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52A414"/>
  <w15:chartTrackingRefBased/>
  <w15:docId w15:val="{E4A1665E-D456-47AE-BC00-0DE7C240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852"/>
    <w:pPr>
      <w:spacing w:after="0" w:line="240"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23852"/>
    <w:rPr>
      <w:rFonts w:ascii="Calibri" w:hAnsi="Calibri" w:cs="Calibri"/>
    </w:rPr>
  </w:style>
  <w:style w:type="paragraph" w:styleId="ListParagraph">
    <w:name w:val="List Paragraph"/>
    <w:basedOn w:val="Normal"/>
    <w:link w:val="ListParagraphChar"/>
    <w:uiPriority w:val="34"/>
    <w:qFormat/>
    <w:rsid w:val="00423852"/>
    <w:pPr>
      <w:ind w:left="720"/>
    </w:pPr>
    <w:rPr>
      <w:rFonts w:eastAsiaTheme="minorHAnsi"/>
    </w:rPr>
  </w:style>
  <w:style w:type="character" w:styleId="Hyperlink">
    <w:name w:val="Hyperlink"/>
    <w:basedOn w:val="DefaultParagraphFont"/>
    <w:uiPriority w:val="99"/>
    <w:unhideWhenUsed/>
    <w:rsid w:val="009234C5"/>
    <w:rPr>
      <w:color w:val="0563C1" w:themeColor="hyperlink"/>
      <w:u w:val="single"/>
    </w:rPr>
  </w:style>
  <w:style w:type="paragraph" w:styleId="BalloonText">
    <w:name w:val="Balloon Text"/>
    <w:basedOn w:val="Normal"/>
    <w:link w:val="BalloonTextChar"/>
    <w:uiPriority w:val="99"/>
    <w:semiHidden/>
    <w:unhideWhenUsed/>
    <w:rsid w:val="005957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7E8"/>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61E14"/>
    <w:rPr>
      <w:sz w:val="16"/>
      <w:szCs w:val="16"/>
    </w:rPr>
  </w:style>
  <w:style w:type="paragraph" w:styleId="CommentText">
    <w:name w:val="annotation text"/>
    <w:basedOn w:val="Normal"/>
    <w:link w:val="CommentTextChar"/>
    <w:uiPriority w:val="99"/>
    <w:semiHidden/>
    <w:unhideWhenUsed/>
    <w:rsid w:val="00E61E14"/>
    <w:rPr>
      <w:sz w:val="20"/>
      <w:szCs w:val="20"/>
    </w:rPr>
  </w:style>
  <w:style w:type="character" w:customStyle="1" w:styleId="CommentTextChar">
    <w:name w:val="Comment Text Char"/>
    <w:basedOn w:val="DefaultParagraphFont"/>
    <w:link w:val="CommentText"/>
    <w:uiPriority w:val="99"/>
    <w:semiHidden/>
    <w:rsid w:val="00E61E14"/>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E61E14"/>
    <w:rPr>
      <w:b/>
      <w:bCs/>
    </w:rPr>
  </w:style>
  <w:style w:type="character" w:customStyle="1" w:styleId="CommentSubjectChar">
    <w:name w:val="Comment Subject Char"/>
    <w:basedOn w:val="CommentTextChar"/>
    <w:link w:val="CommentSubject"/>
    <w:uiPriority w:val="99"/>
    <w:semiHidden/>
    <w:rsid w:val="00E61E14"/>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82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pcatalog.wixsite.com/scp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1291</Words>
  <Characters>7361</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QUEK (MEWR)</dc:creator>
  <cp:keywords/>
  <dc:description/>
  <cp:lastModifiedBy>Samuel LEE (MSE)</cp:lastModifiedBy>
  <cp:revision>2</cp:revision>
  <dcterms:created xsi:type="dcterms:W3CDTF">2021-02-15T08:42:00Z</dcterms:created>
  <dcterms:modified xsi:type="dcterms:W3CDTF">2021-02-15T08:42:00Z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MEWR-SLRS@soe.sgnet.gov.sg</vt:lpwstr>
  </property>
  <property fmtid="{D5CDD505-2E9C-101B-9397-08002B2CF9AE}" pid="5" name="MSIP_Label_3f9331f7-95a2-472a-92bc-d73219eb516b_SetDate">
    <vt:lpwstr>2019-10-24T13:16:37.8896085Z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87a0001c-4734-40b8-a72f-3e60f3e4c49b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MEWR-SLRS@soe.sgnet.gov.sg</vt:lpwstr>
  </property>
  <property fmtid="{D5CDD505-2E9C-101B-9397-08002B2CF9AE}" pid="13" name="MSIP_Label_4f288355-fb4c-44cd-b9ca-40cfc2aee5f8_SetDate">
    <vt:lpwstr>2019-10-24T13:16:37.8896085Z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87a0001c-4734-40b8-a72f-3e60f3e4c49b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