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3" w:name="front-matter"/>
    <w:p>
      <w:pPr>
        <w:pStyle w:val="Heading1"/>
      </w:pPr>
      <w:r>
        <w:t xml:space="preserve">Front Matter</w:t>
      </w:r>
    </w:p>
    <w:bookmarkStart w:id="20" w:name="title-page"/>
    <w:p>
      <w:pPr>
        <w:pStyle w:val="Heading2"/>
      </w:pPr>
      <w:r>
        <w:t xml:space="preserve">Title page</w:t>
      </w:r>
    </w:p>
    <w:p>
      <w:r>
        <w:pict>
          <ns1:rect style="width:0;height:1.5pt" ns2:hralign="center" ns2:hrstd="t" ns2:hr="t"/>
        </w:pict>
      </w:r>
    </w:p>
    <w:p>
      <w:pPr>
        <w:pStyle w:val="FirstParagraph"/>
      </w:pPr>
      <w:r>
        <w:rPr>
          <w:bCs/>
          <w:b/>
        </w:rPr>
        <w:t xml:space="preserve">MIZAN</w:t>
      </w:r>
      <w:r>
        <w:t xml:space="preserve"> </w:t>
      </w:r>
      <w:r>
        <w:rPr>
          <w:iCs/>
          <w:i/>
        </w:rPr>
        <w:t xml:space="preserve">An AI Tax-Compliance Copilot for UAE Small and Medium Enterprises</w:t>
      </w:r>
    </w:p>
    <w:p>
      <w:pPr>
        <w:pStyle w:val="BodyText"/>
      </w:pPr>
      <w:r>
        <w:rPr>
          <w:bCs/>
          <w:b/>
        </w:rPr>
        <w:t xml:space="preserve">Detailed Business Plan</w:t>
      </w:r>
    </w:p>
    <w:p>
      <w:pPr>
        <w:pStyle w:val="BodyText"/>
      </w:pPr>
      <w:r>
        <w:t xml:space="preserve">Submitted in partial fulfilment of the requirements of the</w:t>
      </w:r>
      <w:r>
        <w:t xml:space="preserve"> </w:t>
      </w:r>
      <w:r>
        <w:t xml:space="preserve">Master of Artificial Intelligence in Business (MAIB)</w:t>
      </w:r>
      <w:r>
        <w:t xml:space="preserve"> </w:t>
      </w:r>
      <w:r>
        <w:t xml:space="preserve">SP Jain School of Global Management, Dubai</w:t>
      </w:r>
    </w:p>
    <w:p>
      <w:pPr>
        <w:pStyle w:val="BodyText"/>
      </w:pPr>
      <w:r>
        <w:rPr>
          <w:bCs/>
          <w:b/>
        </w:rPr>
        <w:t xml:space="preserve">Team:</w:t>
      </w:r>
      <w:r>
        <w:t xml:space="preserve"> </w:t>
      </w:r>
      <w:r>
        <w:t xml:space="preserve">Nandita Menon — CEO &amp; AI Lead</w:t>
      </w:r>
      <w:r>
        <w:t xml:space="preserve"> </w:t>
      </w:r>
      <w:r>
        <w:t xml:space="preserve">Jillian Priscilla — CTO, Frontend &amp; Deployment Lead</w:t>
      </w:r>
      <w:r>
        <w:t xml:space="preserve"> </w:t>
      </w:r>
      <w:r>
        <w:t xml:space="preserve">Anushree Ashok — Research, QA &amp; Business Operations Lead</w:t>
      </w:r>
    </w:p>
    <w:p>
      <w:pPr>
        <w:pStyle w:val="BodyText"/>
      </w:pPr>
      <w:r>
        <w:rPr>
          <w:bCs/>
          <w:b/>
        </w:rPr>
        <w:t xml:space="preserve">Course:</w:t>
      </w:r>
      <w:r>
        <w:t xml:space="preserve"> </w:t>
      </w:r>
      <w:r>
        <w:t xml:space="preserve">[PLACEHOLDER: course code and title]</w:t>
      </w:r>
      <w:r>
        <w:t xml:space="preserve"> </w:t>
      </w:r>
      <w:r>
        <w:rPr>
          <w:bCs/>
          <w:b/>
        </w:rPr>
        <w:t xml:space="preserve">Instructor:</w:t>
      </w:r>
      <w:r>
        <w:t xml:space="preserve"> </w:t>
      </w:r>
      <w:r>
        <w:t xml:space="preserve">Nathaniel Christopher</w:t>
      </w:r>
      <w:r>
        <w:t xml:space="preserve"> </w:t>
      </w:r>
      <w:r>
        <w:rPr>
          <w:bCs/>
          <w:b/>
        </w:rPr>
        <w:t xml:space="preserve">Date:</w:t>
      </w:r>
      <w:r>
        <w:t xml:space="preserve"> </w:t>
      </w:r>
      <w:r>
        <w:t xml:space="preserve">29 July 2026</w:t>
      </w:r>
    </w:p>
    <w:p>
      <w:r>
        <w:pict>
          <ns1:rect style="width:0;height:1.5pt" ns2:hralign="center" ns2:hrstd="t" ns2:hr="t"/>
        </w:pict>
      </w:r>
    </w:p>
    <w:bookmarkEnd w:id="20"/>
    <w:bookmarkStart w:id="21" w:name="abstract"/>
    <w:p>
      <w:pPr>
        <w:pStyle w:val="Heading2"/>
      </w:pPr>
      <w:r>
        <w:t xml:space="preserve">Abstract</w:t>
      </w:r>
    </w:p>
    <w:p>
      <w:pPr>
        <w:pStyle w:val="FirstParagraph"/>
      </w:pPr>
      <w:r>
        <w:t xml:space="preserve">Mizan (ميزان —</w:t>
      </w:r>
      <w:r>
        <w:t xml:space="preserve"> </w:t>
      </w:r>
      <w:r>
        <w:t xml:space="preserve">“</w:t>
      </w:r>
      <w:r>
        <w:t xml:space="preserve">the scales</w:t>
      </w:r>
      <w:r>
        <w:t xml:space="preserve">”</w:t>
      </w:r>
      <w:r>
        <w:t xml:space="preserve">) is a web-based AI compliance copilot for the 651,000 Corporate Tax and 547,000 VAT registrants of the UAE, a population served by only 806 registered tax agents and in which roughly 91,000 businesses required the FTA’s late-registration penalty waiver. The working MVP — demonstrated live with this report — answers Corporate Tax and VAT questions with citations to the actual articles of Federal Decree-Law 47/2022 and the VAT law, abstains with a</w:t>
      </w:r>
      <w:r>
        <w:t xml:space="preserve"> </w:t>
      </w:r>
      <w:r>
        <w:t xml:space="preserve">“</w:t>
      </w:r>
      <w:r>
        <w:t xml:space="preserve">Declined to guess</w:t>
      </w:r>
      <w:r>
        <w:t xml:space="preserve">”</w:t>
      </w:r>
      <w:r>
        <w:t xml:space="preserve"> </w:t>
      </w:r>
      <w:r>
        <w:t xml:space="preserve">badge when the law is unclear, performs all arithmetic through a deterministic calculator, and extracts and consistency-checks photographed invoices; it is positioned explicitly as compliance assistance, not tax advice. The business model is freemium SaaS (Pro AED 149/month, Business AED 399/month) in the verified pricing white space between commodity software and outsourced accounting, with a base case of 500 paying companies (0.08% of registrants) and ~AED 1.07M annualised revenue by end-2027, monthly break-even at ~150 customers, and a pre-seed requirement of AED 350,000. This plan follows the prescribed twenty-section structure and concludes with a recommendation to launch a limited pilot, conditional on published accuracy benchmarks and pilot-validated willingness to pay.</w:t>
      </w:r>
    </w:p>
    <w:bookmarkEnd w:id="21"/>
    <w:bookmarkStart w:id="22" w:name="references"/>
    <w:p>
      <w:pPr>
        <w:pStyle w:val="Heading2"/>
      </w:pPr>
      <w:r>
        <w:t xml:space="preserve">References</w:t>
      </w:r>
    </w:p>
    <w:p>
      <w:pPr>
        <w:pStyle w:val="FirstParagraph"/>
      </w:pPr>
      <w:r>
        <w:t xml:space="preserve">Primary and secondary sources cited in this report. All web sources were verified during research compiled 20–26 July 2026.</w:t>
      </w:r>
    </w:p>
    <w:p>
      <w:pPr>
        <w:pStyle w:val="BodyText"/>
      </w:pPr>
      <w:r>
        <w:rPr>
          <w:bCs/>
          <w:b/>
        </w:rPr>
        <w:t xml:space="preserve">Government and primary sources</w:t>
      </w:r>
      <w:r>
        <w:t xml:space="preserve"> </w:t>
      </w:r>
      <w:r>
        <w:t xml:space="preserve">1. Federal Tax Authority,</w:t>
      </w:r>
      <w:r>
        <w:t xml:space="preserve"> </w:t>
      </w:r>
      <w:r>
        <w:rPr>
          <w:iCs/>
          <w:i/>
        </w:rPr>
        <w:t xml:space="preserve">2025 Annual Report</w:t>
      </w:r>
      <w:r>
        <w:t xml:space="preserve"> </w:t>
      </w:r>
      <w:r>
        <w:t xml:space="preserve">(June 2026) — tax.gov.ae/en/media.centre/annual.reports.aspx (CT/VAT application volumes; ~1.7M transactions, +20% YoY)</w:t>
      </w:r>
      <w:r>
        <w:t xml:space="preserve"> </w:t>
      </w:r>
      <w:r>
        <w:t xml:space="preserve">2. Federal Tax Authority, press release, 14 May 2026 — tax.gov.ae (corporate-tax late-registration penalty waiver; ~91,000 expected, 68,600 to date)</w:t>
      </w:r>
      <w:r>
        <w:t xml:space="preserve"> </w:t>
      </w:r>
      <w:r>
        <w:t xml:space="preserve">3. Ministry of Finance, Ministerial Decisions No. 243 and No. 244 of 2025 on e-invoicing (30 Sep 2025), primary PDFs — mof.gov.ae (scope; Art. 5 phase deadlines: Phase 1 ASP 31 Jul 2026 / live 1 Jan 2027; Phase 2 ASP 31 Mar 2027 / live 1 Jul 2027; Phase 3 live 1 Oct 2027)</w:t>
      </w:r>
      <w:r>
        <w:t xml:space="preserve"> </w:t>
      </w:r>
      <w:r>
        <w:t xml:space="preserve">4. Ministry of Finance, UAE Domestic Minimum Top-up Tax — mof.gov.ae/uae-domestic-minimum-top-up-tax (DMTT scope: MNE groups ≥ €750M)</w:t>
      </w:r>
      <w:r>
        <w:t xml:space="preserve"> </w:t>
      </w:r>
      <w:r>
        <w:t xml:space="preserve">5. Federal Tax Authority, accredited tax-accounting software vendors list — tax.gov.ae (41 accredited vendors; Wafeq accreditation)</w:t>
      </w:r>
      <w:r>
        <w:t xml:space="preserve"> </w:t>
      </w:r>
      <w:r>
        <w:t xml:space="preserve">6. Federal Decree-Law No. 47 of 2022 (Corporate Tax) and Federal Decree-Law No. 8 of 2017 (VAT) — official texts (product corpus; tax-regime facts)</w:t>
      </w:r>
      <w:r>
        <w:t xml:space="preserve"> </w:t>
      </w:r>
      <w:r>
        <w:t xml:space="preserve">7. UAE Personal Data Protection Law, Federal Decree-Law No. 45 of 2021 (data-protection framework)</w:t>
      </w:r>
    </w:p>
    <w:p>
      <w:pPr>
        <w:pStyle w:val="BodyText"/>
      </w:pPr>
      <w:r>
        <w:rPr>
          <w:bCs/>
          <w:b/>
        </w:rPr>
        <w:t xml:space="preserve">Market statistics and press</w:t>
      </w:r>
      <w:r>
        <w:t xml:space="preserve"> </w:t>
      </w:r>
      <w:r>
        <w:t xml:space="preserve">8. FTA registration statistics reported by Gulf News, September 2025 (651,000 CT registrants; 547,000 VAT registrants; 806 registered tax agents; 640k+ corroborated October 2025)</w:t>
      </w:r>
      <w:r>
        <w:t xml:space="preserve"> </w:t>
      </w:r>
      <w:r>
        <w:t xml:space="preserve">9. Minister of Economy via Arab News, 7 January 2026 — arabnews.com/node/2628531 (1.4M total UAE businesses; +250k in 2025)</w:t>
      </w:r>
      <w:r>
        <w:t xml:space="preserve"> </w:t>
      </w:r>
      <w:r>
        <w:t xml:space="preserve">10. MoF/FTA via Zawya (VAT and excise revenue: AED 41bn 2024 → AED 46bn 2025)</w:t>
      </w:r>
      <w:r>
        <w:t xml:space="preserve"> </w:t>
      </w:r>
      <w:r>
        <w:t xml:space="preserve">11. MAGNiTT via Wamda, FY2025 and H1 2026 MENA venture reports (MENA $7.5B FY2025; fintech $4.4B; UAE $1.2B in H1 2026 = 70% of MENA, +125% YoY; enterprise AI #3 in Q2 2026)</w:t>
      </w:r>
      <w:r>
        <w:t xml:space="preserve"> </w:t>
      </w:r>
      <w:r>
        <w:t xml:space="preserve">12. PwC,</w:t>
      </w:r>
      <w:r>
        <w:t xml:space="preserve"> </w:t>
      </w:r>
      <w:r>
        <w:rPr>
          <w:iCs/>
          <w:i/>
        </w:rPr>
        <w:t xml:space="preserve">The potential impact of AI in the Middle East</w:t>
      </w:r>
      <w:r>
        <w:t xml:space="preserve"> </w:t>
      </w:r>
      <w:r>
        <w:t xml:space="preserve">(AI ≈ $96B / ~13.6% of UAE GDP by 2030)</w:t>
      </w:r>
    </w:p>
    <w:p>
      <w:pPr>
        <w:pStyle w:val="BodyText"/>
      </w:pPr>
      <w:r>
        <w:rPr>
          <w:bCs/>
          <w:b/>
        </w:rPr>
        <w:t xml:space="preserve">Competitor and pricing sources (vendor pages, fetched July 2026)</w:t>
      </w:r>
      <w:r>
        <w:t xml:space="preserve"> </w:t>
      </w:r>
      <w:r>
        <w:t xml:space="preserve">13. Wafeq — wafeq.com/en-ae (product, AI OCR, pricing AED 57–249/mo; customer counts are unaudited vendor claims)</w:t>
      </w:r>
      <w:r>
        <w:t xml:space="preserve"> </w:t>
      </w:r>
      <w:r>
        <w:t xml:space="preserve">14. Zoho Books UAE — zoho.com/ae/books (Zia assistant; EmaraTax direct VAT filing; pricing tiers)</w:t>
      </w:r>
      <w:r>
        <w:t xml:space="preserve"> </w:t>
      </w:r>
      <w:r>
        <w:t xml:space="preserve">15. Tax Star — taxstar.app (free &lt; AED 3M revenue; Plus AED 500/yr; Scale AED 1,000/yr; Wafeq partnership)</w:t>
      </w:r>
      <w:r>
        <w:t xml:space="preserve"> </w:t>
      </w:r>
      <w:r>
        <w:t xml:space="preserve">16. Virtuzone</w:t>
      </w:r>
      <w:r>
        <w:t xml:space="preserve"> </w:t>
      </w:r>
      <w:r>
        <w:t xml:space="preserve">“</w:t>
      </w:r>
      <w:r>
        <w:t xml:space="preserve">TaxGPT</w:t>
      </w:r>
      <w:r>
        <w:t xml:space="preserve">”</w:t>
      </w:r>
      <w:r>
        <w:t xml:space="preserve"> </w:t>
      </w:r>
      <w:r>
        <w:t xml:space="preserve">(2023) — free GPT-4 tax chatbot (lead generation; no citation discipline)</w:t>
      </w:r>
      <w:r>
        <w:t xml:space="preserve"> </w:t>
      </w:r>
      <w:r>
        <w:t xml:space="preserve">17. Finanshels / HalaTax — AI-driven CT filing portal and WhatsApp registration bot</w:t>
      </w:r>
      <w:r>
        <w:t xml:space="preserve"> </w:t>
      </w:r>
      <w:r>
        <w:t xml:space="preserve">18. Xero UAE pricing (USD 7–75/mo); TallyPrime perpetual licensing (AED 2,340 / 7,020); QuickBooks UAE availability (US desktop sunsetting only)</w:t>
      </w:r>
      <w:r>
        <w:t xml:space="preserve"> </w:t>
      </w:r>
      <w:r>
        <w:t xml:space="preserve">19. Shuraa Tax et al. — outsourced accounting benchmarks (AED 800–1,700/mo; full VAT/CT service AED 1,500–3,000+/mo)</w:t>
      </w:r>
      <w:r>
        <w:t xml:space="preserve"> </w:t>
      </w:r>
      <w:r>
        <w:t xml:space="preserve">20. Federal Tax Authority AI taxpayer services launch (October 2025)</w:t>
      </w:r>
    </w:p>
    <w:p>
      <w:pPr>
        <w:pStyle w:val="BodyText"/>
      </w:pPr>
      <w:r>
        <w:rPr>
          <w:bCs/>
          <w:b/>
        </w:rPr>
        <w:t xml:space="preserve">Academic</w:t>
      </w:r>
      <w:r>
        <w:t xml:space="preserve"> </w:t>
      </w:r>
      <w:r>
        <w:t xml:space="preserve">21. Stanford RegLab / HAI,</w:t>
      </w:r>
      <w:r>
        <w:t xml:space="preserve"> </w:t>
      </w:r>
      <w:r>
        <w:t xml:space="preserve">“</w:t>
      </w:r>
      <w:r>
        <w:t xml:space="preserve">Hallucination-Free? Assessing the Reliability of Leading AI Legal Research Tools,</w:t>
      </w:r>
      <w:r>
        <w:t xml:space="preserve">”</w:t>
      </w:r>
      <w:r>
        <w:t xml:space="preserve"> </w:t>
      </w:r>
      <w:r>
        <w:rPr>
          <w:iCs/>
          <w:i/>
        </w:rPr>
        <w:t xml:space="preserve">Journal of Empirical Legal Studies</w:t>
      </w:r>
      <w:r>
        <w:t xml:space="preserve"> </w:t>
      </w:r>
      <w:r>
        <w:t xml:space="preserve">(2025; testing conducted 2024) — law.stanford.edu/publications/hallucination-free (Lexis+ AI ~17% and Westlaw ~33% hallucination rates; raw GPT-4 ~43%)</w:t>
      </w:r>
    </w:p>
    <w:p>
      <w:pPr>
        <w:pStyle w:val="BodyText"/>
      </w:pPr>
      <w:r>
        <w:rPr>
          <w:bCs/>
          <w:b/>
        </w:rPr>
        <w:t xml:space="preserve">Analogues referenced</w:t>
      </w:r>
      <w:r>
        <w:t xml:space="preserve"> </w:t>
      </w:r>
      <w:r>
        <w:t xml:space="preserve">22. TaxGPT (US), $4.6M raise, February 2025; Juno (US, CPA-founded, seed) — category existence proofs</w:t>
      </w:r>
    </w:p>
    <w:p>
      <w:pPr>
        <w:pStyle w:val="BodyText"/>
      </w:pPr>
      <w:r>
        <w:rPr>
          <w:iCs/>
          <w:i/>
        </w:rPr>
        <w:t xml:space="preserve">Note on citation discipline: figures in this report are used only as attributed above; vendor-marketing numbers are identified as unaudited where relevant, and statistics that failed source verification during research (e.g., historical</w:t>
      </w:r>
      <w:r>
        <w:rPr>
          <w:iCs/>
          <w:i/>
        </w:rPr>
        <w:t xml:space="preserve"> </w:t>
      </w:r>
      <w:r>
        <w:rPr>
          <w:iCs/>
          <w:i/>
        </w:rPr>
        <w:t xml:space="preserve">“</w:t>
      </w:r>
      <w:r>
        <w:rPr>
          <w:iCs/>
          <w:i/>
        </w:rPr>
        <w:t xml:space="preserve">SMEs = 94% of UAE companies</w:t>
      </w:r>
      <w:r>
        <w:rPr>
          <w:iCs/>
          <w:i/>
        </w:rPr>
        <w:t xml:space="preserve">”</w:t>
      </w:r>
      <w:r>
        <w:rPr>
          <w:iCs/>
          <w:i/>
        </w:rPr>
        <w:t xml:space="preserve"> </w:t>
      </w:r>
      <w:r>
        <w:rPr>
          <w:iCs/>
          <w:i/>
        </w:rPr>
        <w:t xml:space="preserve">claims) have been deliberately excluded.</w:t>
      </w:r>
    </w:p>
    <w:bookmarkEnd w:id="22"/>
    <w:bookmarkEnd w:id="23"/>
    <w:bookmarkStart w:id="35" w:name="section-1-executive-summary"/>
    <w:p>
      <w:pPr>
        <w:pStyle w:val="Heading1"/>
      </w:pPr>
      <w:r>
        <w:t xml:space="preserve">Section 1: Executive Summary</w:t>
      </w:r>
    </w:p>
    <w:p>
      <w:pPr>
        <w:pStyle w:val="FirstParagraph"/>
      </w:pPr>
      <w:r>
        <w:rPr>
          <w:iCs/>
          <w:i/>
        </w:rPr>
        <w:t xml:space="preserve">This executive summary was written after all other sections were completed; every figure in it matches the market analysis (Section 5), financial plan (Section 15) and funding plan (Section 16).</w:t>
      </w:r>
    </w:p>
    <w:bookmarkStart w:id="24" w:name="business-name"/>
    <w:p>
      <w:pPr>
        <w:pStyle w:val="Heading2"/>
      </w:pPr>
      <w:r>
        <w:t xml:space="preserve">Business name</w:t>
      </w:r>
    </w:p>
    <w:p>
      <w:pPr>
        <w:pStyle w:val="FirstParagraph"/>
      </w:pPr>
      <w:r>
        <w:t xml:space="preserve">The venture is named</w:t>
      </w:r>
      <w:r>
        <w:t xml:space="preserve"> </w:t>
      </w:r>
      <w:r>
        <w:rPr>
          <w:bCs/>
          <w:b/>
        </w:rPr>
        <w:t xml:space="preserve">Mizan</w:t>
      </w:r>
      <w:r>
        <w:t xml:space="preserve"> </w:t>
      </w:r>
      <w:r>
        <w:t xml:space="preserve">(ميزان), the Arabic word for</w:t>
      </w:r>
      <w:r>
        <w:t xml:space="preserve"> </w:t>
      </w:r>
      <w:r>
        <w:t xml:space="preserve">“</w:t>
      </w:r>
      <w:r>
        <w:t xml:space="preserve">balance</w:t>
      </w:r>
      <w:r>
        <w:t xml:space="preserve">”</w:t>
      </w:r>
      <w:r>
        <w:t xml:space="preserve"> </w:t>
      </w:r>
      <w:r>
        <w:t xml:space="preserve">or</w:t>
      </w:r>
      <w:r>
        <w:t xml:space="preserve"> </w:t>
      </w:r>
      <w:r>
        <w:t xml:space="preserve">“</w:t>
      </w:r>
      <w:r>
        <w:t xml:space="preserve">scales</w:t>
      </w:r>
      <w:r>
        <w:t xml:space="preserve">”</w:t>
      </w:r>
      <w:r>
        <w:t xml:space="preserve"> </w:t>
      </w:r>
      <w:r>
        <w:t xml:space="preserve">— the traditional symbol of justice and accurate weighing. The name signals exactly what the product promises UAE businesses: answers about tax law that are weighed against the actual text of the law, not guessed. It is short, easy to pronounce in both Arabic and English, and culturally resonant in the target market. A formal trade-name and trademark search has not yet been conducted; this is scheduled as part of incorporation (Section 19).</w:t>
      </w:r>
    </w:p>
    <w:bookmarkEnd w:id="24"/>
    <w:bookmarkStart w:id="25" w:name="Xf3fb4fa815c4121ca6c5ac26f492318675e436a"/>
    <w:p>
      <w:pPr>
        <w:pStyle w:val="Heading2"/>
      </w:pPr>
      <w:r>
        <w:t xml:space="preserve">What Mizan does, whom it serves, and how it makes money</w:t>
      </w:r>
    </w:p>
    <w:p>
      <w:pPr>
        <w:pStyle w:val="FirstParagraph"/>
      </w:pPr>
      <w:r>
        <w:t xml:space="preserve">Mizan is a web-based AI compliance copilot for small and medium-sized enterprises (SMEs) in the UAE. It answers Corporate Tax and VAT questions with citations to the actual articles of UAE law, performs deterministic VAT calculations, and extracts and checks data from photographed supplier invoices — and, critically, it</w:t>
      </w:r>
      <w:r>
        <w:t xml:space="preserve"> </w:t>
      </w:r>
      <w:r>
        <w:rPr>
          <w:bCs/>
          <w:b/>
        </w:rPr>
        <w:t xml:space="preserve">declines to answer</w:t>
      </w:r>
      <w:r>
        <w:t xml:space="preserve"> </w:t>
      </w:r>
      <w:r>
        <w:t xml:space="preserve">when the law does not clearly support an answer. Mizan provides compliance assistance, not tax advice; a human always makes the final decision.</w:t>
      </w:r>
    </w:p>
    <w:p>
      <w:pPr>
        <w:pStyle w:val="BodyText"/>
      </w:pPr>
      <w:r>
        <w:t xml:space="preserve">The primary user and payer is the owner or finance manager of a UAE SME with revenue below AED 50 million. Mizan earns recurring subscription revenue through a freemium model: a Free tier (5 questions and 3 invoice scans per month), a</w:t>
      </w:r>
      <w:r>
        <w:t xml:space="preserve"> </w:t>
      </w:r>
      <w:r>
        <w:rPr>
          <w:bCs/>
          <w:b/>
        </w:rPr>
        <w:t xml:space="preserve">Pro tier at AED 149/month</w:t>
      </w:r>
      <w:r>
        <w:t xml:space="preserve"> </w:t>
      </w:r>
      <w:r>
        <w:t xml:space="preserve">per company, and a</w:t>
      </w:r>
      <w:r>
        <w:t xml:space="preserve"> </w:t>
      </w:r>
      <w:r>
        <w:rPr>
          <w:bCs/>
          <w:b/>
        </w:rPr>
        <w:t xml:space="preserve">Business tier at AED 399/month</w:t>
      </w:r>
      <w:r>
        <w:t xml:space="preserve"> </w:t>
      </w:r>
      <w:r>
        <w:t xml:space="preserve">with multi-user and accountant-collaboration features. Annual plans include two months free.</w:t>
      </w:r>
    </w:p>
    <w:bookmarkEnd w:id="25"/>
    <w:bookmarkStart w:id="26" w:name="vision"/>
    <w:p>
      <w:pPr>
        <w:pStyle w:val="Heading2"/>
      </w:pPr>
      <w:r>
        <w:t xml:space="preserve">Vision</w:t>
      </w:r>
    </w:p>
    <w:p>
      <w:pPr>
        <w:pStyle w:val="FirstParagraph"/>
      </w:pPr>
      <w:r>
        <w:t xml:space="preserve">A UAE — and, in time, a wider Gulf region — where no small business is penalised simply because compliance knowledge was priced out of its reach.</w:t>
      </w:r>
    </w:p>
    <w:bookmarkEnd w:id="26"/>
    <w:bookmarkStart w:id="27" w:name="mission"/>
    <w:p>
      <w:pPr>
        <w:pStyle w:val="Heading2"/>
      </w:pPr>
      <w:r>
        <w:t xml:space="preserve">Mission</w:t>
      </w:r>
    </w:p>
    <w:p>
      <w:pPr>
        <w:pStyle w:val="FirstParagraph"/>
      </w:pPr>
      <w:r>
        <w:t xml:space="preserve">Mizan gives UAE SMEs affordable, verifiable answers about Corporate Tax and VAT by combining AI question-answering grounded in the official law text, deterministic calculation tools, and human-in-the-loop review — so that owners can act on their obligations confidently between visits to their accountant.</w:t>
      </w:r>
    </w:p>
    <w:bookmarkEnd w:id="27"/>
    <w:bookmarkStart w:id="28" w:name="values"/>
    <w:p>
      <w:pPr>
        <w:pStyle w:val="Heading2"/>
      </w:pPr>
      <w:r>
        <w:t xml:space="preserve">Values</w:t>
      </w:r>
    </w:p>
    <w:p>
      <w:pPr>
        <w:numPr>
          <w:ilvl w:val="0"/>
          <w:numId w:val="1001"/>
        </w:numPr>
        <w:pStyle w:val="Compact"/>
      </w:pPr>
      <w:r>
        <w:rPr>
          <w:bCs/>
          <w:b/>
        </w:rPr>
        <w:t xml:space="preserve">Trust through verifiability</w:t>
      </w:r>
      <w:r>
        <w:t xml:space="preserve"> </w:t>
      </w:r>
      <w:r>
        <w:t xml:space="preserve">— every answer carries citations to the law; users can check us.</w:t>
      </w:r>
    </w:p>
    <w:p>
      <w:pPr>
        <w:numPr>
          <w:ilvl w:val="0"/>
          <w:numId w:val="1001"/>
        </w:numPr>
        <w:pStyle w:val="Compact"/>
      </w:pPr>
      <w:r>
        <w:rPr>
          <w:bCs/>
          <w:b/>
        </w:rPr>
        <w:t xml:space="preserve">Honesty about uncertainty</w:t>
      </w:r>
      <w:r>
        <w:t xml:space="preserve"> </w:t>
      </w:r>
      <w:r>
        <w:t xml:space="preserve">— when the law is unclear, Mizan abstains rather than guesses.</w:t>
      </w:r>
    </w:p>
    <w:p>
      <w:pPr>
        <w:numPr>
          <w:ilvl w:val="0"/>
          <w:numId w:val="1001"/>
        </w:numPr>
        <w:pStyle w:val="Compact"/>
      </w:pPr>
      <w:r>
        <w:rPr>
          <w:bCs/>
          <w:b/>
        </w:rPr>
        <w:t xml:space="preserve">Privacy by minimalism</w:t>
      </w:r>
      <w:r>
        <w:t xml:space="preserve"> </w:t>
      </w:r>
      <w:r>
        <w:t xml:space="preserve">— we collect only what the product needs; the MVP stores no client financial ledgers.</w:t>
      </w:r>
    </w:p>
    <w:p>
      <w:pPr>
        <w:numPr>
          <w:ilvl w:val="0"/>
          <w:numId w:val="1001"/>
        </w:numPr>
        <w:pStyle w:val="Compact"/>
      </w:pPr>
      <w:r>
        <w:rPr>
          <w:bCs/>
          <w:b/>
        </w:rPr>
        <w:t xml:space="preserve">Human accountability</w:t>
      </w:r>
      <w:r>
        <w:t xml:space="preserve"> </w:t>
      </w:r>
      <w:r>
        <w:t xml:space="preserve">— AI assists; qualified humans decide, and we say so plainly.</w:t>
      </w:r>
    </w:p>
    <w:p>
      <w:pPr>
        <w:numPr>
          <w:ilvl w:val="0"/>
          <w:numId w:val="1001"/>
        </w:numPr>
        <w:pStyle w:val="Compact"/>
      </w:pPr>
      <w:r>
        <w:rPr>
          <w:bCs/>
          <w:b/>
        </w:rPr>
        <w:t xml:space="preserve">Clarity</w:t>
      </w:r>
      <w:r>
        <w:t xml:space="preserve"> </w:t>
      </w:r>
      <w:r>
        <w:t xml:space="preserve">— plain-language answers a non-specialist owner can act on.</w:t>
      </w:r>
    </w:p>
    <w:p>
      <w:pPr>
        <w:pStyle w:val="FirstParagraph"/>
      </w:pPr>
      <w:r>
        <w:t xml:space="preserve">Each value maps to a concrete design decision described in Sections 3, 9 and 14.</w:t>
      </w:r>
    </w:p>
    <w:bookmarkEnd w:id="28"/>
    <w:bookmarkStart w:id="29" w:name="team-and-core-competencies"/>
    <w:p>
      <w:pPr>
        <w:pStyle w:val="Heading2"/>
      </w:pPr>
      <w:r>
        <w:t xml:space="preserve">Team and core competencies</w:t>
      </w:r>
    </w:p>
    <w:p>
      <w:pPr>
        <w:pStyle w:val="FirstParagraph"/>
      </w:pPr>
      <w:r>
        <w:t xml:space="preserve">Three Master of Artificial Intelligence in Business (MAIB) candidates at SP Jain School of Global Management, Dubai.</w:t>
      </w:r>
      <w:r>
        <w:t xml:space="preserve"> </w:t>
      </w:r>
      <w:r>
        <w:rPr>
          <w:bCs/>
          <w:b/>
        </w:rPr>
        <w:t xml:space="preserve">Nandita Menon</w:t>
      </w:r>
      <w:r>
        <w:t xml:space="preserve"> </w:t>
      </w:r>
      <w:r>
        <w:t xml:space="preserve">(CEO and AI Lead) built a production computer-vision grading pipeline as an AI intern at NorthLadder (Dubai) and has built agentic RAG systems (FinSight); B.Tech in Computer Science, NIT Calicut.</w:t>
      </w:r>
      <w:r>
        <w:t xml:space="preserve"> </w:t>
      </w:r>
      <w:r>
        <w:rPr>
          <w:bCs/>
          <w:b/>
        </w:rPr>
        <w:t xml:space="preserve">Jillian Priscilla</w:t>
      </w:r>
      <w:r>
        <w:t xml:space="preserve"> </w:t>
      </w:r>
      <w:r>
        <w:t xml:space="preserve">leads frontend and deployment.</w:t>
      </w:r>
      <w:r>
        <w:t xml:space="preserve"> </w:t>
      </w:r>
      <w:r>
        <w:rPr>
          <w:bCs/>
          <w:b/>
        </w:rPr>
        <w:t xml:space="preserve">Anushree Ashok</w:t>
      </w:r>
      <w:r>
        <w:t xml:space="preserve"> </w:t>
      </w:r>
      <w:r>
        <w:t xml:space="preserve">leads research, QA and business operations. Honest gaps: no licensed tax professional on the team (we will retain a compliance advisor — Section 16), no Arabic speaker [adjust if incorrect], and we are first-time founders. Section 13 details roles and mitigation.</w:t>
      </w:r>
    </w:p>
    <w:bookmarkEnd w:id="29"/>
    <w:bookmarkStart w:id="30" w:name="the-problem-and-why-now"/>
    <w:p>
      <w:pPr>
        <w:pStyle w:val="Heading2"/>
      </w:pPr>
      <w:r>
        <w:t xml:space="preserve">The problem and why now</w:t>
      </w:r>
    </w:p>
    <w:p>
      <w:pPr>
        <w:pStyle w:val="FirstParagraph"/>
      </w:pPr>
      <w:r>
        <w:t xml:space="preserve">Some 651,000 Corporate Tax registrants and 547,000 VAT registrants (FTA via Gulf News, Sept 2025) must comply with a tax regime that is barely three years old, served by only 806 registered tax agents — roughly 800 registrants per agent. Around 91,000 businesses are expected to need the FTA’s late-registration penalty waiver (FTA press release, 14 May 2026): tens of thousands missed a basic deadline. Outsourced accounting costs AED 800–1,700+/month; software incumbents file forms but none offers cited, abstaining legal Q&amp;A. E-invoicing goes voluntary on 1 July 2026 and becomes mandatory for all SMEs on 1 July 2027 (MD 244/2025, Art. 5), adding new obligations.</w:t>
      </w:r>
    </w:p>
    <w:bookmarkEnd w:id="30"/>
    <w:bookmarkStart w:id="31" w:name="main-ai-feature"/>
    <w:p>
      <w:pPr>
        <w:pStyle w:val="Heading2"/>
      </w:pPr>
      <w:r>
        <w:t xml:space="preserve">Main AI feature</w:t>
      </w:r>
    </w:p>
    <w:p>
      <w:pPr>
        <w:pStyle w:val="FirstParagraph"/>
      </w:pPr>
      <w:r>
        <w:t xml:space="preserve">An agentic AI loop answers tax questions: the input is a user’s plain-language question (or an invoice photo); the model retrieves relevant articles of Federal Decree-Law 47/2022, the VAT law 8/2017 and FTA guides, and the output is a plain-language answer with article-level citations, a full audit trail — or an explicit</w:t>
      </w:r>
      <w:r>
        <w:t xml:space="preserve"> </w:t>
      </w:r>
      <w:r>
        <w:t xml:space="preserve">“</w:t>
      </w:r>
      <w:r>
        <w:t xml:space="preserve">Declined to guess</w:t>
      </w:r>
      <w:r>
        <w:t xml:space="preserve">”</w:t>
      </w:r>
      <w:r>
        <w:t xml:space="preserve"> </w:t>
      </w:r>
      <w:r>
        <w:t xml:space="preserve">abstention. Arithmetic is done by a deterministic calculator, never the language model. Outputs are designed for human review, and material decisions are referred to a professional.</w:t>
      </w:r>
    </w:p>
    <w:bookmarkEnd w:id="31"/>
    <w:bookmarkStart w:id="32" w:name="competitive-advantage"/>
    <w:p>
      <w:pPr>
        <w:pStyle w:val="Heading2"/>
      </w:pPr>
      <w:r>
        <w:t xml:space="preserve">Competitive advantage</w:t>
      </w:r>
    </w:p>
    <w:p>
      <w:pPr>
        <w:pStyle w:val="FirstParagraph"/>
      </w:pPr>
      <w:r>
        <w:t xml:space="preserve">Two reasons customers choose Mizan: (1)</w:t>
      </w:r>
      <w:r>
        <w:t xml:space="preserve"> </w:t>
      </w:r>
      <w:r>
        <w:rPr>
          <w:bCs/>
          <w:b/>
        </w:rPr>
        <w:t xml:space="preserve">verifiable trust</w:t>
      </w:r>
      <w:r>
        <w:t xml:space="preserve"> </w:t>
      </w:r>
      <w:r>
        <w:t xml:space="preserve">— cited, abstaining answers in a category where Stanford research found even purpose-built legal AI tools hallucinate 17–33% of the time (Stanford RegLab/HAI, 2025); and (2)</w:t>
      </w:r>
      <w:r>
        <w:t xml:space="preserve"> </w:t>
      </w:r>
      <w:r>
        <w:rPr>
          <w:bCs/>
          <w:b/>
        </w:rPr>
        <w:t xml:space="preserve">the UAE-specific white space</w:t>
      </w:r>
      <w:r>
        <w:t xml:space="preserve"> </w:t>
      </w:r>
      <w:r>
        <w:t xml:space="preserve">— priced at AED 149–399/month between commodity software (Wafeq AED 57–249/mo; Tax Star AED 500–1,000/yr) and human outsourcing (AED 800–1,700+/mo), doing a job neither does.</w:t>
      </w:r>
    </w:p>
    <w:bookmarkEnd w:id="32"/>
    <w:bookmarkStart w:id="33" w:name="funding-requirement"/>
    <w:p>
      <w:pPr>
        <w:pStyle w:val="Heading2"/>
      </w:pPr>
      <w:r>
        <w:t xml:space="preserve">Funding requirement</w:t>
      </w:r>
    </w:p>
    <w:p>
      <w:pPr>
        <w:pStyle w:val="FirstParagraph"/>
      </w:pPr>
      <w:r>
        <w:t xml:space="preserve">We seek approximately</w:t>
      </w:r>
      <w:r>
        <w:t xml:space="preserve"> </w:t>
      </w:r>
      <w:r>
        <w:rPr>
          <w:bCs/>
          <w:b/>
        </w:rPr>
        <w:t xml:space="preserve">AED 350,000 pre-seed</w:t>
      </w:r>
      <w:r>
        <w:t xml:space="preserve"> </w:t>
      </w:r>
      <w:r>
        <w:t xml:space="preserve">(accelerator and/or angel route: in5, Hub71 and DIFC FinTech Hive are target programmes, not confirmed partners) to fund 12 months post-graduation: minimal founder stipends, marketing, a compliance-advisor retainer, and development of Arabic support and published accuracy evaluations. Section 16 contains the use-of-funds table.</w:t>
      </w:r>
    </w:p>
    <w:bookmarkEnd w:id="33"/>
    <w:bookmarkStart w:id="34" w:name="expected-growth-potential"/>
    <w:p>
      <w:pPr>
        <w:pStyle w:val="Heading2"/>
      </w:pPr>
      <w:r>
        <w:t xml:space="preserve">Expected growth potential</w:t>
      </w:r>
    </w:p>
    <w:p>
      <w:pPr>
        <w:pStyle w:val="FirstParagraph"/>
      </w:pPr>
      <w:r>
        <w:t xml:space="preserve">Base case: 500 paying companies by end of the first commercial year (2027) — 0.08% of Corporate Tax registrants — generating roughly AED 1.07M in annualised recurring revenue, with monthly break-even at approximately 150 paying customers, expected in Q3 2027. Growth then comes from the accountant channel and e-invoicing-era workflows, with Arabic support and GCC expansion as later options. These are assumptions, not guarantees; the conditions are set out in Sections 15, 18 and 20. Our recommendation (Section 20) is to</w:t>
      </w:r>
      <w:r>
        <w:t xml:space="preserve"> </w:t>
      </w:r>
      <w:r>
        <w:rPr>
          <w:bCs/>
          <w:b/>
        </w:rPr>
        <w:t xml:space="preserve">launch a limited pilot</w:t>
      </w:r>
      <w:r>
        <w:t xml:space="preserve">.</w:t>
      </w:r>
    </w:p>
    <w:bookmarkEnd w:id="34"/>
    <w:bookmarkEnd w:id="35"/>
    <w:bookmarkStart w:id="45" w:name="X36892ef428d37fe6f4f8750e3f0700ed1f3221d"/>
    <w:p>
      <w:pPr>
        <w:pStyle w:val="Heading1"/>
      </w:pPr>
      <w:r>
        <w:t xml:space="preserve">Section 2: Business and Problem Description</w:t>
      </w:r>
    </w:p>
    <w:bookmarkStart w:id="36" w:name="overall-business-description"/>
    <w:p>
      <w:pPr>
        <w:pStyle w:val="Heading2"/>
      </w:pPr>
      <w:r>
        <w:t xml:space="preserve">Overall business description</w:t>
      </w:r>
    </w:p>
    <w:p>
      <w:pPr>
        <w:pStyle w:val="FirstParagraph"/>
      </w:pPr>
      <w:r>
        <w:t xml:space="preserve">Mizan is a proposed technology venture in the UAE regulatory-technology (</w:t>
      </w:r>
      <w:r>
        <w:t xml:space="preserve">“</w:t>
      </w:r>
      <w:r>
        <w:t xml:space="preserve">regtech</w:t>
      </w:r>
      <w:r>
        <w:t xml:space="preserve">”</w:t>
      </w:r>
      <w:r>
        <w:t xml:space="preserve">) segment of the financial-software industry. The product is a web-based software-as-a-service application: an AI compliance copilot that answers UAE Corporate Tax and VAT questions with citations to the law, performs deterministic VAT calculations, and extracts and cross-checks data from photographed invoices. The venture is at the</w:t>
      </w:r>
      <w:r>
        <w:t xml:space="preserve"> </w:t>
      </w:r>
      <w:r>
        <w:rPr>
          <w:bCs/>
          <w:b/>
        </w:rPr>
        <w:t xml:space="preserve">working-prototype stage</w:t>
      </w:r>
      <w:r>
        <w:t xml:space="preserve">: a functioning MVP has been built and will be demonstrated live; it is not yet commercially launched. The intended market is the United Arab Emirates, launching from Dubai, where the founding team is based and where the majority of SME formation activity is concentrated.</w:t>
      </w:r>
    </w:p>
    <w:bookmarkEnd w:id="36"/>
    <w:bookmarkStart w:id="37" w:name="what-is-the-customer-problem"/>
    <w:p>
      <w:pPr>
        <w:pStyle w:val="Heading2"/>
      </w:pPr>
      <w:r>
        <w:t xml:space="preserve">What is the customer problem?</w:t>
      </w:r>
    </w:p>
    <w:p>
      <w:pPr>
        <w:pStyle w:val="FirstParagraph"/>
      </w:pPr>
      <w:r>
        <w:t xml:space="preserve">Since 2018 (VAT) and especially since 2023 (Corporate Tax under Federal Decree-Law 47/2022), every UAE business has carried tax-compliance obligations that most small firms have never faced before. The specific difficulty is this:</w:t>
      </w:r>
      <w:r>
        <w:t xml:space="preserve"> </w:t>
      </w:r>
      <w:r>
        <w:rPr>
          <w:bCs/>
          <w:b/>
        </w:rPr>
        <w:t xml:space="preserve">when an SME owner has a concrete compliance question —</w:t>
      </w:r>
      <w:r>
        <w:rPr>
          <w:bCs/>
          <w:b/>
        </w:rPr>
        <w:t xml:space="preserve"> </w:t>
      </w:r>
      <w:r>
        <w:rPr>
          <w:bCs/>
          <w:b/>
        </w:rPr>
        <w:t xml:space="preserve">“</w:t>
      </w:r>
      <w:r>
        <w:rPr>
          <w:bCs/>
          <w:b/>
        </w:rPr>
        <w:t xml:space="preserve">Do I charge VAT on this export?</w:t>
      </w:r>
      <w:r>
        <w:rPr>
          <w:bCs/>
          <w:b/>
        </w:rPr>
        <w:t xml:space="preserve">”</w:t>
      </w:r>
      <w:r>
        <w:rPr>
          <w:bCs/>
          <w:b/>
        </w:rPr>
        <w:t xml:space="preserve">,</w:t>
      </w:r>
      <w:r>
        <w:rPr>
          <w:bCs/>
          <w:b/>
        </w:rPr>
        <w:t xml:space="preserve"> </w:t>
      </w:r>
      <w:r>
        <w:rPr>
          <w:bCs/>
          <w:b/>
        </w:rPr>
        <w:t xml:space="preserve">“</w:t>
      </w:r>
      <w:r>
        <w:rPr>
          <w:bCs/>
          <w:b/>
        </w:rPr>
        <w:t xml:space="preserve">Am I within the small business relief threshold?</w:t>
      </w:r>
      <w:r>
        <w:rPr>
          <w:bCs/>
          <w:b/>
        </w:rPr>
        <w:t xml:space="preserve">”</w:t>
      </w:r>
      <w:r>
        <w:rPr>
          <w:bCs/>
          <w:b/>
        </w:rPr>
        <w:t xml:space="preserve">,</w:t>
      </w:r>
      <w:r>
        <w:rPr>
          <w:bCs/>
          <w:b/>
        </w:rPr>
        <w:t xml:space="preserve"> </w:t>
      </w:r>
      <w:r>
        <w:rPr>
          <w:bCs/>
          <w:b/>
        </w:rPr>
        <w:t xml:space="preserve">“</w:t>
      </w:r>
      <w:r>
        <w:rPr>
          <w:bCs/>
          <w:b/>
        </w:rPr>
        <w:t xml:space="preserve">Is this invoice valid for input VAT recovery?</w:t>
      </w:r>
      <w:r>
        <w:rPr>
          <w:bCs/>
          <w:b/>
        </w:rPr>
        <w:t xml:space="preserve">”</w:t>
      </w:r>
      <w:r>
        <w:rPr>
          <w:bCs/>
          <w:b/>
        </w:rPr>
        <w:t xml:space="preserve"> </w:t>
      </w:r>
      <w:r>
        <w:rPr>
          <w:bCs/>
          <w:b/>
        </w:rPr>
        <w:t xml:space="preserve">— there is no affordable way to get a reliable answer at the moment the question arises.</w:t>
      </w:r>
      <w:r>
        <w:t xml:space="preserve"> </w:t>
      </w:r>
      <w:r>
        <w:t xml:space="preserve">The problem occurs during everyday activities: issuing invoices, booking supplier bills, preparing quarterly VAT returns, deciding whether and when to register. The gap between the current situation (search engines, guesswork, waiting days for an accountant’s reply) and the desired outcome (an immediate, trustworthy, checkable answer) creates measurable cost: wrong answers risk administrative penalties; professional answers cost AED 800–1,700+ per month in outsourced fees (Shuraa Tax et al.); and unanswered questions delay commercial decisions.</w:t>
      </w:r>
    </w:p>
    <w:p>
      <w:pPr>
        <w:pStyle w:val="BodyText"/>
      </w:pPr>
      <w:r>
        <w:t xml:space="preserve">The problem is measurable at national scale: approximately</w:t>
      </w:r>
      <w:r>
        <w:t xml:space="preserve"> </w:t>
      </w:r>
      <w:r>
        <w:rPr>
          <w:bCs/>
          <w:b/>
        </w:rPr>
        <w:t xml:space="preserve">91,000 businesses</w:t>
      </w:r>
      <w:r>
        <w:t xml:space="preserve"> </w:t>
      </w:r>
      <w:r>
        <w:t xml:space="preserve">are expected to need the FTA’s Corporate Tax late-registration penalty waiver, with 68,600 already having used it (FTA press release, 14 May 2026). Tens of thousands of firms failed at the most basic compliance step — registering on time — which is direct evidence that compliance knowledge is not reaching small businesses.</w:t>
      </w:r>
    </w:p>
    <w:bookmarkEnd w:id="37"/>
    <w:bookmarkStart w:id="38" w:name="who-experiences-the-problem"/>
    <w:p>
      <w:pPr>
        <w:pStyle w:val="Heading2"/>
      </w:pPr>
      <w:r>
        <w:t xml:space="preserve">Who experiences the problem?</w:t>
      </w:r>
    </w:p>
    <w:p>
      <w:pPr>
        <w:pStyle w:val="FirstParagraph"/>
      </w:pPr>
      <w:r>
        <w:t xml:space="preserve">The primary sufferer and target payer is the</w:t>
      </w:r>
      <w:r>
        <w:t xml:space="preserve"> </w:t>
      </w:r>
      <w:r>
        <w:rPr>
          <w:bCs/>
          <w:b/>
        </w:rPr>
        <w:t xml:space="preserve">owner, general manager or part-time finance manager of a UAE SME with annual revenue below AED 50 million</w:t>
      </w:r>
      <w:r>
        <w:t xml:space="preserve"> </w:t>
      </w:r>
      <w:r>
        <w:t xml:space="preserve">— typically a trading, e-commerce, services or F&amp;B business with 1–50 employees and no in-house tax specialist. The user and the buyer are usually the same person in micro and small firms; in slightly larger firms the user may be a bookkeeper while the owner pays. The pain is sharpest for: newly registered Corporate Tax filers facing their first return; firms in the penalty-waiver cohort who have already been burned; and businesses whose accountant is external and responds slowly. A secondary group experiencing the problem from the other side is the small accounting practice: only</w:t>
      </w:r>
      <w:r>
        <w:t xml:space="preserve"> </w:t>
      </w:r>
      <w:r>
        <w:rPr>
          <w:bCs/>
          <w:b/>
        </w:rPr>
        <w:t xml:space="preserve">806 registered tax agents</w:t>
      </w:r>
      <w:r>
        <w:t xml:space="preserve"> </w:t>
      </w:r>
      <w:r>
        <w:t xml:space="preserve">serve 651,000 Corporate Tax registrants (FTA via Gulf News, Sept 2025) — roughly 800 registrants per agent — so agents are overloaded with exactly the routine questions Mizan answers.</w:t>
      </w:r>
    </w:p>
    <w:bookmarkEnd w:id="38"/>
    <w:bookmarkStart w:id="39" w:name="how-frequently-does-the-problem-occur"/>
    <w:p>
      <w:pPr>
        <w:pStyle w:val="Heading2"/>
      </w:pPr>
      <w:r>
        <w:t xml:space="preserve">How frequently does the problem occur?</w:t>
      </w:r>
    </w:p>
    <w:p>
      <w:pPr>
        <w:pStyle w:val="FirstParagraph"/>
      </w:pPr>
      <w:r>
        <w:t xml:space="preserve">Compliance questions are</w:t>
      </w:r>
      <w:r>
        <w:t xml:space="preserve"> </w:t>
      </w:r>
      <w:r>
        <w:rPr>
          <w:bCs/>
          <w:b/>
        </w:rPr>
        <w:t xml:space="preserve">event-driven but recurrent</w:t>
      </w:r>
      <w:r>
        <w:t xml:space="preserve">. Invoicing and bill-booking questions arise weekly or even daily in trading businesses; VAT return preparation is quarterly for most registrants; Corporate Tax filing is annual; registration, deregistration and threshold questions arise at business milestones. Frequency will rise from 1 July 2026, when e-invoicing pilot and voluntary adoption begin, and again on 1 July 2027, when e-invoicing becomes mandatory for businesses below AED 50M revenue (MD 244/2025, Art. 5) — a new, unfamiliar obligation for every SME. The scale of interaction with the tax system is documented: the FTA processed roughly</w:t>
      </w:r>
      <w:r>
        <w:t xml:space="preserve"> </w:t>
      </w:r>
      <w:r>
        <w:rPr>
          <w:bCs/>
          <w:b/>
        </w:rPr>
        <w:t xml:space="preserve">1.7 million tax-registration transactions in 2025, up 20% year on year</w:t>
      </w:r>
      <w:r>
        <w:t xml:space="preserve"> </w:t>
      </w:r>
      <w:r>
        <w:t xml:space="preserve">(FTA 2025 Annual Report). Frequency matters commercially because recurring questions justify a recurring subscription; a once-a-year problem would not. We have not yet run primary interviews on question frequency: the profile above rests on the statutory filing calendar and published FTA transaction volumes, and testing it against real SME question logs is an explicit objective of the pilot (Section 19).</w:t>
      </w:r>
    </w:p>
    <w:bookmarkEnd w:id="39"/>
    <w:bookmarkStart w:id="40" w:name="why-is-the-problem-important"/>
    <w:p>
      <w:pPr>
        <w:pStyle w:val="Heading2"/>
      </w:pPr>
      <w:r>
        <w:t xml:space="preserve">Why is the problem important?</w:t>
      </w:r>
    </w:p>
    <w:p>
      <w:pPr>
        <w:pStyle w:val="FirstParagraph"/>
      </w:pPr>
      <w:r>
        <w:t xml:space="preserve">The consequences of leaving the problem unresolved are financial and operational. Financially: administrative penalties for late registration and filing errors (the ~91,000-firm waiver cohort is the demand-proof statistic); overpaid or under-recovered VAT from invoice errors; and outsourcing fees of AED 800–1,700+/month — full-service VAT/CT support runs AED 1,500–3,000+/month (Shuraa Tax et al.) — which is material for a firm earning a few hundred thousand dirhams a year. Operationally: owner hours lost to searching and second-guessing, delayed invoices and slower deal decisions. The state’s stake is also growing — VAT and excise revenue rose from AED 41bn (2024) to AED 46bn (2025) (MoF/FTA via Zawya) — so enforcement attention will not decrease. The benefit of solving the problem is the inverse: fewer penalties, faster decisions, cheaper access to reliable compliance knowledge.</w:t>
      </w:r>
    </w:p>
    <w:bookmarkEnd w:id="40"/>
    <w:bookmarkStart w:id="41" w:name="Xb570ac9e767233fe26209ce292175d7996e7eac"/>
    <w:p>
      <w:pPr>
        <w:pStyle w:val="Heading2"/>
      </w:pPr>
      <w:r>
        <w:t xml:space="preserve">What are customers currently doing to solve it?</w:t>
      </w:r>
    </w:p>
    <w:p>
      <w:pPr>
        <w:numPr>
          <w:ilvl w:val="0"/>
          <w:numId w:val="1002"/>
        </w:numPr>
        <w:pStyle w:val="Compact"/>
      </w:pPr>
      <w:r>
        <w:rPr>
          <w:bCs/>
          <w:b/>
        </w:rPr>
        <w:t xml:space="preserve">Outsourced accountants and tax agents</w:t>
      </w:r>
      <w:r>
        <w:t xml:space="preserve"> </w:t>
      </w:r>
      <w:r>
        <w:t xml:space="preserve">(AED 800–1,700+/month): reliable but expensive, slow for ad-hoc questions, and capacity-constrained (806 agents nationally).</w:t>
      </w:r>
    </w:p>
    <w:p>
      <w:pPr>
        <w:numPr>
          <w:ilvl w:val="0"/>
          <w:numId w:val="1002"/>
        </w:numPr>
        <w:pStyle w:val="Compact"/>
      </w:pPr>
      <w:r>
        <w:rPr>
          <w:bCs/>
          <w:b/>
        </w:rPr>
        <w:t xml:space="preserve">Accounting software</w:t>
      </w:r>
      <w:r>
        <w:t xml:space="preserve"> </w:t>
      </w:r>
      <w:r>
        <w:t xml:space="preserve">(Wafeq from AED 57/month; Zoho Books UAE from free to AED 799/month): excellent at bookkeeping and filing rails, but their AI answers questions about</w:t>
      </w:r>
      <w:r>
        <w:t xml:space="preserve"> </w:t>
      </w:r>
      <w:r>
        <w:rPr>
          <w:iCs/>
          <w:i/>
        </w:rPr>
        <w:t xml:space="preserve">your books</w:t>
      </w:r>
      <w:r>
        <w:t xml:space="preserve">, not about</w:t>
      </w:r>
      <w:r>
        <w:t xml:space="preserve"> </w:t>
      </w:r>
      <w:r>
        <w:rPr>
          <w:iCs/>
          <w:i/>
        </w:rPr>
        <w:t xml:space="preserve">the law</w:t>
      </w:r>
      <w:r>
        <w:t xml:space="preserve">.</w:t>
      </w:r>
    </w:p>
    <w:p>
      <w:pPr>
        <w:numPr>
          <w:ilvl w:val="0"/>
          <w:numId w:val="1002"/>
        </w:numPr>
        <w:pStyle w:val="Compact"/>
      </w:pPr>
      <w:r>
        <w:rPr>
          <w:bCs/>
          <w:b/>
        </w:rPr>
        <w:t xml:space="preserve">Free FTA resources</w:t>
      </w:r>
      <w:r>
        <w:t xml:space="preserve">: authoritative guides and, since October 2025, the FTA’s own AI taxpayer services — free, but generic, not integrated into daily workflows, and without invoice-level tools.</w:t>
      </w:r>
    </w:p>
    <w:p>
      <w:pPr>
        <w:numPr>
          <w:ilvl w:val="0"/>
          <w:numId w:val="1002"/>
        </w:numPr>
        <w:pStyle w:val="Compact"/>
      </w:pPr>
      <w:r>
        <w:rPr>
          <w:bCs/>
          <w:b/>
        </w:rPr>
        <w:t xml:space="preserve">Search engines and general chatbots</w:t>
      </w:r>
      <w:r>
        <w:t xml:space="preserve"> </w:t>
      </w:r>
      <w:r>
        <w:t xml:space="preserve">(including Virtuzone’s free TaxGPT): instant but uncited and prone to confident errors.</w:t>
      </w:r>
    </w:p>
    <w:p>
      <w:pPr>
        <w:numPr>
          <w:ilvl w:val="0"/>
          <w:numId w:val="1002"/>
        </w:numPr>
        <w:pStyle w:val="Compact"/>
      </w:pPr>
      <w:r>
        <w:rPr>
          <w:bCs/>
          <w:b/>
        </w:rPr>
        <w:t xml:space="preserve">Do nothing / guess</w:t>
      </w:r>
      <w:r>
        <w:t xml:space="preserve">: the most common option, whose cost is documented by the penalty-waiver cohort.</w:t>
      </w:r>
    </w:p>
    <w:p>
      <w:pPr>
        <w:pStyle w:val="FirstParagraph"/>
      </w:pPr>
      <w:r>
        <w:t xml:space="preserve">Each alternative has genuine strengths — accountants bring judgment, incumbents own the filing rails, FTA material is authoritative. We do not claim customers have no solution; we claim the solutions leave a gap.</w:t>
      </w:r>
    </w:p>
    <w:bookmarkEnd w:id="41"/>
    <w:bookmarkStart w:id="42" w:name="why-are-existing-solutions-insufficient"/>
    <w:p>
      <w:pPr>
        <w:pStyle w:val="Heading2"/>
      </w:pPr>
      <w:r>
        <w:t xml:space="preserve">Why are existing solutions insufficient?</w:t>
      </w:r>
    </w:p>
    <w:p>
      <w:pPr>
        <w:pStyle w:val="FirstParagraph"/>
      </w:pPr>
      <w:r>
        <w:t xml:space="preserve">The shortcomings are specific:</w:t>
      </w:r>
      <w:r>
        <w:t xml:space="preserve"> </w:t>
      </w:r>
      <w:r>
        <w:rPr>
          <w:bCs/>
          <w:b/>
        </w:rPr>
        <w:t xml:space="preserve">cost</w:t>
      </w:r>
      <w:r>
        <w:t xml:space="preserve"> </w:t>
      </w:r>
      <w:r>
        <w:t xml:space="preserve">(human advice is 5–10x our proposed price point),</w:t>
      </w:r>
      <w:r>
        <w:t xml:space="preserve"> </w:t>
      </w:r>
      <w:r>
        <w:rPr>
          <w:bCs/>
          <w:b/>
        </w:rPr>
        <w:t xml:space="preserve">latency</w:t>
      </w:r>
      <w:r>
        <w:t xml:space="preserve"> </w:t>
      </w:r>
      <w:r>
        <w:t xml:space="preserve">(days for an accountant reply to a two-minute question),</w:t>
      </w:r>
      <w:r>
        <w:t xml:space="preserve"> </w:t>
      </w:r>
      <w:r>
        <w:rPr>
          <w:bCs/>
          <w:b/>
        </w:rPr>
        <w:t xml:space="preserve">trust</w:t>
      </w:r>
      <w:r>
        <w:t xml:space="preserve"> </w:t>
      </w:r>
      <w:r>
        <w:t xml:space="preserve">(general chatbots hallucinate — Stanford RegLab/HAI (2025) found even purpose-built legal AI tools from LexisNexis and Thomson Reuters hallucinated 17–33% of the time), and</w:t>
      </w:r>
      <w:r>
        <w:t xml:space="preserve"> </w:t>
      </w:r>
      <w:r>
        <w:rPr>
          <w:bCs/>
          <w:b/>
        </w:rPr>
        <w:t xml:space="preserve">local specificity</w:t>
      </w:r>
      <w:r>
        <w:t xml:space="preserve"> </w:t>
      </w:r>
      <w:r>
        <w:t xml:space="preserve">(global tools are not grounded in UAE decree-laws). Customers demonstrably care: they pay AED 10,000–20,000/year for outsourced accounting precisely to avoid these risks, and 68,600 firms have already claimed a penalty waiver after the do-nothing option failed them. Existing solutions still perform well for complex, high-stakes matters — restructuring, audits, disputes — which is why Mizan positions as assistance</w:t>
      </w:r>
      <w:r>
        <w:t xml:space="preserve"> </w:t>
      </w:r>
      <w:r>
        <w:rPr>
          <w:iCs/>
          <w:i/>
        </w:rPr>
        <w:t xml:space="preserve">between</w:t>
      </w:r>
      <w:r>
        <w:t xml:space="preserve"> </w:t>
      </w:r>
      <w:r>
        <w:t xml:space="preserve">professional engagements, not as a replacement for them.</w:t>
      </w:r>
    </w:p>
    <w:bookmarkEnd w:id="42"/>
    <w:bookmarkStart w:id="43" w:name="X16fe80ea4a87edae2583b0d9ef6e184c595265d"/>
    <w:p>
      <w:pPr>
        <w:pStyle w:val="Heading2"/>
      </w:pPr>
      <w:r>
        <w:t xml:space="preserve">What evidence suggests the problem is real?</w:t>
      </w:r>
    </w:p>
    <w:p>
      <w:pPr>
        <w:numPr>
          <w:ilvl w:val="0"/>
          <w:numId w:val="1003"/>
        </w:numPr>
        <w:pStyle w:val="Compact"/>
      </w:pPr>
      <w:r>
        <w:rPr>
          <w:bCs/>
          <w:b/>
        </w:rPr>
        <w:t xml:space="preserve">Government statistics</w:t>
      </w:r>
      <w:r>
        <w:t xml:space="preserve">: ~91,000 firms needing the late-registration waiver (FTA, 14 May 2026); 245,000+ CT registration applications processed in 2025 and ~1.7M total tax transactions, +20% YoY (FTA 2025 Annual Report).</w:t>
      </w:r>
    </w:p>
    <w:p>
      <w:pPr>
        <w:numPr>
          <w:ilvl w:val="0"/>
          <w:numId w:val="1003"/>
        </w:numPr>
        <w:pStyle w:val="Compact"/>
      </w:pPr>
      <w:r>
        <w:rPr>
          <w:bCs/>
          <w:b/>
        </w:rPr>
        <w:t xml:space="preserve">Market structure</w:t>
      </w:r>
      <w:r>
        <w:t xml:space="preserve">: 651,000 CT registrants vs 806 registered tax agents (FTA via Gulf News, Sept 2025).</w:t>
      </w:r>
    </w:p>
    <w:p>
      <w:pPr>
        <w:numPr>
          <w:ilvl w:val="0"/>
          <w:numId w:val="1003"/>
        </w:numPr>
        <w:pStyle w:val="Compact"/>
      </w:pPr>
      <w:r>
        <w:rPr>
          <w:bCs/>
          <w:b/>
        </w:rPr>
        <w:t xml:space="preserve">Regulatory pipeline</w:t>
      </w:r>
      <w:r>
        <w:t xml:space="preserve">: e-invoicing Ministerial Decisions 243 &amp; 244 of 2025 create a dated, mandatory new obligation for every SME by 1 July 2027 (mof.gov.ae).</w:t>
      </w:r>
    </w:p>
    <w:p>
      <w:pPr>
        <w:numPr>
          <w:ilvl w:val="0"/>
          <w:numId w:val="1003"/>
        </w:numPr>
        <w:pStyle w:val="Compact"/>
      </w:pPr>
      <w:r>
        <w:rPr>
          <w:bCs/>
          <w:b/>
        </w:rPr>
        <w:t xml:space="preserve">Competitor behaviour</w:t>
      </w:r>
      <w:r>
        <w:t xml:space="preserve">: incumbents and startups (Wafeq, Zoho, Tax Star, Finanshels/HalaTax, Virtuzone) are all investing in UAE tax tooling — and US analogues (TaxGPT’s $4.6M raise, Feb 2025) show investors funding the category.</w:t>
      </w:r>
    </w:p>
    <w:p>
      <w:pPr>
        <w:numPr>
          <w:ilvl w:val="0"/>
          <w:numId w:val="1003"/>
        </w:numPr>
        <w:pStyle w:val="Compact"/>
      </w:pPr>
      <w:r>
        <w:rPr>
          <w:bCs/>
          <w:b/>
        </w:rPr>
        <w:t xml:space="preserve">Primary research</w:t>
      </w:r>
      <w:r>
        <w:t xml:space="preserve">: none conducted to date. Every claim in this section rests on secondary evidence — FTA statistics, published competitor traction and the regulatory timetable — and we label it as such rather than presenting internal assumption as customer data. Structured interviews with SME owners and finance staff are the first deliverable of the pilot phase (Section 19); until they are complete, no demand claim in this plan rests on primary research.</w:t>
      </w:r>
    </w:p>
    <w:bookmarkEnd w:id="43"/>
    <w:bookmarkStart w:id="44" w:name="problem-first-approach"/>
    <w:p>
      <w:pPr>
        <w:pStyle w:val="Heading2"/>
      </w:pPr>
      <w:r>
        <w:t xml:space="preserve">Problem-first approach</w:t>
      </w:r>
    </w:p>
    <w:p>
      <w:pPr>
        <w:pStyle w:val="FirstParagraph"/>
      </w:pPr>
      <w:r>
        <w:t xml:space="preserve">This venture did not begin as</w:t>
      </w:r>
      <w:r>
        <w:t xml:space="preserve"> </w:t>
      </w:r>
      <w:r>
        <w:t xml:space="preserve">“</w:t>
      </w:r>
      <w:r>
        <w:t xml:space="preserve">an AI app looking for a problem.</w:t>
      </w:r>
      <w:r>
        <w:t xml:space="preserve">”</w:t>
      </w:r>
      <w:r>
        <w:t xml:space="preserve"> </w:t>
      </w:r>
      <w:r>
        <w:t xml:space="preserve">The starting observation was the compliance gap created by the UAE’s new tax regime — a young tax system, a thin professional layer, and a documented failure cohort of ~91,000 firms. The current alternatives (above) each fail on cost, speed or trust. Only then does AI enter the argument: retrieval-grounded question-answering is the one technology that can deliver law-grounded answers at a price an SME will pay — and it is commercially worth solving because the affected population is large (651k+ registrants), the need recurs (quarterly and weekly events), and willingness to pay is anchored by what firms already spend on the alternative.</w:t>
      </w:r>
    </w:p>
    <w:bookmarkEnd w:id="44"/>
    <w:bookmarkEnd w:id="45"/>
    <w:bookmarkStart w:id="56" w:name="section-3-proposed-ai-solution"/>
    <w:p>
      <w:pPr>
        <w:pStyle w:val="Heading1"/>
      </w:pPr>
      <w:r>
        <w:t xml:space="preserve">Section 3: Proposed AI Solution</w:t>
      </w:r>
    </w:p>
    <w:bookmarkStart w:id="46" w:name="how-the-product-works"/>
    <w:p>
      <w:pPr>
        <w:pStyle w:val="Heading2"/>
      </w:pPr>
      <w:r>
        <w:t xml:space="preserve">How the product works</w:t>
      </w:r>
    </w:p>
    <w:p>
      <w:pPr>
        <w:pStyle w:val="FirstParagraph"/>
      </w:pPr>
      <w:r>
        <w:t xml:space="preserve">From the user’s point of view, Mizan works in six steps:</w:t>
      </w:r>
    </w:p>
    <w:p>
      <w:pPr>
        <w:numPr>
          <w:ilvl w:val="0"/>
          <w:numId w:val="1004"/>
        </w:numPr>
        <w:pStyle w:val="Compact"/>
      </w:pPr>
      <w:r>
        <w:rPr>
          <w:bCs/>
          <w:b/>
        </w:rPr>
        <w:t xml:space="preserve">Arrival.</w:t>
      </w:r>
      <w:r>
        <w:t xml:space="preserve"> </w:t>
      </w:r>
      <w:r>
        <w:t xml:space="preserve">The user opens the public web app — no account is required in the MVP — and sees the scope notice (</w:t>
      </w:r>
      <w:r>
        <w:t xml:space="preserve">“</w:t>
      </w:r>
      <w:r>
        <w:t xml:space="preserve">compliance assistance, not tax advice</w:t>
      </w:r>
      <w:r>
        <w:t xml:space="preserve">”</w:t>
      </w:r>
      <w:r>
        <w:t xml:space="preserve">) and suggested questions. (Signup and accounts arrive with billing in v1.1; keeping the MVP account-free was a deliberate choice to remove every barrier between a sceptical SME owner and their first cited answer.)</w:t>
      </w:r>
    </w:p>
    <w:p>
      <w:pPr>
        <w:numPr>
          <w:ilvl w:val="0"/>
          <w:numId w:val="1004"/>
        </w:numPr>
        <w:pStyle w:val="Compact"/>
      </w:pPr>
      <w:r>
        <w:rPr>
          <w:bCs/>
          <w:b/>
        </w:rPr>
        <w:t xml:space="preserve">Ask.</w:t>
      </w:r>
      <w:r>
        <w:t xml:space="preserve"> </w:t>
      </w:r>
      <w:r>
        <w:t xml:space="preserve">The user types a plain-language question (</w:t>
      </w:r>
      <w:r>
        <w:t xml:space="preserve">“</w:t>
      </w:r>
      <w:r>
        <w:t xml:space="preserve">Can I recover VAT on staff entertainment expenses?</w:t>
      </w:r>
      <w:r>
        <w:t xml:space="preserve">”</w:t>
      </w:r>
      <w:r>
        <w:t xml:space="preserve">) or uploads a photo of a supplier invoice.</w:t>
      </w:r>
    </w:p>
    <w:p>
      <w:pPr>
        <w:numPr>
          <w:ilvl w:val="0"/>
          <w:numId w:val="1004"/>
        </w:numPr>
        <w:pStyle w:val="Compact"/>
      </w:pPr>
      <w:r>
        <w:rPr>
          <w:bCs/>
          <w:b/>
        </w:rPr>
        <w:t xml:space="preserve">Processing.</w:t>
      </w:r>
      <w:r>
        <w:t xml:space="preserve"> </w:t>
      </w:r>
      <w:r>
        <w:t xml:space="preserve">An agentic AI loop decides which tools to call: a keyword and structure-aware search (BM25 over article-aware chunks) across Federal Decree-Law 47/2022 (Corporate Tax), Federal Decree-Law 8/2017 (VAT) and official FTA guides; a deterministic VAT calculator for any arithmetic; or the vision extractor for invoices. The loop runs a bounded number of iterations.</w:t>
      </w:r>
    </w:p>
    <w:p>
      <w:pPr>
        <w:numPr>
          <w:ilvl w:val="0"/>
          <w:numId w:val="1004"/>
        </w:numPr>
        <w:pStyle w:val="Compact"/>
      </w:pPr>
      <w:r>
        <w:rPr>
          <w:bCs/>
          <w:b/>
        </w:rPr>
        <w:t xml:space="preserve">Results.</w:t>
      </w:r>
      <w:r>
        <w:t xml:space="preserve"> </w:t>
      </w:r>
      <w:r>
        <w:t xml:space="preserve">The answer appears with</w:t>
      </w:r>
      <w:r>
        <w:t xml:space="preserve"> </w:t>
      </w:r>
      <w:r>
        <w:rPr>
          <w:bCs/>
          <w:b/>
        </w:rPr>
        <w:t xml:space="preserve">[document | Article N] citation chips</w:t>
      </w:r>
      <w:r>
        <w:t xml:space="preserve"> </w:t>
      </w:r>
      <w:r>
        <w:t xml:space="preserve">the user can click to read the underlying law text, alongside a full audit trail showing every step the system took. If the retrieved law does not clearly answer the question, the system shows a</w:t>
      </w:r>
      <w:r>
        <w:t xml:space="preserve"> </w:t>
      </w:r>
      <w:r>
        <w:rPr>
          <w:bCs/>
          <w:b/>
        </w:rPr>
        <w:t xml:space="preserve">“</w:t>
      </w:r>
      <w:r>
        <w:rPr>
          <w:bCs/>
          <w:b/>
        </w:rPr>
        <w:t xml:space="preserve">Declined to guess</w:t>
      </w:r>
      <w:r>
        <w:rPr>
          <w:bCs/>
          <w:b/>
        </w:rPr>
        <w:t xml:space="preserve">”</w:t>
      </w:r>
      <w:r>
        <w:t xml:space="preserve"> </w:t>
      </w:r>
      <w:r>
        <w:t xml:space="preserve">badge instead of an answer.</w:t>
      </w:r>
    </w:p>
    <w:p>
      <w:pPr>
        <w:numPr>
          <w:ilvl w:val="0"/>
          <w:numId w:val="1004"/>
        </w:numPr>
        <w:pStyle w:val="Compact"/>
      </w:pPr>
      <w:r>
        <w:rPr>
          <w:bCs/>
          <w:b/>
        </w:rPr>
        <w:t xml:space="preserve">Action.</w:t>
      </w:r>
      <w:r>
        <w:t xml:space="preserve"> </w:t>
      </w:r>
      <w:r>
        <w:t xml:space="preserve">The user acts on the answer, reviews the on-screen audit trail (export-to-file is a v1.1 feature), or — for anything material — takes the cited answer to their accountant, which the interface explicitly encourages.</w:t>
      </w:r>
    </w:p>
    <w:p>
      <w:pPr>
        <w:numPr>
          <w:ilvl w:val="0"/>
          <w:numId w:val="1004"/>
        </w:numPr>
        <w:pStyle w:val="Compact"/>
      </w:pPr>
      <w:r>
        <w:rPr>
          <w:bCs/>
          <w:b/>
        </w:rPr>
        <w:t xml:space="preserve">Human assistance.</w:t>
      </w:r>
      <w:r>
        <w:t xml:space="preserve"> </w:t>
      </w:r>
      <w:r>
        <w:t xml:space="preserve">Support is available by email and an in-app form; questions the system abstains on are the designed hand-off point to a human professional.</w:t>
      </w:r>
    </w:p>
    <w:bookmarkEnd w:id="46"/>
    <w:bookmarkStart w:id="47" w:name="main-features-mvp-versus-future"/>
    <w:p>
      <w:pPr>
        <w:pStyle w:val="Heading2"/>
      </w:pPr>
      <w:r>
        <w:t xml:space="preserve">Main features (MVP versus future)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Customer value</w:t>
            </w:r>
          </w:p>
        </w:tc>
      </w:tr>
      <w:tr>
        <w:tc>
          <w:tcPr/>
          <w:p>
            <w:pPr>
              <w:pStyle w:val="Compact"/>
              <w:jc w:val="left"/>
            </w:pPr>
            <w:r>
              <w:t xml:space="preserve">Cited CT &amp; VAT question-answering with audit trail</w:t>
            </w:r>
          </w:p>
        </w:tc>
        <w:tc>
          <w:tcPr/>
          <w:p>
            <w:pPr>
              <w:pStyle w:val="Compact"/>
              <w:jc w:val="left"/>
            </w:pPr>
            <w:r>
              <w:rPr>
                <w:bCs/>
                <w:b/>
              </w:rPr>
              <w:t xml:space="preserve">Built (MVP)</w:t>
            </w:r>
          </w:p>
        </w:tc>
        <w:tc>
          <w:tcPr/>
          <w:p>
            <w:pPr>
              <w:pStyle w:val="Compact"/>
              <w:jc w:val="left"/>
            </w:pPr>
            <w:r>
              <w:t xml:space="preserve">Trustworthy answers in minutes, checkable against the law</w:t>
            </w:r>
          </w:p>
        </w:tc>
      </w:tr>
      <w:tr>
        <w:tc>
          <w:tcPr/>
          <w:p>
            <w:pPr>
              <w:pStyle w:val="Compact"/>
              <w:jc w:val="left"/>
            </w:pPr>
            <w:r>
              <w:t xml:space="preserve">“</w:t>
            </w:r>
            <w:r>
              <w:t xml:space="preserve">Declined to guess</w:t>
            </w:r>
            <w:r>
              <w:t xml:space="preserve">”</w:t>
            </w:r>
            <w:r>
              <w:t xml:space="preserve"> </w:t>
            </w:r>
            <w:r>
              <w:t xml:space="preserve">abstention</w:t>
            </w:r>
          </w:p>
        </w:tc>
        <w:tc>
          <w:tcPr/>
          <w:p>
            <w:pPr>
              <w:pStyle w:val="Compact"/>
              <w:jc w:val="left"/>
            </w:pPr>
            <w:r>
              <w:rPr>
                <w:bCs/>
                <w:b/>
              </w:rPr>
              <w:t xml:space="preserve">Built (MVP)</w:t>
            </w:r>
          </w:p>
        </w:tc>
        <w:tc>
          <w:tcPr/>
          <w:p>
            <w:pPr>
              <w:pStyle w:val="Compact"/>
              <w:jc w:val="left"/>
            </w:pPr>
            <w:r>
              <w:t xml:space="preserve">Protection from confident wrong answers</w:t>
            </w:r>
          </w:p>
        </w:tc>
      </w:tr>
      <w:tr>
        <w:tc>
          <w:tcPr/>
          <w:p>
            <w:pPr>
              <w:pStyle w:val="Compact"/>
              <w:jc w:val="left"/>
            </w:pPr>
            <w:r>
              <w:t xml:space="preserve">Deterministic VAT calculator tool</w:t>
            </w:r>
          </w:p>
        </w:tc>
        <w:tc>
          <w:tcPr/>
          <w:p>
            <w:pPr>
              <w:pStyle w:val="Compact"/>
              <w:jc w:val="left"/>
            </w:pPr>
            <w:r>
              <w:rPr>
                <w:bCs/>
                <w:b/>
              </w:rPr>
              <w:t xml:space="preserve">Built (MVP)</w:t>
            </w:r>
          </w:p>
        </w:tc>
        <w:tc>
          <w:tcPr/>
          <w:p>
            <w:pPr>
              <w:pStyle w:val="Compact"/>
              <w:jc w:val="left"/>
            </w:pPr>
            <w:r>
              <w:t xml:space="preserve">Arithmetic is exact; the LLM never does maths</w:t>
            </w:r>
          </w:p>
        </w:tc>
      </w:tr>
      <w:tr>
        <w:tc>
          <w:tcPr/>
          <w:p>
            <w:pPr>
              <w:pStyle w:val="Compact"/>
              <w:jc w:val="left"/>
            </w:pPr>
            <w:r>
              <w:t xml:space="preserve">Invoice photo upload → vision extraction (supplier, TRN, VAT, totals) with automatic consistency check (subtotal + VAT = total)</w:t>
            </w:r>
          </w:p>
        </w:tc>
        <w:tc>
          <w:tcPr/>
          <w:p>
            <w:pPr>
              <w:pStyle w:val="Compact"/>
              <w:jc w:val="left"/>
            </w:pPr>
            <w:r>
              <w:rPr>
                <w:bCs/>
                <w:b/>
              </w:rPr>
              <w:t xml:space="preserve">Built (MVP)</w:t>
            </w:r>
          </w:p>
        </w:tc>
        <w:tc>
          <w:tcPr/>
          <w:p>
            <w:pPr>
              <w:pStyle w:val="Compact"/>
              <w:jc w:val="left"/>
            </w:pPr>
            <w:r>
              <w:t xml:space="preserve">Catches invoice errors before they contaminate returns</w:t>
            </w:r>
          </w:p>
        </w:tc>
      </w:tr>
      <w:tr>
        <w:tc>
          <w:tcPr/>
          <w:p>
            <w:pPr>
              <w:pStyle w:val="Compact"/>
              <w:jc w:val="left"/>
            </w:pPr>
            <w:r>
              <w:t xml:space="preserve">Account management, usage limits, billing</w:t>
            </w:r>
          </w:p>
        </w:tc>
        <w:tc>
          <w:tcPr/>
          <w:p>
            <w:pPr>
              <w:pStyle w:val="Compact"/>
              <w:jc w:val="left"/>
            </w:pPr>
            <w:r>
              <w:t xml:space="preserve">Planned (v1.1)</w:t>
            </w:r>
          </w:p>
        </w:tc>
        <w:tc>
          <w:tcPr/>
          <w:p>
            <w:pPr>
              <w:pStyle w:val="Compact"/>
              <w:jc w:val="left"/>
            </w:pPr>
            <w:r>
              <w:t xml:space="preserve">Freemium controls — prerequisite to charging</w:t>
            </w:r>
          </w:p>
        </w:tc>
      </w:tr>
      <w:tr>
        <w:tc>
          <w:tcPr/>
          <w:p>
            <w:pPr>
              <w:pStyle w:val="Compact"/>
              <w:jc w:val="left"/>
            </w:pPr>
            <w:r>
              <w:t xml:space="preserve">Hybrid semantic retrieval + reranking; published golden-set accuracy evals</w:t>
            </w:r>
          </w:p>
        </w:tc>
        <w:tc>
          <w:tcPr/>
          <w:p>
            <w:pPr>
              <w:pStyle w:val="Compact"/>
              <w:jc w:val="left"/>
            </w:pPr>
            <w:r>
              <w:t xml:space="preserve">Planned (v2)</w:t>
            </w:r>
          </w:p>
        </w:tc>
        <w:tc>
          <w:tcPr/>
          <w:p>
            <w:pPr>
              <w:pStyle w:val="Compact"/>
              <w:jc w:val="left"/>
            </w:pPr>
            <w:r>
              <w:t xml:space="preserve">Measured, improving accuracy</w:t>
            </w:r>
          </w:p>
        </w:tc>
      </w:tr>
      <w:tr>
        <w:tc>
          <w:tcPr/>
          <w:p>
            <w:pPr>
              <w:pStyle w:val="Compact"/>
              <w:jc w:val="left"/>
            </w:pPr>
            <w:r>
              <w:t xml:space="preserve">Arabic support</w:t>
            </w:r>
          </w:p>
        </w:tc>
        <w:tc>
          <w:tcPr/>
          <w:p>
            <w:pPr>
              <w:pStyle w:val="Compact"/>
              <w:jc w:val="left"/>
            </w:pPr>
            <w:r>
              <w:t xml:space="preserve">Planned (v2)</w:t>
            </w:r>
          </w:p>
        </w:tc>
        <w:tc>
          <w:tcPr/>
          <w:p>
            <w:pPr>
              <w:pStyle w:val="Compact"/>
              <w:jc w:val="left"/>
            </w:pPr>
            <w:r>
              <w:t xml:space="preserve">Reaches Arabic-first owners</w:t>
            </w:r>
          </w:p>
        </w:tc>
      </w:tr>
      <w:tr>
        <w:tc>
          <w:tcPr/>
          <w:p>
            <w:pPr>
              <w:pStyle w:val="Compact"/>
              <w:jc w:val="left"/>
            </w:pPr>
            <w:r>
              <w:t xml:space="preserve">E-invoicing (Peppol/ASP) integration for the 1 July 2027 SME mandate</w:t>
            </w:r>
          </w:p>
        </w:tc>
        <w:tc>
          <w:tcPr/>
          <w:p>
            <w:pPr>
              <w:pStyle w:val="Compact"/>
              <w:jc w:val="left"/>
            </w:pPr>
            <w:r>
              <w:t xml:space="preserve">Planned (v2)</w:t>
            </w:r>
          </w:p>
        </w:tc>
        <w:tc>
          <w:tcPr/>
          <w:p>
            <w:pPr>
              <w:pStyle w:val="Compact"/>
              <w:jc w:val="left"/>
            </w:pPr>
            <w:r>
              <w:t xml:space="preserve">Compliance with the new mandate</w:t>
            </w:r>
          </w:p>
        </w:tc>
      </w:tr>
      <w:tr>
        <w:tc>
          <w:tcPr/>
          <w:p>
            <w:pPr>
              <w:pStyle w:val="Compact"/>
              <w:jc w:val="left"/>
            </w:pPr>
            <w:r>
              <w:t xml:space="preserve">Accountant-channel collaboration features</w:t>
            </w:r>
          </w:p>
        </w:tc>
        <w:tc>
          <w:tcPr/>
          <w:p>
            <w:pPr>
              <w:pStyle w:val="Compact"/>
              <w:jc w:val="left"/>
            </w:pPr>
            <w:r>
              <w:t xml:space="preserve">Planned (v2)</w:t>
            </w:r>
          </w:p>
        </w:tc>
        <w:tc>
          <w:tcPr/>
          <w:p>
            <w:pPr>
              <w:pStyle w:val="Compact"/>
              <w:jc w:val="left"/>
            </w:pPr>
            <w:r>
              <w:t xml:space="preserve">Serves the 806-agent professional channel</w:t>
            </w:r>
          </w:p>
        </w:tc>
      </w:tr>
      <w:tr>
        <w:tc>
          <w:tcPr/>
          <w:p>
            <w:pPr>
              <w:pStyle w:val="Compact"/>
              <w:jc w:val="left"/>
            </w:pPr>
            <w:r>
              <w:t xml:space="preserve">Payment/subscription billing</w:t>
            </w:r>
          </w:p>
        </w:tc>
        <w:tc>
          <w:tcPr/>
          <w:p>
            <w:pPr>
              <w:pStyle w:val="Compact"/>
              <w:jc w:val="left"/>
            </w:pPr>
            <w:r>
              <w:t xml:space="preserve">Planned at launch</w:t>
            </w:r>
          </w:p>
        </w:tc>
        <w:tc>
          <w:tcPr/>
          <w:p>
            <w:pPr>
              <w:pStyle w:val="Compact"/>
              <w:jc w:val="left"/>
            </w:pPr>
            <w:r>
              <w:t xml:space="preserve">Monetisation</w:t>
            </w:r>
          </w:p>
        </w:tc>
      </w:tr>
    </w:tbl>
    <w:p>
      <w:pPr>
        <w:pStyle w:val="BodyText"/>
      </w:pPr>
      <w:r>
        <w:t xml:space="preserve">Nothing in this report presents a planned feature as built; the demo contains exactly the MVP rows above.</w:t>
      </w:r>
    </w:p>
    <w:bookmarkEnd w:id="47"/>
    <w:bookmarkStart w:id="48" w:name="user-journey"/>
    <w:p>
      <w:pPr>
        <w:pStyle w:val="Heading2"/>
      </w:pPr>
      <w:r>
        <w:t xml:space="preserve">User journey</w:t>
      </w:r>
    </w:p>
    <w:p>
      <w:pPr>
        <w:pStyle w:val="FirstParagraph"/>
      </w:pPr>
      <w:r>
        <w:rPr>
          <w:bCs/>
          <w:b/>
        </w:rPr>
        <w:t xml:space="preserve">Awareness</w:t>
      </w:r>
      <w:r>
        <w:t xml:space="preserve"> </w:t>
      </w:r>
      <w:r>
        <w:t xml:space="preserve">comes through content marketing and accountant referrals (Section 11).</w:t>
      </w:r>
      <w:r>
        <w:t xml:space="preserve"> </w:t>
      </w:r>
      <w:r>
        <w:rPr>
          <w:bCs/>
          <w:b/>
        </w:rPr>
        <w:t xml:space="preserve">Onboarding</w:t>
      </w:r>
      <w:r>
        <w:t xml:space="preserve"> </w:t>
      </w:r>
      <w:r>
        <w:t xml:space="preserve">in the MVP is instant — open the link and ask; the commercial product (v1.1) adds a two-minute signup, with no financial data requested.</w:t>
      </w:r>
      <w:r>
        <w:t xml:space="preserve"> </w:t>
      </w:r>
      <w:r>
        <w:rPr>
          <w:bCs/>
          <w:b/>
        </w:rPr>
        <w:t xml:space="preserve">Data entry</w:t>
      </w:r>
      <w:r>
        <w:t xml:space="preserve"> </w:t>
      </w:r>
      <w:r>
        <w:t xml:space="preserve">is a typed question or an invoice photo.</w:t>
      </w:r>
      <w:r>
        <w:t xml:space="preserve"> </w:t>
      </w:r>
      <w:r>
        <w:rPr>
          <w:bCs/>
          <w:b/>
        </w:rPr>
        <w:t xml:space="preserve">AI interaction</w:t>
      </w:r>
      <w:r>
        <w:t xml:space="preserve"> </w:t>
      </w:r>
      <w:r>
        <w:t xml:space="preserve">shows a processing indicator while the agent loop runs, then the cited answer or abstention.</w:t>
      </w:r>
      <w:r>
        <w:t xml:space="preserve"> </w:t>
      </w:r>
      <w:r>
        <w:rPr>
          <w:bCs/>
          <w:b/>
        </w:rPr>
        <w:t xml:space="preserve">Results</w:t>
      </w:r>
      <w:r>
        <w:t xml:space="preserve"> </w:t>
      </w:r>
      <w:r>
        <w:t xml:space="preserve">are actionable: read the cited article, run the calculator, or flag an extracted invoice mismatch for review.</w:t>
      </w:r>
      <w:r>
        <w:t xml:space="preserve"> </w:t>
      </w:r>
      <w:r>
        <w:rPr>
          <w:bCs/>
          <w:b/>
        </w:rPr>
        <w:t xml:space="preserve">Payment</w:t>
      </w:r>
      <w:r>
        <w:t xml:space="preserve"> </w:t>
      </w:r>
      <w:r>
        <w:t xml:space="preserve">(v1.1) will appear only when free-tier limits (5 questions, 3 scans/month) are reached, with a clear upgrade screen.</w:t>
      </w:r>
      <w:r>
        <w:t xml:space="preserve"> </w:t>
      </w:r>
      <w:r>
        <w:rPr>
          <w:bCs/>
          <w:b/>
        </w:rPr>
        <w:t xml:space="preserve">Repeat use</w:t>
      </w:r>
      <w:r>
        <w:t xml:space="preserve"> </w:t>
      </w:r>
      <w:r>
        <w:t xml:space="preserve">is driven by the recurring nature of compliance events; during the pilot, feedback is collected directly from users, with an in-product control planned.</w:t>
      </w:r>
      <w:r>
        <w:t xml:space="preserve"> </w:t>
      </w:r>
      <w:r>
        <w:rPr>
          <w:bCs/>
          <w:b/>
        </w:rPr>
        <w:t xml:space="preserve">Exit and support</w:t>
      </w:r>
      <w:r>
        <w:t xml:space="preserve"> </w:t>
      </w:r>
      <w:r>
        <w:t xml:space="preserve">(v1.1): cancel in-app at any time, request data deletion, and reach a human by email. We expect friction points — questions the system abstains on, blurry invoice photos, users wanting advice we deliberately do not give — and the journey includes explicit messaging for each (Section 10).</w:t>
      </w:r>
    </w:p>
    <w:bookmarkEnd w:id="48"/>
    <w:bookmarkStart w:id="49" w:name="role-of-artificial-intelligence"/>
    <w:p>
      <w:pPr>
        <w:pStyle w:val="Heading2"/>
      </w:pPr>
      <w:r>
        <w:t xml:space="preserve">Role of artificial intelligence</w:t>
      </w:r>
    </w:p>
    <w:p>
      <w:pPr>
        <w:pStyle w:val="FirstParagraph"/>
      </w:pPr>
      <w:r>
        <w:t xml:space="preserve">The exact AI task is</w:t>
      </w:r>
      <w:r>
        <w:t xml:space="preserve"> </w:t>
      </w:r>
      <w:r>
        <w:rPr>
          <w:bCs/>
          <w:b/>
        </w:rPr>
        <w:t xml:space="preserve">retrieval-grounded question-answering over a fixed legal corpus, orchestrated by an agentic tool-use loop</w:t>
      </w:r>
      <w:r>
        <w:t xml:space="preserve">, plus</w:t>
      </w:r>
      <w:r>
        <w:t xml:space="preserve"> </w:t>
      </w:r>
      <w:r>
        <w:rPr>
          <w:bCs/>
          <w:b/>
        </w:rPr>
        <w:t xml:space="preserve">vision-based document extraction</w:t>
      </w:r>
      <w:r>
        <w:t xml:space="preserve">. Conventional rule-based software cannot do this: tax questions arrive in unbounded natural language, and mapping them onto the right articles of law requires language understanding, not lookup tables. The customer benefit is professional-grade grounding at software prices. Mizan uses an</w:t>
      </w:r>
      <w:r>
        <w:t xml:space="preserve"> </w:t>
      </w:r>
      <w:r>
        <w:rPr>
          <w:bCs/>
          <w:b/>
        </w:rPr>
        <w:t xml:space="preserve">external commercial large-language-model API (Google’s Gemini family)</w:t>
      </w:r>
      <w:r>
        <w:t xml:space="preserve"> </w:t>
      </w:r>
      <w:r>
        <w:t xml:space="preserve">— we do not claim a proprietary model; our proprietary work is the article-aware legal corpus, retrieval pipeline, tool design, abstention logic and audit-trail UX. Limitations, stated plainly: the model can misread questions; retrieval can miss the relevant article; extraction degrades on poor photos; and the system’s knowledge is bounded by the documents we index. These limitations drive the abstention design and the human-review philosophy below.</w:t>
      </w:r>
    </w:p>
    <w:bookmarkEnd w:id="49"/>
    <w:bookmarkStart w:id="50" w:name="inputs-required-from-the-user"/>
    <w:p>
      <w:pPr>
        <w:pStyle w:val="Heading2"/>
      </w:pPr>
      <w:r>
        <w:t xml:space="preserve">Inputs required from the user</w:t>
      </w:r>
    </w:p>
    <w:p>
      <w:pPr>
        <w:pStyle w:val="FirstParagraph"/>
      </w:pPr>
      <w:r>
        <w:t xml:space="preserve">Mandatory: a typed question (free text), or an invoice photo (JPEG/PNG). Optional: company context such as emirate or industry to improve relevance. Time required is under a minute per interaction. Sensitivity is deliberately low:</w:t>
      </w:r>
      <w:r>
        <w:t xml:space="preserve"> </w:t>
      </w:r>
      <w:r>
        <w:rPr>
          <w:bCs/>
          <w:b/>
        </w:rPr>
        <w:t xml:space="preserve">the MVP stores no accounting ledgers, no bank data and no Emirates ID data</w:t>
      </w:r>
      <w:r>
        <w:t xml:space="preserve">; invoice images contain supplier details and amounts and are handled under the privacy controls in Sections 9 and 14. Incomplete or ambiguous inputs are handled explicitly: the system asks for clarification or abstains rather than guessing, and users can edit and resubmit any question.</w:t>
      </w:r>
    </w:p>
    <w:bookmarkEnd w:id="50"/>
    <w:bookmarkStart w:id="51" w:name="outputs-generated-by-the-system"/>
    <w:p>
      <w:pPr>
        <w:pStyle w:val="Heading2"/>
      </w:pPr>
      <w:r>
        <w:t xml:space="preserve">Outputs generated by the system</w:t>
      </w:r>
    </w:p>
    <w:p>
      <w:pPr>
        <w:pStyle w:val="FirstParagraph"/>
      </w:pPr>
      <w:r>
        <w:t xml:space="preserve">Three output types: (1) a</w:t>
      </w:r>
      <w:r>
        <w:t xml:space="preserve"> </w:t>
      </w:r>
      <w:r>
        <w:rPr>
          <w:bCs/>
          <w:b/>
        </w:rPr>
        <w:t xml:space="preserve">cited answer</w:t>
      </w:r>
      <w:r>
        <w:t xml:space="preserve"> </w:t>
      </w:r>
      <w:r>
        <w:t xml:space="preserve">— plain-language text with [doc | Article N] chips and the full tool-call audit trail; (2) a</w:t>
      </w:r>
      <w:r>
        <w:t xml:space="preserve"> </w:t>
      </w:r>
      <w:r>
        <w:rPr>
          <w:bCs/>
          <w:b/>
        </w:rPr>
        <w:t xml:space="preserve">“</w:t>
      </w:r>
      <w:r>
        <w:rPr>
          <w:bCs/>
          <w:b/>
        </w:rPr>
        <w:t xml:space="preserve">Declined to guess</w:t>
      </w:r>
      <w:r>
        <w:rPr>
          <w:bCs/>
          <w:b/>
        </w:rPr>
        <w:t xml:space="preserve">”</w:t>
      </w:r>
      <w:r>
        <w:rPr>
          <w:bCs/>
          <w:b/>
        </w:rPr>
        <w:t xml:space="preserve"> </w:t>
      </w:r>
      <w:r>
        <w:rPr>
          <w:bCs/>
          <w:b/>
        </w:rPr>
        <w:t xml:space="preserve">abstention</w:t>
      </w:r>
      <w:r>
        <w:t xml:space="preserve"> </w:t>
      </w:r>
      <w:r>
        <w:t xml:space="preserve">with a suggestion to consult a professional; (3) an</w:t>
      </w:r>
      <w:r>
        <w:t xml:space="preserve"> </w:t>
      </w:r>
      <w:r>
        <w:rPr>
          <w:bCs/>
          <w:b/>
        </w:rPr>
        <w:t xml:space="preserve">invoice extraction card</w:t>
      </w:r>
      <w:r>
        <w:t xml:space="preserve"> </w:t>
      </w:r>
      <w:r>
        <w:t xml:space="preserve">— supplier, TRN, VAT amount, totals — with a pass/fail consistency check that flags mismatches for human review. Outputs state their basis and their limits; no output is presented as a guaranteed fact, and every answer screen carries the</w:t>
      </w:r>
      <w:r>
        <w:t xml:space="preserve"> </w:t>
      </w:r>
      <w:r>
        <w:t xml:space="preserve">“</w:t>
      </w:r>
      <w:r>
        <w:t xml:space="preserve">not tax advice</w:t>
      </w:r>
      <w:r>
        <w:t xml:space="preserve">”</w:t>
      </w:r>
      <w:r>
        <w:t xml:space="preserve"> </w:t>
      </w:r>
      <w:r>
        <w:t xml:space="preserve">scope note. The action after each output is clear: proceed, verify with the cited article, or escalate to an accountant.</w:t>
      </w:r>
    </w:p>
    <w:bookmarkEnd w:id="51"/>
    <w:bookmarkStart w:id="52" w:name="how-ai-improves-the-existing-process"/>
    <w:p>
      <w:pPr>
        <w:pStyle w:val="Heading2"/>
      </w:pPr>
      <w:r>
        <w:t xml:space="preserve">How AI improves the existing process</w:t>
      </w:r>
    </w:p>
    <w:p>
      <w:pPr>
        <w:pStyle w:val="FirstParagraph"/>
      </w:pPr>
      <w:r>
        <w:t xml:space="preserve">Before: an owner with a VAT question either waits 1–3 days and pays an accountant (AED 800–1,700+/month retainers), searches the web and risks an uncited wrong answer, or guesses — with the ~91,000-firm penalty cohort showing how guessing ends. After: the same question is answered in under a minute, with the legal source attached, at AED 149/month. Invoice checking moves from manual eyeballing to automatic extraction with an arithmetic consistency check. The comparison basis is explicit: time (days → minutes), cost (order of magnitude), and verifiability (uncited → cited). What AI does</w:t>
      </w:r>
      <w:r>
        <w:t xml:space="preserve"> </w:t>
      </w:r>
      <w:r>
        <w:rPr>
          <w:bCs/>
          <w:b/>
        </w:rPr>
        <w:t xml:space="preserve">not</w:t>
      </w:r>
      <w:r>
        <w:t xml:space="preserve"> </w:t>
      </w:r>
      <w:r>
        <w:t xml:space="preserve">improve: judgment on complex or ambiguous matters — those are abstained on and referred, deliberately keeping the human in the loop.</w:t>
      </w:r>
    </w:p>
    <w:bookmarkEnd w:id="52"/>
    <w:bookmarkStart w:id="53" w:name="Xa0691cf33bc704ee17e269874a542c141619290"/>
    <w:p>
      <w:pPr>
        <w:pStyle w:val="Heading2"/>
      </w:pPr>
      <w:r>
        <w:t xml:space="preserve">Why customers would use it, and how it creates value</w:t>
      </w:r>
    </w:p>
    <w:p>
      <w:pPr>
        <w:pStyle w:val="FirstParagraph"/>
      </w:pPr>
      <w:r>
        <w:t xml:space="preserve">The practical benefit is confident action between accountant engagements. The switching cost is near zero (no data migration; it complements rather than replaces existing software), the learning curve is a chat box and an upload button, and the price is anchored well below the human alternative. Value created:</w:t>
      </w:r>
      <w:r>
        <w:t xml:space="preserve"> </w:t>
      </w:r>
      <w:r>
        <w:rPr>
          <w:bCs/>
          <w:b/>
        </w:rPr>
        <w:t xml:space="preserve">functional</w:t>
      </w:r>
      <w:r>
        <w:t xml:space="preserve"> </w:t>
      </w:r>
      <w:r>
        <w:t xml:space="preserve">(correct, cited answers; caught invoice errors),</w:t>
      </w:r>
      <w:r>
        <w:t xml:space="preserve"> </w:t>
      </w:r>
      <w:r>
        <w:rPr>
          <w:bCs/>
          <w:b/>
        </w:rPr>
        <w:t xml:space="preserve">financial</w:t>
      </w:r>
      <w:r>
        <w:t xml:space="preserve"> </w:t>
      </w:r>
      <w:r>
        <w:t xml:space="preserve">(fewer penalties; AED 651–1,551/month cheaper than typical outsourcing for routine questions),</w:t>
      </w:r>
      <w:r>
        <w:t xml:space="preserve"> </w:t>
      </w:r>
      <w:r>
        <w:rPr>
          <w:bCs/>
          <w:b/>
        </w:rPr>
        <w:t xml:space="preserve">emotional</w:t>
      </w:r>
      <w:r>
        <w:t xml:space="preserve"> </w:t>
      </w:r>
      <w:r>
        <w:t xml:space="preserve">(relief from compliance anxiety — the abstention badge means the tool never bluffs),</w:t>
      </w:r>
      <w:r>
        <w:t xml:space="preserve"> </w:t>
      </w:r>
      <w:r>
        <w:rPr>
          <w:bCs/>
          <w:b/>
        </w:rPr>
        <w:t xml:space="preserve">time</w:t>
      </w:r>
      <w:r>
        <w:t xml:space="preserve"> </w:t>
      </w:r>
      <w:r>
        <w:t xml:space="preserve">(minutes not days), and</w:t>
      </w:r>
      <w:r>
        <w:t xml:space="preserve"> </w:t>
      </w:r>
      <w:r>
        <w:rPr>
          <w:bCs/>
          <w:b/>
        </w:rPr>
        <w:t xml:space="preserve">risk reduction</w:t>
      </w:r>
      <w:r>
        <w:t xml:space="preserve"> </w:t>
      </w:r>
      <w:r>
        <w:t xml:space="preserve">(audit trail as evidence of diligence). Measurable outcomes we will track: questions answered vs abstained, invoice mismatches caught, and user-reported time saved. Demand validation to date is indirect (market statistics, competitor traction, US analogues) — direct willingness-to-pay validation is a pilot objective, not a claim. We therefore state no interview-based willingness-to-pay figure: the AED 149/399 price points are positioned against observable market alternatives (Section 6), and testing them against real purchase intent is the pilot's primary success criterion.</w:t>
      </w:r>
    </w:p>
    <w:bookmarkEnd w:id="53"/>
    <w:bookmarkStart w:id="54" w:name="X8c0fc1b6db5b5ebfea4b82641050c24dfa442ef"/>
    <w:p>
      <w:pPr>
        <w:pStyle w:val="Heading2"/>
      </w:pPr>
      <w:r>
        <w:t xml:space="preserve">The AI capability types Mizan uses — and those it deliberately does not</w:t>
      </w:r>
    </w:p>
    <w:p>
      <w:pPr>
        <w:numPr>
          <w:ilvl w:val="0"/>
          <w:numId w:val="1005"/>
        </w:numPr>
        <w:pStyle w:val="Compact"/>
      </w:pPr>
      <w:r>
        <w:rPr>
          <w:bCs/>
          <w:b/>
        </w:rPr>
        <w:t xml:space="preserve">Natural-language processing (question answering).</w:t>
      </w:r>
      <w:r>
        <w:t xml:space="preserve"> </w:t>
      </w:r>
      <w:r>
        <w:t xml:space="preserve">Task: answering CT/VAT questions; language: English at launch, Arabic in v2 (we do not claim Arabic coverage today). Ambiguity is handled by clarification prompts and abstention; the system does not claim to understand every statement.</w:t>
      </w:r>
    </w:p>
    <w:p>
      <w:pPr>
        <w:numPr>
          <w:ilvl w:val="0"/>
          <w:numId w:val="1005"/>
        </w:numPr>
        <w:pStyle w:val="Compact"/>
      </w:pPr>
      <w:r>
        <w:rPr>
          <w:bCs/>
          <w:b/>
        </w:rPr>
        <w:t xml:space="preserve">Image recognition (invoice extraction).</w:t>
      </w:r>
      <w:r>
        <w:t xml:space="preserve"> </w:t>
      </w:r>
      <w:r>
        <w:t xml:space="preserve">Images analysed: supplier invoices only — no faces, no identity documents. It exists because invoice data entry and checking is a top SME error source. Accuracy is checked by the deterministic consistency check (subtotal + VAT = total) and human review of flags; poor images produce a</w:t>
      </w:r>
      <w:r>
        <w:t xml:space="preserve"> </w:t>
      </w:r>
      <w:r>
        <w:t xml:space="preserve">“</w:t>
      </w:r>
      <w:r>
        <w:t xml:space="preserve">retake photo</w:t>
      </w:r>
      <w:r>
        <w:t xml:space="preserve">”</w:t>
      </w:r>
      <w:r>
        <w:t xml:space="preserve"> </w:t>
      </w:r>
      <w:r>
        <w:t xml:space="preserve">prompt, not silent failure. Uploads require the user’s own right to the document (their invoices).</w:t>
      </w:r>
    </w:p>
    <w:p>
      <w:pPr>
        <w:numPr>
          <w:ilvl w:val="0"/>
          <w:numId w:val="1005"/>
        </w:numPr>
        <w:pStyle w:val="Compact"/>
      </w:pPr>
      <w:r>
        <w:rPr>
          <w:bCs/>
          <w:b/>
        </w:rPr>
        <w:t xml:space="preserve">Automation (calculation and checking).</w:t>
      </w:r>
      <w:r>
        <w:t xml:space="preserve"> </w:t>
      </w:r>
      <w:r>
        <w:t xml:space="preserve">The automated tasks are VAT arithmetic and invoice consistency checks — narrow, verifiable, low-risk. Trigger: user request. Human control: every flag routes to the user for review; nothing is filed automatically. Exception handling: mismatches are surfaced, never auto-corrected.</w:t>
      </w:r>
    </w:p>
    <w:p>
      <w:pPr>
        <w:numPr>
          <w:ilvl w:val="0"/>
          <w:numId w:val="1005"/>
        </w:numPr>
        <w:pStyle w:val="Compact"/>
      </w:pPr>
      <w:r>
        <w:rPr>
          <w:bCs/>
          <w:b/>
        </w:rPr>
        <w:t xml:space="preserve">Decision support.</w:t>
      </w:r>
      <w:r>
        <w:t xml:space="preserve"> </w:t>
      </w:r>
      <w:r>
        <w:t xml:space="preserve">The supported decision is the user’s compliance action. The system presents the answer, its legal basis, its confidence posture (answer vs abstention), and the escalation option. Final responsibility rests explicitly with the human user and their professional advisers.</w:t>
      </w:r>
    </w:p>
    <w:p>
      <w:pPr>
        <w:numPr>
          <w:ilvl w:val="0"/>
          <w:numId w:val="1005"/>
        </w:numPr>
        <w:pStyle w:val="Compact"/>
      </w:pPr>
      <w:r>
        <w:rPr>
          <w:bCs/>
          <w:b/>
        </w:rPr>
        <w:t xml:space="preserve">Deliberately excluded in the MVP:</w:t>
      </w:r>
      <w:r>
        <w:t xml:space="preserve"> </w:t>
      </w:r>
      <w:r>
        <w:t xml:space="preserve">predictions and forecasts (no reliable data basis), personalised tax planning recommendations (that is regulated advice), classification of taxpayers, and content generation beyond the grounded answer. Excluding these is a design decision aligned with the abstention philosophy — we ship only AI functions necessary to the problem.</w:t>
      </w:r>
    </w:p>
    <w:bookmarkEnd w:id="54"/>
    <w:bookmarkStart w:id="55" w:name="Xaaa9d1249de73ee5764a031b50bc26076d912cc"/>
    <w:p>
      <w:pPr>
        <w:pStyle w:val="Heading2"/>
      </w:pPr>
      <w:r>
        <w:t xml:space="preserve">Fully automated versus human-reviewed output</w:t>
      </w:r>
    </w:p>
    <w:p>
      <w:pPr>
        <w:pStyle w:val="FirstParagraph"/>
      </w:pPr>
      <w:r>
        <w:t xml:space="preserve">Automated without review: retrieval, citation display, deterministic arithmetic, and the consistency check — all verifiable by construction. Reviewed by the user (with in-product prompting): every substantive answer and every flagged invoice. Escalated to a professional: any abstention, and any question the user marks as material. Reviewed by us: sampled outputs against a golden question set during weekly QA (Section 12), with user feedback flags triaged by the team. Responsibility for errors is not outsourced to a disclaimer: our quality-control process, abstention design and complaint mechanism (Section 14) exist because errors will occur.</w:t>
      </w:r>
    </w:p>
    <w:bookmarkEnd w:id="55"/>
    <w:bookmarkEnd w:id="56"/>
    <w:bookmarkStart w:id="71" w:name="X37acd9399350f9e9a353b2410480d755ca81589"/>
    <w:p>
      <w:pPr>
        <w:pStyle w:val="Heading1"/>
      </w:pPr>
      <w:r>
        <w:t xml:space="preserve">Section 4: Target Market and Customer Profile</w:t>
      </w:r>
    </w:p>
    <w:bookmarkStart w:id="57" w:name="target-customer-group"/>
    <w:p>
      <w:pPr>
        <w:pStyle w:val="Heading2"/>
      </w:pPr>
      <w:r>
        <w:t xml:space="preserve">Target customer group</w:t>
      </w:r>
    </w:p>
    <w:p>
      <w:pPr>
        <w:pStyle w:val="FirstParagraph"/>
      </w:pPr>
      <w:r>
        <w:t xml:space="preserve">The primary segment is</w:t>
      </w:r>
      <w:r>
        <w:t xml:space="preserve"> </w:t>
      </w:r>
      <w:r>
        <w:rPr>
          <w:bCs/>
          <w:b/>
        </w:rPr>
        <w:t xml:space="preserve">UAE-based SMEs with annual revenue below AED 50 million that are registered (or registering) for Corporate Tax and/or VAT and have no in-house tax specialist</w:t>
      </w:r>
      <w:r>
        <w:t xml:space="preserve">. The shared characteristics: they face recurring compliance events (quarterly VAT returns, annual CT filing, weekly invoicing questions), they cannot justify a full-time tax hire, and they already spend money on the problem (software subscriptions and/or outsourced accounting). The segment is attractive because it is large (651,000 CT registrants; 547,000 VAT registrants — FTA via Gulf News, Sept 2025), newly obligated (the CT regime began in 2023; e-invoicing arrives for them on 1 July 2027 under MD 244/2025), and reachable through digital channels and the accountant network. The AED 50M revenue line is not arbitrary: it is the regulator’s own boundary between e-invoicing Phase 1 and Phase 2 firms, and it separates firms with finance departments from firms without them.</w:t>
      </w:r>
    </w:p>
    <w:bookmarkEnd w:id="57"/>
    <w:bookmarkStart w:id="58" w:name="customer-age"/>
    <w:p>
      <w:pPr>
        <w:pStyle w:val="Heading2"/>
      </w:pPr>
      <w:r>
        <w:t xml:space="preserve">Customer age</w:t>
      </w:r>
    </w:p>
    <w:p>
      <w:pPr>
        <w:pStyle w:val="FirstParagraph"/>
      </w:pPr>
      <w:r>
        <w:t xml:space="preserve">The relevant decision-makers are predominantly</w:t>
      </w:r>
      <w:r>
        <w:t xml:space="preserve"> </w:t>
      </w:r>
      <w:r>
        <w:rPr>
          <w:bCs/>
          <w:b/>
        </w:rPr>
        <w:t xml:space="preserve">28–55 years old</w:t>
      </w:r>
      <w:r>
        <w:t xml:space="preserve"> </w:t>
      </w:r>
      <w:r>
        <w:t xml:space="preserve">— the age band of UAE SME founders and general managers. Age matters only insofar as it correlates with digital comfort: this band is comfortable with SaaS subscriptions and chat interfaces, which supports a self-serve web product. We do not narrow further; age is a weak driver relative to role and company size.</w:t>
      </w:r>
    </w:p>
    <w:bookmarkEnd w:id="58"/>
    <w:bookmarkStart w:id="59" w:name="occupation"/>
    <w:p>
      <w:pPr>
        <w:pStyle w:val="Heading2"/>
      </w:pPr>
      <w:r>
        <w:t xml:space="preserve">Occupation</w:t>
      </w:r>
    </w:p>
    <w:p>
      <w:pPr>
        <w:pStyle w:val="FirstParagraph"/>
      </w:pPr>
      <w:r>
        <w:t xml:space="preserve">Primary:</w:t>
      </w:r>
      <w:r>
        <w:t xml:space="preserve"> </w:t>
      </w:r>
      <w:r>
        <w:rPr>
          <w:bCs/>
          <w:b/>
        </w:rPr>
        <w:t xml:space="preserve">business owners and general managers</w:t>
      </w:r>
      <w:r>
        <w:t xml:space="preserve"> </w:t>
      </w:r>
      <w:r>
        <w:t xml:space="preserve">who personally carry compliance risk; secondary users within the same account:</w:t>
      </w:r>
      <w:r>
        <w:t xml:space="preserve"> </w:t>
      </w:r>
      <w:r>
        <w:rPr>
          <w:bCs/>
          <w:b/>
        </w:rPr>
        <w:t xml:space="preserve">bookkeepers and office managers</w:t>
      </w:r>
      <w:r>
        <w:t xml:space="preserve"> </w:t>
      </w:r>
      <w:r>
        <w:t xml:space="preserve">who handle invoices day to day. Occupation shapes the purchase: owners buy on risk reduction and cost versus an accountant; bookkeepers value the invoice-checking workflow. Professions that do not experience the problem (salaried employees, firms with in-house tax teams) are out of scope.</w:t>
      </w:r>
    </w:p>
    <w:bookmarkEnd w:id="59"/>
    <w:bookmarkStart w:id="60" w:name="industry"/>
    <w:p>
      <w:pPr>
        <w:pStyle w:val="Heading2"/>
      </w:pPr>
      <w:r>
        <w:t xml:space="preserve">Industry</w:t>
      </w:r>
    </w:p>
    <w:p>
      <w:pPr>
        <w:pStyle w:val="FirstParagraph"/>
      </w:pPr>
      <w:r>
        <w:t xml:space="preserve">Mizan is horizontal across SMEs but the sharpest pain sits in</w:t>
      </w:r>
      <w:r>
        <w:t xml:space="preserve"> </w:t>
      </w:r>
      <w:r>
        <w:rPr>
          <w:bCs/>
          <w:b/>
        </w:rPr>
        <w:t xml:space="preserve">trading and e-commerce, professional services, F&amp;B, and construction subcontracting</w:t>
      </w:r>
      <w:r>
        <w:t xml:space="preserve"> </w:t>
      </w:r>
      <w:r>
        <w:t xml:space="preserve">— VAT-intensive industries with high invoice volumes and frequent cross-border or zero-rating questions. The industry-specific problem is identical in structure (law-grounded questions plus invoice hygiene), so one product serves them; industry only changes the mix of questions asked. Regulated financial-services firms with bespoke tax positions are not target customers.</w:t>
      </w:r>
    </w:p>
    <w:bookmarkEnd w:id="60"/>
    <w:bookmarkStart w:id="61" w:name="income-company-revenue-and-affordability"/>
    <w:p>
      <w:pPr>
        <w:pStyle w:val="Heading2"/>
      </w:pPr>
      <w:r>
        <w:t xml:space="preserve">Income (company revenue and affordability)</w:t>
      </w:r>
    </w:p>
    <w:p>
      <w:pPr>
        <w:pStyle w:val="FirstParagraph"/>
      </w:pPr>
      <w:r>
        <w:t xml:space="preserve">The relevant</w:t>
      </w:r>
      <w:r>
        <w:t xml:space="preserve"> </w:t>
      </w:r>
      <w:r>
        <w:t xml:space="preserve">“</w:t>
      </w:r>
      <w:r>
        <w:t xml:space="preserve">income</w:t>
      </w:r>
      <w:r>
        <w:t xml:space="preserve">”</w:t>
      </w:r>
      <w:r>
        <w:t xml:space="preserve"> </w:t>
      </w:r>
      <w:r>
        <w:t xml:space="preserve">variable is company revenue. Sub-segments: micro (below ~AED 3M revenue — note Tax Star offers a free tier here, so price sensitivity is highest), small (AED 3–15M) and lower-mid (AED 15–50M). Willingness to pay rises with revenue and invoice volume: a firm paying AED 800–1,700/month for outsourced accounting (Shuraa Tax et al.) can rationally add AED 149–399/month if it reduces accountant hours and penalty risk. Affordability is evidenced by what the segment already spends, not by our assumption.</w:t>
      </w:r>
    </w:p>
    <w:bookmarkEnd w:id="61"/>
    <w:bookmarkStart w:id="62" w:name="location"/>
    <w:p>
      <w:pPr>
        <w:pStyle w:val="Heading2"/>
      </w:pPr>
      <w:r>
        <w:t xml:space="preserve">Location</w:t>
      </w:r>
    </w:p>
    <w:p>
      <w:pPr>
        <w:pStyle w:val="FirstParagraph"/>
      </w:pPr>
      <w:r>
        <w:rPr>
          <w:bCs/>
          <w:b/>
        </w:rPr>
        <w:t xml:space="preserve">United Arab Emirates only at launch, led from Dubai.</w:t>
      </w:r>
      <w:r>
        <w:t xml:space="preserve"> </w:t>
      </w:r>
      <w:r>
        <w:t xml:space="preserve">Location is decisive here: the product is built on UAE federal decree-laws and FTA guidance; the pricing is in AED; and the regulatory calendar (1 July 2026 voluntary e-invoicing; 1 July 2027 SME mandate) is UAE-specific. Within the UAE the product is location-agnostic (federal taxes), but marketing starts in Dubai where the team, the accelerators and the largest SME density are. International expansion is explicitly deferred (Section 18).</w:t>
      </w:r>
    </w:p>
    <w:bookmarkEnd w:id="62"/>
    <w:bookmarkStart w:id="63" w:name="business-size"/>
    <w:p>
      <w:pPr>
        <w:pStyle w:val="Heading2"/>
      </w:pPr>
      <w:r>
        <w:t xml:space="preserve">Business size</w:t>
      </w:r>
    </w:p>
    <w:p>
      <w:pPr>
        <w:pStyle w:val="FirstParagraph"/>
      </w:pPr>
      <w:r>
        <w:t xml:space="preserve">Micro and small businesses of roughly</w:t>
      </w:r>
      <w:r>
        <w:t xml:space="preserve"> </w:t>
      </w:r>
      <w:r>
        <w:rPr>
          <w:bCs/>
          <w:b/>
        </w:rPr>
        <w:t xml:space="preserve">1–50 employees, below AED 50M revenue</w:t>
      </w:r>
      <w:r>
        <w:t xml:space="preserve"> </w:t>
      </w:r>
      <w:r>
        <w:t xml:space="preserve">(the boundary defined in MD 244/2025). Size affects needs: micro firms use the Free/Pro tiers self-serve; firms of 10–50 employees need the Business tier’s multi-user access and accountant collaboration. We deliberately exclude enterprises: they have tax departments, demand procurement processes and enterprise security certifications the MVP does not yet have.</w:t>
      </w:r>
    </w:p>
    <w:bookmarkEnd w:id="63"/>
    <w:bookmarkStart w:id="64" w:name="customer-needs"/>
    <w:p>
      <w:pPr>
        <w:pStyle w:val="Heading2"/>
      </w:pPr>
      <w:r>
        <w:t xml:space="preserve">Customer needs</w:t>
      </w:r>
    </w:p>
    <w:p>
      <w:pPr>
        <w:pStyle w:val="FirstParagraph"/>
      </w:pPr>
      <w:r>
        <w:t xml:space="preserve">Prioritised: (1)</w:t>
      </w:r>
      <w:r>
        <w:t xml:space="preserve"> </w:t>
      </w:r>
      <w:r>
        <w:rPr>
          <w:bCs/>
          <w:b/>
        </w:rPr>
        <w:t xml:space="preserve">functional</w:t>
      </w:r>
      <w:r>
        <w:t xml:space="preserve"> </w:t>
      </w:r>
      <w:r>
        <w:t xml:space="preserve">— correct answers about CT/VAT, clean invoices, deadline awareness; (2)</w:t>
      </w:r>
      <w:r>
        <w:t xml:space="preserve"> </w:t>
      </w:r>
      <w:r>
        <w:rPr>
          <w:bCs/>
          <w:b/>
        </w:rPr>
        <w:t xml:space="preserve">trust</w:t>
      </w:r>
      <w:r>
        <w:t xml:space="preserve"> </w:t>
      </w:r>
      <w:r>
        <w:t xml:space="preserve">— evidence they can verify (citations) and honesty about uncertainty; (3)</w:t>
      </w:r>
      <w:r>
        <w:t xml:space="preserve"> </w:t>
      </w:r>
      <w:r>
        <w:rPr>
          <w:bCs/>
          <w:b/>
        </w:rPr>
        <w:t xml:space="preserve">convenience</w:t>
      </w:r>
      <w:r>
        <w:t xml:space="preserve"> </w:t>
      </w:r>
      <w:r>
        <w:t xml:space="preserve">— answers at the moment of need, no data migration; (4)</w:t>
      </w:r>
      <w:r>
        <w:t xml:space="preserve"> </w:t>
      </w:r>
      <w:r>
        <w:rPr>
          <w:bCs/>
          <w:b/>
        </w:rPr>
        <w:t xml:space="preserve">price</w:t>
      </w:r>
      <w:r>
        <w:t xml:space="preserve"> </w:t>
      </w:r>
      <w:r>
        <w:t xml:space="preserve">— meaningfully below human advice; (5)</w:t>
      </w:r>
      <w:r>
        <w:t xml:space="preserve"> </w:t>
      </w:r>
      <w:r>
        <w:rPr>
          <w:bCs/>
          <w:b/>
        </w:rPr>
        <w:t xml:space="preserve">privacy</w:t>
      </w:r>
      <w:r>
        <w:t xml:space="preserve"> </w:t>
      </w:r>
      <w:r>
        <w:t xml:space="preserve">— assurance that their data is not exposed. Emotional needs matter: the dominant feeling in this segment is compliance anxiety, and the product’s calm, cited, abstaining behaviour is designed against it.</w:t>
      </w:r>
    </w:p>
    <w:bookmarkEnd w:id="64"/>
    <w:bookmarkStart w:id="65" w:name="customer-frustrations"/>
    <w:p>
      <w:pPr>
        <w:pStyle w:val="Heading2"/>
      </w:pPr>
      <w:r>
        <w:t xml:space="preserve">Customer frustrations</w:t>
      </w:r>
    </w:p>
    <w:p>
      <w:pPr>
        <w:pStyle w:val="FirstParagraph"/>
      </w:pPr>
      <w:r>
        <w:t xml:space="preserve">With current alternatives: accountants are slow for small questions and expensive (AED 800–1,700+/month); software incumbents answer questions about their books, not the law; free chatbots give confident, uncited, sometimes wrong answers; FTA guides are authoritative but long and generic. The cost of these frustrations is documented at national scale by the ~91,000-firm penalty-waiver cohort (FTA, 14 May 2026). We do not yet hold verbatim customer quotes: the frustrations above are inferred from the documented alternatives and the penalty-waiver cohort, and collecting first-hand accounts is part of the pilot interview programme.</w:t>
      </w:r>
    </w:p>
    <w:bookmarkEnd w:id="65"/>
    <w:bookmarkStart w:id="66" w:name="purchasing-behaviour"/>
    <w:p>
      <w:pPr>
        <w:pStyle w:val="Heading2"/>
      </w:pPr>
      <w:r>
        <w:t xml:space="preserve">Purchasing behaviour</w:t>
      </w:r>
    </w:p>
    <w:p>
      <w:pPr>
        <w:pStyle w:val="FirstParagraph"/>
      </w:pPr>
      <w:r>
        <w:t xml:space="preserve">SME owners discover tools via Google search at the moment of pain (</w:t>
      </w:r>
      <w:r>
        <w:t xml:space="preserve">“</w:t>
      </w:r>
      <w:r>
        <w:t xml:space="preserve">corporate tax UAE deadline</w:t>
      </w:r>
      <w:r>
        <w:t xml:space="preserve">”</w:t>
      </w:r>
      <w:r>
        <w:t xml:space="preserve">,</w:t>
      </w:r>
      <w:r>
        <w:t xml:space="preserve"> </w:t>
      </w:r>
      <w:r>
        <w:t xml:space="preserve">“</w:t>
      </w:r>
      <w:r>
        <w:t xml:space="preserve">VAT on exports UAE</w:t>
      </w:r>
      <w:r>
        <w:t xml:space="preserve">”</w:t>
      </w:r>
      <w:r>
        <w:t xml:space="preserve">), via their accountant’s recommendation, and via peer WhatsApp/LinkedIn groups. The decision-maker is the owner; the influencer is the accountant — which is why the accountant channel matters beyond direct sales. Decision cycles are short (days, not quarters) for a low-priced SaaS with a free tier; preference is monthly billing first, converting to annual once trust is established — our pricing supports both. Purchases are made online by card; there is no offline sales channel at launch.</w:t>
      </w:r>
    </w:p>
    <w:bookmarkEnd w:id="66"/>
    <w:bookmarkStart w:id="67" w:name="willingness-to-pay"/>
    <w:p>
      <w:pPr>
        <w:pStyle w:val="Heading2"/>
      </w:pPr>
      <w:r>
        <w:t xml:space="preserve">Willingness to pay</w:t>
      </w:r>
    </w:p>
    <w:p>
      <w:pPr>
        <w:pStyle w:val="FirstParagraph"/>
      </w:pPr>
      <w:r>
        <w:t xml:space="preserve">We anchor willingness to pay on researched reference prices rather than our own preference: commodity accounting software at AED 57–349/month (Wafeq, Zoho tiers), Tax Star’s filing software at AED 500–1,000/year, and outsourced human accounting at AED 800–1,700+/month. The researched</w:t>
      </w:r>
      <w:r>
        <w:t xml:space="preserve"> </w:t>
      </w:r>
      <w:r>
        <w:rPr>
          <w:bCs/>
          <w:b/>
        </w:rPr>
        <w:t xml:space="preserve">white space is roughly AED 150–500/month</w:t>
      </w:r>
      <w:r>
        <w:t xml:space="preserve"> </w:t>
      </w:r>
      <w:r>
        <w:t xml:space="preserve">— below human outsourcing, above commodity software — for a product doing a job neither does. Pro at AED 149 enters at the bottom of that band deliberately (low-friction adoption); Business at AED 399 sits mid-band. Factors increasing willingness to pay: recent penalty experience, high invoice volume, upcoming e-invoicing obligations. Factors reducing it: very small firms with few transactions, and the existence of free alternatives (FTA’s AI services, Virtuzone’s TaxGPT) — which is why the free tier exists as the entry point. Price testing during the pilot is a stated next step (Section 20), and willingness to pay is treated as a hypothesis to test, not a guaranteed purchase.</w:t>
      </w:r>
    </w:p>
    <w:bookmarkEnd w:id="67"/>
    <w:bookmarkStart w:id="68" w:name="early-adopters"/>
    <w:p>
      <w:pPr>
        <w:pStyle w:val="Heading2"/>
      </w:pPr>
      <w:r>
        <w:t xml:space="preserve">Early adopters</w:t>
      </w:r>
    </w:p>
    <w:p>
      <w:pPr>
        <w:pStyle w:val="FirstParagraph"/>
      </w:pPr>
      <w:r>
        <w:t xml:space="preserve">The strongest-need customers we will target first: (1) the</w:t>
      </w:r>
      <w:r>
        <w:t xml:space="preserve"> </w:t>
      </w:r>
      <w:r>
        <w:rPr>
          <w:bCs/>
          <w:b/>
        </w:rPr>
        <w:t xml:space="preserve">penalty-waiver cohort</w:t>
      </w:r>
      <w:r>
        <w:t xml:space="preserve"> </w:t>
      </w:r>
      <w:r>
        <w:t xml:space="preserve">— firms that have already suffered a compliance failure; (2)</w:t>
      </w:r>
      <w:r>
        <w:t xml:space="preserve"> </w:t>
      </w:r>
      <w:r>
        <w:rPr>
          <w:bCs/>
          <w:b/>
        </w:rPr>
        <w:t xml:space="preserve">newly registered CT filers</w:t>
      </w:r>
      <w:r>
        <w:t xml:space="preserve"> </w:t>
      </w:r>
      <w:r>
        <w:t xml:space="preserve">approaching their first return (245,000+ CT applications were processed in 2025 alone — FTA 2025 Annual Report); (3)</w:t>
      </w:r>
      <w:r>
        <w:t xml:space="preserve"> </w:t>
      </w:r>
      <w:r>
        <w:rPr>
          <w:bCs/>
          <w:b/>
        </w:rPr>
        <w:t xml:space="preserve">e-commerce and trading firms</w:t>
      </w:r>
      <w:r>
        <w:t xml:space="preserve"> </w:t>
      </w:r>
      <w:r>
        <w:t xml:space="preserve">with heavy invoice flows; (4)</w:t>
      </w:r>
      <w:r>
        <w:t xml:space="preserve"> </w:t>
      </w:r>
      <w:r>
        <w:rPr>
          <w:bCs/>
          <w:b/>
        </w:rPr>
        <w:t xml:space="preserve">forward-leaning accountants</w:t>
      </w:r>
      <w:r>
        <w:t xml:space="preserve"> </w:t>
      </w:r>
      <w:r>
        <w:t xml:space="preserve">looking for leverage across their client base. These groups are actively searching for help, comfortable trialling new software, and positioned to give dense feedback.</w:t>
      </w:r>
    </w:p>
    <w:bookmarkEnd w:id="68"/>
    <w:bookmarkStart w:id="69" w:name="primary-customer-persona"/>
    <w:p>
      <w:pPr>
        <w:pStyle w:val="Heading2"/>
      </w:pPr>
      <w:r>
        <w:t xml:space="preserve">Primary customer persona</w:t>
      </w:r>
    </w:p>
    <w:p>
      <w:pPr>
        <w:pStyle w:val="FirstParagraph"/>
      </w:pPr>
      <w:r>
        <w:rPr>
          <w:bCs/>
          <w:b/>
        </w:rPr>
        <w:t xml:space="preserve">“</w:t>
      </w:r>
      <w:r>
        <w:rPr>
          <w:bCs/>
          <w:b/>
        </w:rPr>
        <w:t xml:space="preserve">Rakesh</w:t>
      </w:r>
      <w:r>
        <w:rPr>
          <w:bCs/>
          <w:b/>
        </w:rPr>
        <w:t xml:space="preserve">”</w:t>
      </w:r>
      <w:r>
        <w:rPr>
          <w:bCs/>
          <w:b/>
        </w:rPr>
        <w:t xml:space="preserve">, 38, owner of an electronics trading company in Deira, Dubai.</w:t>
      </w:r>
      <w:r>
        <w:t xml:space="preserve"> </w:t>
      </w:r>
      <w:r>
        <w:t xml:space="preserve">Eight employees, ~AED 9M annual revenue, VAT-registered since 2018, CT-registered in 2024. Current solution: Zoho Books plus an outsourced accountant at AED 1,200/month. Main frustration: his accountant takes two days to answer</w:t>
      </w:r>
      <w:r>
        <w:t xml:space="preserve"> </w:t>
      </w:r>
      <w:r>
        <w:t xml:space="preserve">“</w:t>
      </w:r>
      <w:r>
        <w:t xml:space="preserve">small</w:t>
      </w:r>
      <w:r>
        <w:t xml:space="preserve">”</w:t>
      </w:r>
      <w:r>
        <w:t xml:space="preserve"> </w:t>
      </w:r>
      <w:r>
        <w:t xml:space="preserve">questions, so mid-week invoicing decisions get made by guesswork; he received a late-registration penalty in 2024 (later waived). Desired outcome: act on compliance questions the same day, with something he can show his accountant. Buying motivation: risk reduction and speed, not replacing his accountant. Objections:</w:t>
      </w:r>
      <w:r>
        <w:t xml:space="preserve"> </w:t>
      </w:r>
      <w:r>
        <w:t xml:space="preserve">“</w:t>
      </w:r>
      <w:r>
        <w:t xml:space="preserve">Can I trust an AI on tax?</w:t>
      </w:r>
      <w:r>
        <w:t xml:space="preserve">”</w:t>
      </w:r>
      <w:r>
        <w:t xml:space="preserve"> </w:t>
      </w:r>
      <w:r>
        <w:t xml:space="preserve">— addressed by citations, abstention and the audit trail. Preferred channels: Google search, LinkedIn, his accountant. Willingness to pay: AED 149/month is less than one-tenth of his accounting retainer. The persona is fictional but assembled from the segment evidence above, not from imagination alone. It will be revised — or replaced — once pilot interviews give us real customers to describe.</w:t>
      </w:r>
    </w:p>
    <w:bookmarkEnd w:id="69"/>
    <w:bookmarkStart w:id="70" w:name="secondary-customer-segments"/>
    <w:p>
      <w:pPr>
        <w:pStyle w:val="Heading2"/>
      </w:pPr>
      <w:r>
        <w:t xml:space="preserve">Secondary customer segments</w:t>
      </w:r>
    </w:p>
    <w:p>
      <w:pPr>
        <w:pStyle w:val="FirstParagraph"/>
      </w:pPr>
      <w:r>
        <w:t xml:space="preserve">Two, both deferred to post-launch: (1)</w:t>
      </w:r>
      <w:r>
        <w:t xml:space="preserve"> </w:t>
      </w:r>
      <w:r>
        <w:rPr>
          <w:bCs/>
          <w:b/>
        </w:rPr>
        <w:t xml:space="preserve">small accounting and tax-agent practices</w:t>
      </w:r>
      <w:r>
        <w:t xml:space="preserve"> </w:t>
      </w:r>
      <w:r>
        <w:t xml:space="preserve">(the 806 registered agents and the wider bookkeeping market) — same product plus the Business tier’s collaboration features; they become a distribution channel as much as a segment; (2)</w:t>
      </w:r>
      <w:r>
        <w:t xml:space="preserve"> </w:t>
      </w:r>
      <w:r>
        <w:rPr>
          <w:bCs/>
          <w:b/>
        </w:rPr>
        <w:t xml:space="preserve">free-zone company-formation and business-setup firms</w:t>
      </w:r>
      <w:r>
        <w:t xml:space="preserve">, whose clients ask exactly these questions at incorporation. Both differ from the primary segment in buying multi-client licences rather than single-company subscriptions; neither requires a different core product. They receive marketing attention only after the primary segment shows traction.</w:t>
      </w:r>
    </w:p>
    <w:bookmarkEnd w:id="70"/>
    <w:bookmarkEnd w:id="71"/>
    <w:bookmarkStart w:id="87" w:name="section-5-market-and-industry-analysis"/>
    <w:p>
      <w:pPr>
        <w:pStyle w:val="Heading1"/>
      </w:pPr>
      <w:r>
        <w:t xml:space="preserve">Section 5: Market and Industry Analysis</w:t>
      </w:r>
    </w:p>
    <w:bookmarkStart w:id="72" w:name="market-size"/>
    <w:p>
      <w:pPr>
        <w:pStyle w:val="Heading2"/>
      </w:pPr>
      <w:r>
        <w:t xml:space="preserve">Market size</w:t>
      </w:r>
    </w:p>
    <w:p>
      <w:pPr>
        <w:pStyle w:val="FirstParagraph"/>
      </w:pPr>
      <w:r>
        <w:t xml:space="preserve">The relevant market is UAE businesses with tax-compliance obligations. The verified anchors (stock, not annual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Figure</w:t>
            </w:r>
          </w:p>
        </w:tc>
        <w:tc>
          <w:tcPr/>
          <w:p>
            <w:pPr>
              <w:pStyle w:val="Compact"/>
              <w:jc w:val="left"/>
            </w:pPr>
            <w:r>
              <w:t xml:space="preserve">Source (year)</w:t>
            </w:r>
          </w:p>
        </w:tc>
      </w:tr>
      <w:tr>
        <w:tc>
          <w:tcPr/>
          <w:p>
            <w:pPr>
              <w:pStyle w:val="Compact"/>
              <w:jc w:val="left"/>
            </w:pPr>
            <w:r>
              <w:t xml:space="preserve">Corporate Tax registrants (stock)</w:t>
            </w:r>
          </w:p>
        </w:tc>
        <w:tc>
          <w:tcPr/>
          <w:p>
            <w:pPr>
              <w:pStyle w:val="Compact"/>
              <w:jc w:val="left"/>
            </w:pPr>
            <w:r>
              <w:rPr>
                <w:bCs/>
                <w:b/>
              </w:rPr>
              <w:t xml:space="preserve">651,000</w:t>
            </w:r>
          </w:p>
        </w:tc>
        <w:tc>
          <w:tcPr/>
          <w:p>
            <w:pPr>
              <w:pStyle w:val="Compact"/>
              <w:jc w:val="left"/>
            </w:pPr>
            <w:r>
              <w:t xml:space="preserve">FTA via Gulf News, Sept 2025 (640k+ corroborated Oct 2025)</w:t>
            </w:r>
          </w:p>
        </w:tc>
      </w:tr>
      <w:tr>
        <w:tc>
          <w:tcPr/>
          <w:p>
            <w:pPr>
              <w:pStyle w:val="Compact"/>
              <w:jc w:val="left"/>
            </w:pPr>
            <w:r>
              <w:t xml:space="preserve">VAT registrants (stock)</w:t>
            </w:r>
          </w:p>
        </w:tc>
        <w:tc>
          <w:tcPr/>
          <w:p>
            <w:pPr>
              <w:pStyle w:val="Compact"/>
              <w:jc w:val="left"/>
            </w:pPr>
            <w:r>
              <w:rPr>
                <w:bCs/>
                <w:b/>
              </w:rPr>
              <w:t xml:space="preserve">547,000</w:t>
            </w:r>
          </w:p>
        </w:tc>
        <w:tc>
          <w:tcPr/>
          <w:p>
            <w:pPr>
              <w:pStyle w:val="Compact"/>
              <w:jc w:val="left"/>
            </w:pPr>
            <w:r>
              <w:t xml:space="preserve">FTA via Gulf News, Sept 2025</w:t>
            </w:r>
          </w:p>
        </w:tc>
      </w:tr>
      <w:tr>
        <w:tc>
          <w:tcPr/>
          <w:p>
            <w:pPr>
              <w:pStyle w:val="Compact"/>
              <w:jc w:val="left"/>
            </w:pPr>
            <w:r>
              <w:t xml:space="preserve">Total UAE businesses</w:t>
            </w:r>
          </w:p>
        </w:tc>
        <w:tc>
          <w:tcPr/>
          <w:p>
            <w:pPr>
              <w:pStyle w:val="Compact"/>
              <w:jc w:val="left"/>
            </w:pPr>
            <w:r>
              <w:t xml:space="preserve">1.4M (+250k added in 2025)</w:t>
            </w:r>
          </w:p>
        </w:tc>
        <w:tc>
          <w:tcPr/>
          <w:p>
            <w:pPr>
              <w:pStyle w:val="Compact"/>
              <w:jc w:val="left"/>
            </w:pPr>
            <w:r>
              <w:t xml:space="preserve">Minister of Economy via Arab News, Jan 2026</w:t>
            </w:r>
          </w:p>
        </w:tc>
      </w:tr>
      <w:tr>
        <w:tc>
          <w:tcPr/>
          <w:p>
            <w:pPr>
              <w:pStyle w:val="Compact"/>
              <w:jc w:val="left"/>
            </w:pPr>
            <w:r>
              <w:t xml:space="preserve">Registered tax agents</w:t>
            </w:r>
          </w:p>
        </w:tc>
        <w:tc>
          <w:tcPr/>
          <w:p>
            <w:pPr>
              <w:pStyle w:val="Compact"/>
              <w:jc w:val="left"/>
            </w:pPr>
            <w:r>
              <w:t xml:space="preserve">806</w:t>
            </w:r>
          </w:p>
        </w:tc>
        <w:tc>
          <w:tcPr/>
          <w:p>
            <w:pPr>
              <w:pStyle w:val="Compact"/>
              <w:jc w:val="left"/>
            </w:pPr>
            <w:r>
              <w:t xml:space="preserve">FTA via Gulf News, Sept 2025</w:t>
            </w:r>
          </w:p>
        </w:tc>
      </w:tr>
    </w:tbl>
    <w:p>
      <w:pPr>
        <w:pStyle w:val="BodyText"/>
      </w:pPr>
      <w:r>
        <w:t xml:space="preserve">We size the market bottom-up in AED, using the 651,000 CT registrants as the base population (most VAT registrants are also CT registrants; using the larger, better-evidenced stock avoids double counting). The full TAM/SAM/SOM calculation is at the end of this section.</w:t>
      </w:r>
    </w:p>
    <w:bookmarkEnd w:id="72"/>
    <w:bookmarkStart w:id="73" w:name="market-growth"/>
    <w:p>
      <w:pPr>
        <w:pStyle w:val="Heading2"/>
      </w:pPr>
      <w:r>
        <w:t xml:space="preserve">Market growth</w:t>
      </w:r>
    </w:p>
    <w:p>
      <w:pPr>
        <w:pStyle w:val="FirstParagraph"/>
      </w:pPr>
      <w:r>
        <w:t xml:space="preserve">The tax-registered population is growing fast because the regime is young: the FTA processed</w:t>
      </w:r>
      <w:r>
        <w:t xml:space="preserve"> </w:t>
      </w:r>
      <w:r>
        <w:rPr>
          <w:bCs/>
          <w:b/>
        </w:rPr>
        <w:t xml:space="preserve">245,000+ CT registration applications and 98,000 VAT applications in 2025 alone</w:t>
      </w:r>
      <w:r>
        <w:t xml:space="preserve">, within ~1.7M total tax transactions,</w:t>
      </w:r>
      <w:r>
        <w:t xml:space="preserve"> </w:t>
      </w:r>
      <w:r>
        <w:rPr>
          <w:bCs/>
          <w:b/>
        </w:rPr>
        <w:t xml:space="preserve">up 20% year on year</w:t>
      </w:r>
      <w:r>
        <w:t xml:space="preserve"> </w:t>
      </w:r>
      <w:r>
        <w:t xml:space="preserve">(FTA 2025 Annual Report). VAT and excise revenue grew from AED 41bn (2024) to</w:t>
      </w:r>
      <w:r>
        <w:t xml:space="preserve"> </w:t>
      </w:r>
      <w:r>
        <w:rPr>
          <w:bCs/>
          <w:b/>
        </w:rPr>
        <w:t xml:space="preserve">AED 46bn (2025)</w:t>
      </w:r>
      <w:r>
        <w:t xml:space="preserve"> </w:t>
      </w:r>
      <w:r>
        <w:t xml:space="preserve">(MoF/FTA via Zawya). Growth drivers: new-business formation (+250k in 2025), the maturing CT regime, and the e-invoicing mandate arriving 2026–2027. Potential dampers: registration inflows will normalise once the stock saturates, and a macro slowdown would slow business formation. We do not treat any forecast as guaranteed; our SOM assumes capture of a fraction of a percent of the existing stock, not of projected growth.</w:t>
      </w:r>
    </w:p>
    <w:bookmarkEnd w:id="73"/>
    <w:bookmarkStart w:id="74" w:name="industry-trends"/>
    <w:p>
      <w:pPr>
        <w:pStyle w:val="Heading2"/>
      </w:pPr>
      <w:r>
        <w:t xml:space="preserve">Industry trends</w:t>
      </w:r>
    </w:p>
    <w:p>
      <w:pPr>
        <w:pStyle w:val="FirstParagraph"/>
      </w:pPr>
      <w:r>
        <w:t xml:space="preserve">The UAE accounting-software industry is consolidating around the FTA’s rails:</w:t>
      </w:r>
      <w:r>
        <w:t xml:space="preserve"> </w:t>
      </w:r>
      <w:r>
        <w:rPr>
          <w:bCs/>
          <w:b/>
        </w:rPr>
        <w:t xml:space="preserve">41 FTA-accredited software vendors</w:t>
      </w:r>
      <w:r>
        <w:t xml:space="preserve"> </w:t>
      </w:r>
      <w:r>
        <w:t xml:space="preserve">exist, Wafeq (15k+ claimed business customers) is one of them, Zoho files VAT directly into EmaraTax, and Tax Star has announced a partnership with Wafeq — incumbents are bundling tax features onto bookkeeping. New entrants are AI-native (Tax Star, Finanshels/HalaTax). Pricing is bifurcating: commodity software at AED 57–349/month versus human services at AED 800–3,000/month, leaving the AED 150–500 white space documented in Round-2 research. Distribution is shifting toward accountant-channel and app-marketplace models. The implication for Mizan: the wedge must be a capability the bundlers do not have (cited legal Q&amp;A with abstention), and partnerships will matter.</w:t>
      </w:r>
    </w:p>
    <w:bookmarkEnd w:id="74"/>
    <w:bookmarkStart w:id="75" w:name="technology-trends"/>
    <w:p>
      <w:pPr>
        <w:pStyle w:val="Heading2"/>
      </w:pPr>
      <w:r>
        <w:t xml:space="preserve">Technology trends</w:t>
      </w:r>
    </w:p>
    <w:p>
      <w:pPr>
        <w:pStyle w:val="FirstParagraph"/>
      </w:pPr>
      <w:r>
        <w:t xml:space="preserve">Three developments make Mizan feasible now: (1) commercial LLM APIs with vision capability at costs of roughly AED 1–3 per active user per month at our usage profile (Section 15 assumptions); (2) mature retrieval techniques (BM25 today; hybrid semantic retrieval and reranking in v2) that ground answers in source text; and (3) a peer-reviewed evidence base on legal-AI hallucination (Stanford RegLab/HAI, 2025: 17–33% hallucination rates even in purpose-built tools; raw GPT-4 ~43%) that defines the quality bar and validates abstention as a design necessity. Risks: model API price or terms changes, and the possibility that frontier models plus official FTA data make generic answers</w:t>
      </w:r>
      <w:r>
        <w:t xml:space="preserve"> </w:t>
      </w:r>
      <w:r>
        <w:t xml:space="preserve">“</w:t>
      </w:r>
      <w:r>
        <w:t xml:space="preserve">good enough</w:t>
      </w:r>
      <w:r>
        <w:t xml:space="preserve">”</w:t>
      </w:r>
      <w:r>
        <w:t xml:space="preserve"> </w:t>
      </w:r>
      <w:r>
        <w:t xml:space="preserve">— both addressed in Sections 9 and 17. Technology progress does not by itself guarantee demand; it lowers our cost to serve it.</w:t>
      </w:r>
    </w:p>
    <w:bookmarkEnd w:id="75"/>
    <w:bookmarkStart w:id="76" w:name="customer-trends"/>
    <w:p>
      <w:pPr>
        <w:pStyle w:val="Heading2"/>
      </w:pPr>
      <w:r>
        <w:t xml:space="preserve">Customer trends</w:t>
      </w:r>
    </w:p>
    <w:p>
      <w:pPr>
        <w:pStyle w:val="FirstParagraph"/>
      </w:pPr>
      <w:r>
        <w:t xml:space="preserve">UAE SMEs are digital-first in operations (cloud accounting adoption is mainstream — Zoho’s and Wafeq’s SME traction evidence this), accustomed to monthly SaaS pricing, and increasingly exposed to AI assistants — which raises expectations and scepticism simultaneously. Trust is the binding constraint: a segment already burned by penalties will not accept uncited AI answers, which is precisely the design bet Mizan makes. Privacy expectations are rising with the UAE PDPL era. We hold no segment-specific survey data of our own on AI trust; measuring it within our own user base is a pilot objective rather than a present finding.</w:t>
      </w:r>
    </w:p>
    <w:bookmarkEnd w:id="76"/>
    <w:bookmarkStart w:id="77" w:name="regulatory-considerations"/>
    <w:p>
      <w:pPr>
        <w:pStyle w:val="Heading2"/>
      </w:pPr>
      <w:r>
        <w:t xml:space="preserve">Regulatory considerations</w:t>
      </w:r>
    </w:p>
    <w:p>
      <w:pPr>
        <w:numPr>
          <w:ilvl w:val="0"/>
          <w:numId w:val="1006"/>
        </w:numPr>
        <w:pStyle w:val="Compact"/>
      </w:pPr>
      <w:r>
        <w:rPr>
          <w:bCs/>
          <w:b/>
        </w:rPr>
        <w:t xml:space="preserve">Business registration</w:t>
      </w:r>
      <w:r>
        <w:t xml:space="preserve">: Mizan requires a UAE trade licence (mainland or free zone); cost and route are in Sections 15–16.</w:t>
      </w:r>
    </w:p>
    <w:p>
      <w:pPr>
        <w:numPr>
          <w:ilvl w:val="0"/>
          <w:numId w:val="1006"/>
        </w:numPr>
        <w:pStyle w:val="Compact"/>
      </w:pPr>
      <w:r>
        <w:rPr>
          <w:bCs/>
          <w:b/>
        </w:rPr>
        <w:t xml:space="preserve">Tax law</w:t>
      </w:r>
      <w:r>
        <w:t xml:space="preserve">: the product’s subject matter — Federal Decree-Law 47/2022 (CT), 8/2017 (VAT), FTA guides — is also its content corpus; changes in law require corpus updates (an operating activity, Section 12).</w:t>
      </w:r>
    </w:p>
    <w:p>
      <w:pPr>
        <w:numPr>
          <w:ilvl w:val="0"/>
          <w:numId w:val="1006"/>
        </w:numPr>
        <w:pStyle w:val="Compact"/>
      </w:pPr>
      <w:r>
        <w:rPr>
          <w:bCs/>
          <w:b/>
        </w:rPr>
        <w:t xml:space="preserve">E-invoicing</w:t>
      </w:r>
      <w:r>
        <w:t xml:space="preserve">: Ministerial Decisions 243 &amp; 244 of 2025 (30 Sep 2025, mof.gov.ae). Phase 1 (revenue ≥ AED 50M): ASP appointed by 31 Jul 2026, live 1 Jan 2027.</w:t>
      </w:r>
      <w:r>
        <w:t xml:space="preserve"> </w:t>
      </w:r>
      <w:r>
        <w:rPr>
          <w:bCs/>
          <w:b/>
        </w:rPr>
        <w:t xml:space="preserve">Phase 2 (&lt; AED 50M — all our customers): ASP by 31 Mar 2027, live 1 Jul 2027.</w:t>
      </w:r>
      <w:r>
        <w:t xml:space="preserve"> </w:t>
      </w:r>
      <w:r>
        <w:t xml:space="preserve">Phase 3 (government): 1 Oct 2027. B2C excluded for now.</w:t>
      </w:r>
    </w:p>
    <w:p>
      <w:pPr>
        <w:numPr>
          <w:ilvl w:val="0"/>
          <w:numId w:val="1006"/>
        </w:numPr>
        <w:pStyle w:val="Compact"/>
      </w:pPr>
      <w:r>
        <w:rPr>
          <w:bCs/>
          <w:b/>
        </w:rPr>
        <w:t xml:space="preserve">Data protection</w:t>
      </w:r>
      <w:r>
        <w:t xml:space="preserve">: UAE Personal Data Protection Law (Federal Decree-Law 45/2021) governs personal data we process (Section 14).</w:t>
      </w:r>
    </w:p>
    <w:p>
      <w:pPr>
        <w:numPr>
          <w:ilvl w:val="0"/>
          <w:numId w:val="1006"/>
        </w:numPr>
        <w:pStyle w:val="Compact"/>
      </w:pPr>
      <w:r>
        <w:rPr>
          <w:bCs/>
          <w:b/>
        </w:rPr>
        <w:t xml:space="preserve">Professional-services boundary</w:t>
      </w:r>
      <w:r>
        <w:t xml:space="preserve">: tax</w:t>
      </w:r>
      <w:r>
        <w:t xml:space="preserve"> </w:t>
      </w:r>
      <w:r>
        <w:rPr>
          <w:iCs/>
          <w:i/>
        </w:rPr>
        <w:t xml:space="preserve">advice</w:t>
      </w:r>
      <w:r>
        <w:t xml:space="preserve"> </w:t>
      </w:r>
      <w:r>
        <w:t xml:space="preserve">is the domain of registered tax agents; Mizan’s</w:t>
      </w:r>
      <w:r>
        <w:t xml:space="preserve"> </w:t>
      </w:r>
      <w:r>
        <w:t xml:space="preserve">“</w:t>
      </w:r>
      <w:r>
        <w:t xml:space="preserve">compliance assistance, not tax advice</w:t>
      </w:r>
      <w:r>
        <w:t xml:space="preserve">”</w:t>
      </w:r>
      <w:r>
        <w:t xml:space="preserve"> </w:t>
      </w:r>
      <w:r>
        <w:t xml:space="preserve">scope and abstention design keep it on the software side of that line. We state this as our positioning, not as a legal conclusion; confirming it is a named task for our retained compliance advisor (Sections 16, 19).</w:t>
      </w:r>
    </w:p>
    <w:p>
      <w:pPr>
        <w:numPr>
          <w:ilvl w:val="0"/>
          <w:numId w:val="1006"/>
        </w:numPr>
        <w:pStyle w:val="Compact"/>
      </w:pPr>
      <w:r>
        <w:rPr>
          <w:bCs/>
          <w:b/>
        </w:rPr>
        <w:t xml:space="preserve">DMTT</w:t>
      </w:r>
      <w:r>
        <w:t xml:space="preserve">: the 15% domestic minimum top-up tax (effective FY ≥ 1 Jan 2025) applies only to MNE groups ≥ €750M revenue (mof.gov.ae) — it is context for rising complexity, and deliberately excluded from our market sizing.</w:t>
      </w:r>
    </w:p>
    <w:bookmarkEnd w:id="77"/>
    <w:bookmarkStart w:id="78" w:name="social-factors"/>
    <w:p>
      <w:pPr>
        <w:pStyle w:val="Heading2"/>
      </w:pPr>
      <w:r>
        <w:t xml:space="preserve">Social factors</w:t>
      </w:r>
    </w:p>
    <w:p>
      <w:pPr>
        <w:pStyle w:val="FirstParagraph"/>
      </w:pPr>
      <w:r>
        <w:t xml:space="preserve">Language: UAE business runs in English and Arabic; launching English-only is a real limitation we address in v2 (and an honest team gap — Section 13). Digital literacy in the target segment is high. Trust in AI is mixed — an adoption barrier we treat as a product-design problem (citations, abstention) rather than assuming acceptance. Accessibility: a plain-language product lowers the compliance-knowledge barrier for the smallest firms who cannot afford advisers — a genuine inclusion effect we can measure (free-tier usage), not a marketing claim.</w:t>
      </w:r>
    </w:p>
    <w:bookmarkEnd w:id="78"/>
    <w:bookmarkStart w:id="79" w:name="environmental-factors"/>
    <w:p>
      <w:pPr>
        <w:pStyle w:val="Heading2"/>
      </w:pPr>
      <w:r>
        <w:t xml:space="preserve">Environmental factors</w:t>
      </w:r>
    </w:p>
    <w:p>
      <w:pPr>
        <w:pStyle w:val="FirstParagraph"/>
      </w:pPr>
      <w:r>
        <w:t xml:space="preserve">Mizan’s footprint is a modest cloud-computing one (a few servers and API calls; no training runs of our own). Marginal positive effects — reduced paper and travel via digital workflows — are plausible but unquantified, and we make no green marketing claims. No environmental reporting requirements apply at our stage.</w:t>
      </w:r>
    </w:p>
    <w:bookmarkEnd w:id="79"/>
    <w:bookmarkStart w:id="80" w:name="opportunities"/>
    <w:p>
      <w:pPr>
        <w:pStyle w:val="Heading2"/>
      </w:pPr>
      <w:r>
        <w:t xml:space="preserve">Opportunities</w:t>
      </w:r>
    </w:p>
    <w:p>
      <w:pPr>
        <w:numPr>
          <w:ilvl w:val="0"/>
          <w:numId w:val="1007"/>
        </w:numPr>
        <w:pStyle w:val="Compact"/>
      </w:pPr>
      <w:r>
        <w:t xml:space="preserve">A large, newly obligated, underserved population (651k CT registrants; 806 agents).</w:t>
      </w:r>
    </w:p>
    <w:p>
      <w:pPr>
        <w:numPr>
          <w:ilvl w:val="0"/>
          <w:numId w:val="1007"/>
        </w:numPr>
        <w:pStyle w:val="Compact"/>
      </w:pPr>
      <w:r>
        <w:t xml:space="preserve">A dated regulatory catalyst — the 1 Jul 2027 SME e-invoicing mandate — creating a</w:t>
      </w:r>
      <w:r>
        <w:t xml:space="preserve"> </w:t>
      </w:r>
      <w:r>
        <w:t xml:space="preserve">“</w:t>
      </w:r>
      <w:r>
        <w:t xml:space="preserve">why now.</w:t>
      </w:r>
      <w:r>
        <w:t xml:space="preserve">”</w:t>
      </w:r>
    </w:p>
    <w:p>
      <w:pPr>
        <w:numPr>
          <w:ilvl w:val="0"/>
          <w:numId w:val="1007"/>
        </w:numPr>
        <w:pStyle w:val="Compact"/>
      </w:pPr>
      <w:r>
        <w:t xml:space="preserve">The verified pricing white space (AED 150–500/month).</w:t>
      </w:r>
    </w:p>
    <w:p>
      <w:pPr>
        <w:numPr>
          <w:ilvl w:val="0"/>
          <w:numId w:val="1007"/>
        </w:numPr>
        <w:pStyle w:val="Compact"/>
      </w:pPr>
      <w:r>
        <w:t xml:space="preserve">The accountant channel as low-cost distribution.</w:t>
      </w:r>
    </w:p>
    <w:p>
      <w:pPr>
        <w:numPr>
          <w:ilvl w:val="0"/>
          <w:numId w:val="1007"/>
        </w:numPr>
        <w:pStyle w:val="Compact"/>
      </w:pPr>
      <w:r>
        <w:t xml:space="preserve">Confirmed capability gap: neither Wafeq nor Zoho offers cited legal Q&amp;A (verified 20 Jul 2026).</w:t>
      </w:r>
    </w:p>
    <w:bookmarkEnd w:id="80"/>
    <w:bookmarkStart w:id="81" w:name="threats"/>
    <w:p>
      <w:pPr>
        <w:pStyle w:val="Heading2"/>
      </w:pPr>
      <w:r>
        <w:t xml:space="preserve">Threats</w:t>
      </w:r>
    </w:p>
    <w:p>
      <w:pPr>
        <w:numPr>
          <w:ilvl w:val="0"/>
          <w:numId w:val="1008"/>
        </w:numPr>
        <w:pStyle w:val="Compact"/>
      </w:pPr>
      <w:r>
        <w:t xml:space="preserve">Incumbent bolt-on: Wafeq/Zoho add a cited Q&amp;A feature (high impact — Section 17).</w:t>
      </w:r>
    </w:p>
    <w:p>
      <w:pPr>
        <w:numPr>
          <w:ilvl w:val="0"/>
          <w:numId w:val="1008"/>
        </w:numPr>
        <w:pStyle w:val="Compact"/>
      </w:pPr>
      <w:r>
        <w:t xml:space="preserve">FTA’s own free AI taxpayer services (launched Oct 2025) commoditising basic Q&amp;A.</w:t>
      </w:r>
    </w:p>
    <w:p>
      <w:pPr>
        <w:numPr>
          <w:ilvl w:val="0"/>
          <w:numId w:val="1008"/>
        </w:numPr>
        <w:pStyle w:val="Compact"/>
      </w:pPr>
      <w:r>
        <w:t xml:space="preserve">Aggressive low-price anchors (Tax Star at AED 500–1,000/year).</w:t>
      </w:r>
    </w:p>
    <w:p>
      <w:pPr>
        <w:numPr>
          <w:ilvl w:val="0"/>
          <w:numId w:val="1008"/>
        </w:numPr>
        <w:pStyle w:val="Compact"/>
      </w:pPr>
      <w:r>
        <w:t xml:space="preserve">Model-provider dependence and cost shifts.</w:t>
      </w:r>
    </w:p>
    <w:p>
      <w:pPr>
        <w:numPr>
          <w:ilvl w:val="0"/>
          <w:numId w:val="1008"/>
        </w:numPr>
        <w:pStyle w:val="Compact"/>
      </w:pPr>
      <w:r>
        <w:t xml:space="preserve">Trust shock: one publicised wrong answer damaging the category.</w:t>
      </w:r>
      <w:r>
        <w:t xml:space="preserve"> </w:t>
      </w:r>
      <w:r>
        <w:t xml:space="preserve">Likelihood and impact for each are rated in Section 17.</w:t>
      </w:r>
    </w:p>
    <w:bookmarkEnd w:id="81"/>
    <w:bookmarkStart w:id="82" w:name="pestle-analysis"/>
    <w:p>
      <w:pPr>
        <w:pStyle w:val="Heading2"/>
      </w:pPr>
      <w:r>
        <w:t xml:space="preserve">PESTLE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Key facts</w:t>
            </w:r>
          </w:p>
        </w:tc>
        <w:tc>
          <w:tcPr/>
          <w:p>
            <w:pPr>
              <w:pStyle w:val="Compact"/>
              <w:jc w:val="left"/>
            </w:pPr>
            <w:r>
              <w:t xml:space="preserve">Implication for Mizan</w:t>
            </w:r>
          </w:p>
        </w:tc>
      </w:tr>
      <w:tr>
        <w:tc>
          <w:tcPr/>
          <w:p>
            <w:pPr>
              <w:pStyle w:val="Compact"/>
              <w:jc w:val="left"/>
            </w:pPr>
            <w:r>
              <w:t xml:space="preserve">Political</w:t>
            </w:r>
          </w:p>
        </w:tc>
        <w:tc>
          <w:tcPr/>
          <w:p>
            <w:pPr>
              <w:pStyle w:val="Compact"/>
              <w:jc w:val="left"/>
            </w:pPr>
            <w:r>
              <w:t xml:space="preserve">UAE state strategy prioritises digital government and tax-base growth (VAT+excise AED 46bn, 2025)</w:t>
            </w:r>
          </w:p>
        </w:tc>
        <w:tc>
          <w:tcPr/>
          <w:p>
            <w:pPr>
              <w:pStyle w:val="Compact"/>
              <w:jc w:val="left"/>
            </w:pPr>
            <w:r>
              <w:t xml:space="preserve">Supportive climate; enforcement will persist → sustained demand</w:t>
            </w:r>
          </w:p>
        </w:tc>
      </w:tr>
      <w:tr>
        <w:tc>
          <w:tcPr/>
          <w:p>
            <w:pPr>
              <w:pStyle w:val="Compact"/>
              <w:jc w:val="left"/>
            </w:pPr>
            <w:r>
              <w:t xml:space="preserve">Economic</w:t>
            </w:r>
          </w:p>
        </w:tc>
        <w:tc>
          <w:tcPr/>
          <w:p>
            <w:pPr>
              <w:pStyle w:val="Compact"/>
              <w:jc w:val="left"/>
            </w:pPr>
            <w:r>
              <w:t xml:space="preserve">1.4M businesses, +250k in 2025 (Arab News); UAE VC $1.2B in H1 2026 = 70% of MENA (MAGNiTT/Wamda)</w:t>
            </w:r>
          </w:p>
        </w:tc>
        <w:tc>
          <w:tcPr/>
          <w:p>
            <w:pPr>
              <w:pStyle w:val="Compact"/>
              <w:jc w:val="left"/>
            </w:pPr>
            <w:r>
              <w:t xml:space="preserve">Growing customer base; fundable environment</w:t>
            </w:r>
          </w:p>
        </w:tc>
      </w:tr>
      <w:tr>
        <w:tc>
          <w:tcPr/>
          <w:p>
            <w:pPr>
              <w:pStyle w:val="Compact"/>
              <w:jc w:val="left"/>
            </w:pPr>
            <w:r>
              <w:t xml:space="preserve">Social</w:t>
            </w:r>
          </w:p>
        </w:tc>
        <w:tc>
          <w:tcPr/>
          <w:p>
            <w:pPr>
              <w:pStyle w:val="Compact"/>
              <w:jc w:val="left"/>
            </w:pPr>
            <w:r>
              <w:t xml:space="preserve">English/Arabic bilingual market; high SME digital adoption; compliance anxiety</w:t>
            </w:r>
          </w:p>
        </w:tc>
        <w:tc>
          <w:tcPr/>
          <w:p>
            <w:pPr>
              <w:pStyle w:val="Compact"/>
              <w:jc w:val="left"/>
            </w:pPr>
            <w:r>
              <w:t xml:space="preserve">English-first viable at launch; Arabic needed for depth; trust-centred design</w:t>
            </w:r>
          </w:p>
        </w:tc>
      </w:tr>
      <w:tr>
        <w:tc>
          <w:tcPr/>
          <w:p>
            <w:pPr>
              <w:pStyle w:val="Compact"/>
              <w:jc w:val="left"/>
            </w:pPr>
            <w:r>
              <w:t xml:space="preserve">Technological</w:t>
            </w:r>
          </w:p>
        </w:tc>
        <w:tc>
          <w:tcPr/>
          <w:p>
            <w:pPr>
              <w:pStyle w:val="Compact"/>
              <w:jc w:val="left"/>
            </w:pPr>
            <w:r>
              <w:t xml:space="preserve">Capable LLM/vision APIs; falling inference costs; documented hallucination rates (Stanford 2025)</w:t>
            </w:r>
          </w:p>
        </w:tc>
        <w:tc>
          <w:tcPr/>
          <w:p>
            <w:pPr>
              <w:pStyle w:val="Compact"/>
              <w:jc w:val="left"/>
            </w:pPr>
            <w:r>
              <w:t xml:space="preserve">Feasible now; accuracy is the differentiator, abstention the necessity</w:t>
            </w:r>
          </w:p>
        </w:tc>
      </w:tr>
      <w:tr>
        <w:tc>
          <w:tcPr/>
          <w:p>
            <w:pPr>
              <w:pStyle w:val="Compact"/>
              <w:jc w:val="left"/>
            </w:pPr>
            <w:r>
              <w:t xml:space="preserve">Legal</w:t>
            </w:r>
          </w:p>
        </w:tc>
        <w:tc>
          <w:tcPr/>
          <w:p>
            <w:pPr>
              <w:pStyle w:val="Compact"/>
              <w:jc w:val="left"/>
            </w:pPr>
            <w:r>
              <w:t xml:space="preserve">New CT regime (47/2022), VAT (8/2017), e-invoicing MDs 243/244 of 2025, PDPL 45/2021</w:t>
            </w:r>
          </w:p>
        </w:tc>
        <w:tc>
          <w:tcPr/>
          <w:p>
            <w:pPr>
              <w:pStyle w:val="Compact"/>
              <w:jc w:val="left"/>
            </w:pPr>
            <w:r>
              <w:t xml:space="preserve">Regulation is simultaneously our market driver, our content, and our compliance duty</w:t>
            </w:r>
          </w:p>
        </w:tc>
      </w:tr>
      <w:tr>
        <w:tc>
          <w:tcPr/>
          <w:p>
            <w:pPr>
              <w:pStyle w:val="Compact"/>
              <w:jc w:val="left"/>
            </w:pPr>
            <w:r>
              <w:t xml:space="preserve">Environmental</w:t>
            </w:r>
          </w:p>
        </w:tc>
        <w:tc>
          <w:tcPr/>
          <w:p>
            <w:pPr>
              <w:pStyle w:val="Compact"/>
              <w:jc w:val="left"/>
            </w:pPr>
            <w:r>
              <w:t xml:space="preserve">Minor cloud footprint</w:t>
            </w:r>
          </w:p>
        </w:tc>
        <w:tc>
          <w:tcPr/>
          <w:p>
            <w:pPr>
              <w:pStyle w:val="Compact"/>
              <w:jc w:val="left"/>
            </w:pPr>
            <w:r>
              <w:t xml:space="preserve">Immaterial at this stage; no green claims</w:t>
            </w:r>
          </w:p>
        </w:tc>
      </w:tr>
    </w:tbl>
    <w:bookmarkEnd w:id="82"/>
    <w:bookmarkStart w:id="83" w:name="porters-five-forces"/>
    <w:p>
      <w:pPr>
        <w:pStyle w:val="Heading2"/>
      </w:pPr>
      <w:r>
        <w:t xml:space="preserve">Porter’s Five Forces</w:t>
      </w:r>
    </w:p>
    <w:p>
      <w:pPr>
        <w:numPr>
          <w:ilvl w:val="0"/>
          <w:numId w:val="1009"/>
        </w:numPr>
        <w:pStyle w:val="Compact"/>
      </w:pPr>
      <w:r>
        <w:rPr>
          <w:bCs/>
          <w:b/>
        </w:rPr>
        <w:t xml:space="preserve">Rivalry among existing competitors — moderate-to-high.</w:t>
      </w:r>
      <w:r>
        <w:t xml:space="preserve"> </w:t>
      </w:r>
      <w:r>
        <w:t xml:space="preserve">Wafeq, Zoho, Tax Star and services firms compete vigorously on filing and bookkeeping; but none currently competes on cited legal Q&amp;A (verified), so rivalry in our exact niche is presently low while rivalry in the adjacent category is high.</w:t>
      </w:r>
    </w:p>
    <w:p>
      <w:pPr>
        <w:numPr>
          <w:ilvl w:val="0"/>
          <w:numId w:val="1009"/>
        </w:numPr>
        <w:pStyle w:val="Compact"/>
      </w:pPr>
      <w:r>
        <w:rPr>
          <w:bCs/>
          <w:b/>
        </w:rPr>
        <w:t xml:space="preserve">Threat of new entrants — high.</w:t>
      </w:r>
      <w:r>
        <w:t xml:space="preserve"> </w:t>
      </w:r>
      <w:r>
        <w:t xml:space="preserve">Building a basic RAG chatbot is cheap; the barriers (accuracy discipline, legal corpus engineering, trust, accountant relationships) are real but not prohibitive. We assume entry will happen and plan to compete on measured accuracy and channel.</w:t>
      </w:r>
    </w:p>
    <w:p>
      <w:pPr>
        <w:numPr>
          <w:ilvl w:val="0"/>
          <w:numId w:val="1009"/>
        </w:numPr>
        <w:pStyle w:val="Compact"/>
      </w:pPr>
      <w:r>
        <w:rPr>
          <w:bCs/>
          <w:b/>
        </w:rPr>
        <w:t xml:space="preserve">Threat of substitutes — high.</w:t>
      </w:r>
      <w:r>
        <w:t xml:space="preserve"> </w:t>
      </w:r>
      <w:r>
        <w:t xml:space="preserve">Free substitutes exist: FTA guides and AI services, general chatbots,</w:t>
      </w:r>
      <w:r>
        <w:t xml:space="preserve"> </w:t>
      </w:r>
      <w:r>
        <w:t xml:space="preserve">“</w:t>
      </w:r>
      <w:r>
        <w:t xml:space="preserve">ask my accountant,</w:t>
      </w:r>
      <w:r>
        <w:t xml:space="preserve">”</w:t>
      </w:r>
      <w:r>
        <w:t xml:space="preserve"> </w:t>
      </w:r>
      <w:r>
        <w:t xml:space="preserve">and doing nothing. This caps pricing and demands a clearly better job-to-be-done, which is why workflow features (invoice checking, audit trails) matter beyond chat.</w:t>
      </w:r>
    </w:p>
    <w:p>
      <w:pPr>
        <w:numPr>
          <w:ilvl w:val="0"/>
          <w:numId w:val="1009"/>
        </w:numPr>
        <w:pStyle w:val="Compact"/>
      </w:pPr>
      <w:r>
        <w:rPr>
          <w:bCs/>
          <w:b/>
        </w:rPr>
        <w:t xml:space="preserve">Bargaining power of suppliers — moderate.</w:t>
      </w:r>
      <w:r>
        <w:t xml:space="preserve"> </w:t>
      </w:r>
      <w:r>
        <w:t xml:space="preserve">We depend on one LLM API provider (Google Gemini) among a competitive set of substitutes (OpenAI, Anthropic, open models); switching is feasible by design (Section 9), keeping supplier power in check but non-trivial.</w:t>
      </w:r>
    </w:p>
    <w:p>
      <w:pPr>
        <w:numPr>
          <w:ilvl w:val="0"/>
          <w:numId w:val="1009"/>
        </w:numPr>
        <w:pStyle w:val="Compact"/>
      </w:pPr>
      <w:r>
        <w:rPr>
          <w:bCs/>
          <w:b/>
        </w:rPr>
        <w:t xml:space="preserve">Bargaining power of customers — moderate.</w:t>
      </w:r>
      <w:r>
        <w:t xml:space="preserve"> </w:t>
      </w:r>
      <w:r>
        <w:t xml:space="preserve">Customers are many and small (no single buyer power), but switching costs are low and free alternatives anchor expectations, giving customers effective power over price.</w:t>
      </w:r>
    </w:p>
    <w:p>
      <w:pPr>
        <w:pStyle w:val="FirstParagraph"/>
      </w:pPr>
      <w:r>
        <w:rPr>
          <w:bCs/>
          <w:b/>
        </w:rPr>
        <w:t xml:space="preserve">Conclusion on attractiveness:</w:t>
      </w:r>
      <w:r>
        <w:t xml:space="preserve"> </w:t>
      </w:r>
      <w:r>
        <w:t xml:space="preserve">the industry is attractive for a differentiated niche player and unattractive for undifferentiated chat products. Low current rivalry in the niche is temporary; the venture’s economics must work before incumbents respond (Sections 6, 17).</w:t>
      </w:r>
    </w:p>
    <w:bookmarkEnd w:id="83"/>
    <w:bookmarkStart w:id="84" w:name="industry-lifecycle-analysis"/>
    <w:p>
      <w:pPr>
        <w:pStyle w:val="Heading2"/>
      </w:pPr>
      <w:r>
        <w:t xml:space="preserve">Industry lifecycle analysis</w:t>
      </w:r>
    </w:p>
    <w:p>
      <w:pPr>
        <w:pStyle w:val="FirstParagraph"/>
      </w:pPr>
      <w:r>
        <w:t xml:space="preserve">UAE tax-compliance software is an</w:t>
      </w:r>
      <w:r>
        <w:t xml:space="preserve"> </w:t>
      </w:r>
      <w:r>
        <w:rPr>
          <w:bCs/>
          <w:b/>
        </w:rPr>
        <w:t xml:space="preserve">emerging-to-growth stage industry</w:t>
      </w:r>
      <w:r>
        <w:t xml:space="preserve">: the underlying obligation is under three years old, registration inflows remain large (245k CT applications in 2025), the vendor ecosystem is still forming (41 accredited vendors; first partnerships like Tax Star–Wafeq), and no dominant design for AI-assisted compliance has settled. Strategic implication: share is won now by category definition and trust, not by price wars; and standards (e-invoicing ASP ecosystem) will shape who wins — hence our roadmap keys to those dates. This is the industry lifecycle, distinct from our product’s own lifecycle (MVP stage).</w:t>
      </w:r>
    </w:p>
    <w:bookmarkEnd w:id="84"/>
    <w:bookmarkStart w:id="85" w:name="market-trend-analysis"/>
    <w:p>
      <w:pPr>
        <w:pStyle w:val="Heading2"/>
      </w:pPr>
      <w:r>
        <w:t xml:space="preserve">Market trend analysis</w:t>
      </w:r>
    </w:p>
    <w:p>
      <w:pPr>
        <w:pStyle w:val="FirstParagraph"/>
      </w:pPr>
      <w:r>
        <w:t xml:space="preserve">Historical: 2018 VAT introduction seeded the compliance-software market; 2023–2025 CT registration expanded it dramatically (651k registrants by Sept 2025). Current: registration transactions +20% YoY; incumbents adding AI; VC funding UAE-concentrated ($1.2B H1 2026, 70% of MENA — MAGNiTT/Wamda; fintech the #1 sector at $4.4B in FY2025, enterprise AI #3 in Q2 2026). Expected: the 2026–2027 e-invoicing phases pull every SME into digital tax workflows on a legislated timetable. Cause: state fiscal strategy. Implication: demand is regulation-driven and therefore unusually predictable in timing; our assumptions and sources are stated with each figure.</w:t>
      </w:r>
    </w:p>
    <w:bookmarkEnd w:id="85"/>
    <w:bookmarkStart w:id="86" w:name="Xb3c9ad830081af67fd2341299e6ea1dd18cbd90"/>
    <w:p>
      <w:pPr>
        <w:pStyle w:val="Heading2"/>
      </w:pPr>
      <w:r>
        <w:t xml:space="preserve">Overall market versus reachable market — TAM, SAM, SOM</w:t>
      </w:r>
    </w:p>
    <w:p>
      <w:pPr>
        <w:pStyle w:val="FirstParagraph"/>
      </w:pPr>
      <w:r>
        <w:t xml:space="preserve">All figures in AED, 2025–26 basis, UAE geography; the value-per-customer basis is Mizan’s Pro list price (AED 149 × 12 = AED 1,788/company/year).</w:t>
      </w:r>
    </w:p>
    <w:p>
      <w:pPr>
        <w:pStyle w:val="BodyText"/>
      </w:pPr>
      <w:r>
        <w:rPr>
          <w:bCs/>
          <w:b/>
        </w:rPr>
        <w:t xml:space="preserve">TAM — Total Addressable Market.</w:t>
      </w:r>
      <w:r>
        <w:t xml:space="preserve"> </w:t>
      </w:r>
      <w:r>
        <w:t xml:space="preserve">If every CT-registered business used a Mizan-class product: 651,000 registrants × AED 1,788 ≈</w:t>
      </w:r>
      <w:r>
        <w:t xml:space="preserve"> </w:t>
      </w:r>
      <w:r>
        <w:rPr>
          <w:bCs/>
          <w:b/>
        </w:rPr>
        <w:t xml:space="preserve">AED 1.16 billion per year</w:t>
      </w:r>
      <w:r>
        <w:t xml:space="preserve">. (Population source: FTA via Gulf News, Sept 2025. We use registrants, not the 1.4M total businesses, because registrants demonstrably carry the obligation.)</w:t>
      </w:r>
    </w:p>
    <w:p>
      <w:pPr>
        <w:pStyle w:val="BodyText"/>
      </w:pPr>
      <w:r>
        <w:rPr>
          <w:bCs/>
          <w:b/>
        </w:rPr>
        <w:t xml:space="preserve">SAM — Serviceable Available Market.</w:t>
      </w:r>
      <w:r>
        <w:t xml:space="preserve"> </w:t>
      </w:r>
      <w:r>
        <w:t xml:space="preserve">We exclude what we cannot serve at launch, with explicit assumptions: (a) firms ≥ AED 50M revenue (enterprise processes; e-invoicing Phase 1 cohort) —</w:t>
      </w:r>
      <w:r>
        <w:t xml:space="preserve"> </w:t>
      </w:r>
      <w:r>
        <w:rPr>
          <w:bCs/>
          <w:b/>
        </w:rPr>
        <w:t xml:space="preserve">assume 90% of registrants fall below the line</w:t>
      </w:r>
      <w:r>
        <w:t xml:space="preserve"> </w:t>
      </w:r>
      <w:r>
        <w:t xml:space="preserve">(assumption; the FTA does not publish this split — consistent with the SME-dominant structure of the 1.4M-business economy); (b) firms unwilling to use any software for compliance —</w:t>
      </w:r>
      <w:r>
        <w:t xml:space="preserve"> </w:t>
      </w:r>
      <w:r>
        <w:rPr>
          <w:bCs/>
          <w:b/>
        </w:rPr>
        <w:t xml:space="preserve">assume 40% of the remainder are active software users reachable by a digital product</w:t>
      </w:r>
      <w:r>
        <w:t xml:space="preserve"> </w:t>
      </w:r>
      <w:r>
        <w:t xml:space="preserve">(conservative assumption anchored on mainstream cloud-accounting adoption; direct UAE penetration data is not published). SAM ≈ 651,000 × 0.90 × 0.40 ≈</w:t>
      </w:r>
      <w:r>
        <w:t xml:space="preserve"> </w:t>
      </w:r>
      <w:r>
        <w:rPr>
          <w:bCs/>
          <w:b/>
        </w:rPr>
        <w:t xml:space="preserve">234,000 companies ≈ AED 420M per year</w:t>
      </w:r>
      <w:r>
        <w:t xml:space="preserve">. English-only launch further narrows the early reachable pool; we absorb this in the SOM rather than double-discounting.</w:t>
      </w:r>
    </w:p>
    <w:p>
      <w:pPr>
        <w:pStyle w:val="BodyText"/>
      </w:pPr>
      <w:r>
        <w:rPr>
          <w:bCs/>
          <w:b/>
        </w:rPr>
        <w:t xml:space="preserve">SOM — Serviceable Obtainable Market (year 1 of commercial operation, calendar 2027).</w:t>
      </w:r>
      <w:r>
        <w:t xml:space="preserve"> </w:t>
      </w:r>
      <w:r>
        <w:t xml:space="preserve">Bottom-up from capacity, not ambition: with a 3-founder team, AED 3,000/month marketing, founder-led sales and an assumed 4% free-to-paid conversion (Section 11), we target</w:t>
      </w:r>
      <w:r>
        <w:t xml:space="preserve"> </w:t>
      </w:r>
      <w:r>
        <w:rPr>
          <w:bCs/>
          <w:b/>
        </w:rPr>
        <w:t xml:space="preserve">500 paying companies by December 2027</w:t>
      </w:r>
      <w:r>
        <w:t xml:space="preserve"> </w:t>
      </w:r>
      <w:r>
        <w:t xml:space="preserve">— that is 500 ÷ 651,000 =</w:t>
      </w:r>
      <w:r>
        <w:t xml:space="preserve"> </w:t>
      </w:r>
      <w:r>
        <w:rPr>
          <w:bCs/>
          <w:b/>
        </w:rPr>
        <w:t xml:space="preserve">0.08% of CT registrants</w:t>
      </w:r>
      <w:r>
        <w:t xml:space="preserve">, or ~0.2% of SAM. At the blended effective ARPU of AED 178/month (Section 15), that is ~AED 89,000 MRR ≈</w:t>
      </w:r>
      <w:r>
        <w:t xml:space="preserve"> </w:t>
      </w:r>
      <w:r>
        <w:rPr>
          <w:bCs/>
          <w:b/>
        </w:rPr>
        <w:t xml:space="preserve">AED 1.07M annualised</w:t>
      </w:r>
      <w:r>
        <w:t xml:space="preserve"> </w:t>
      </w:r>
      <w:r>
        <w:t xml:space="preserve">exiting 2027. The same 500-customer figure drives the financial plan (Section 15) and the funnel math (Section 11); the three-scenario range (250 / 500 / 900) brackets the uncertainty.</w:t>
      </w:r>
    </w:p>
    <w:bookmarkEnd w:id="86"/>
    <w:bookmarkEnd w:id="87"/>
    <w:bookmarkStart w:id="95" w:name="section-6-competitor-analysis"/>
    <w:p>
      <w:pPr>
        <w:pStyle w:val="Heading1"/>
      </w:pPr>
      <w:r>
        <w:t xml:space="preserve">Section 6: Competitor Analysis</w:t>
      </w:r>
    </w:p>
    <w:bookmarkStart w:id="88" w:name="competitor-selection"/>
    <w:p>
      <w:pPr>
        <w:pStyle w:val="Heading2"/>
      </w:pPr>
      <w:r>
        <w:t xml:space="preserve">Competitor selection</w:t>
      </w:r>
    </w:p>
    <w:p>
      <w:pPr>
        <w:pStyle w:val="FirstParagraph"/>
      </w:pPr>
      <w:r>
        <w:t xml:space="preserve">We analyse six meaningful alternatives spanning direct competitors, indirect competitors, the manual alternative and the</w:t>
      </w:r>
      <w:r>
        <w:t xml:space="preserve"> </w:t>
      </w:r>
      <w:r>
        <w:t xml:space="preserve">“</w:t>
      </w:r>
      <w:r>
        <w:t xml:space="preserve">do nothing</w:t>
      </w:r>
      <w:r>
        <w:t xml:space="preserve">”</w:t>
      </w:r>
      <w:r>
        <w:t xml:space="preserve"> </w:t>
      </w:r>
      <w:r>
        <w:t xml:space="preserve">option — all verified against vendor pages and primary sources in July 2026:</w:t>
      </w:r>
    </w:p>
    <w:p>
      <w:pPr>
        <w:numPr>
          <w:ilvl w:val="0"/>
          <w:numId w:val="1010"/>
        </w:numPr>
        <w:pStyle w:val="Compact"/>
      </w:pPr>
      <w:r>
        <w:rPr>
          <w:bCs/>
          <w:b/>
        </w:rPr>
        <w:t xml:space="preserve">Wafeq</w:t>
      </w:r>
      <w:r>
        <w:t xml:space="preserve"> </w:t>
      </w:r>
      <w:r>
        <w:t xml:space="preserve">— the strongest regional accounting-software incumbent; FTA-accredited (one of 41), claims 15k+ business customers and 2M+ invoices/month (vendor figures, unaudited).</w:t>
      </w:r>
    </w:p>
    <w:p>
      <w:pPr>
        <w:numPr>
          <w:ilvl w:val="0"/>
          <w:numId w:val="1010"/>
        </w:numPr>
        <w:pStyle w:val="Compact"/>
      </w:pPr>
      <w:r>
        <w:rPr>
          <w:bCs/>
          <w:b/>
        </w:rPr>
        <w:t xml:space="preserve">Zoho Books UAE</w:t>
      </w:r>
      <w:r>
        <w:t xml:space="preserve"> </w:t>
      </w:r>
      <w:r>
        <w:t xml:space="preserve">— global incumbent with deep local rails: Zia AI assistant, verified direct VAT filing into EmaraTax, CT module.</w:t>
      </w:r>
    </w:p>
    <w:p>
      <w:pPr>
        <w:numPr>
          <w:ilvl w:val="0"/>
          <w:numId w:val="1010"/>
        </w:numPr>
        <w:pStyle w:val="Compact"/>
      </w:pPr>
      <w:r>
        <w:rPr>
          <w:bCs/>
          <w:b/>
        </w:rPr>
        <w:t xml:space="preserve">Tax Star</w:t>
      </w:r>
      <w:r>
        <w:t xml:space="preserve"> </w:t>
      </w:r>
      <w:r>
        <w:t xml:space="preserve">(taxstar.app, Dubai) — the closest AI-native direct competitor:</w:t>
      </w:r>
      <w:r>
        <w:t xml:space="preserve"> </w:t>
      </w:r>
      <w:r>
        <w:t xml:space="preserve">“</w:t>
      </w:r>
      <w:r>
        <w:t xml:space="preserve">UAE’s first AI-powered corporate tax software,</w:t>
      </w:r>
      <w:r>
        <w:t xml:space="preserve">”</w:t>
      </w:r>
      <w:r>
        <w:t xml:space="preserve"> </w:t>
      </w:r>
      <w:r>
        <w:t xml:space="preserve">free below AED 3M revenue, AED 500–1,000/year paid tiers, partnership announced with Wafeq.</w:t>
      </w:r>
    </w:p>
    <w:p>
      <w:pPr>
        <w:numPr>
          <w:ilvl w:val="0"/>
          <w:numId w:val="1010"/>
        </w:numPr>
        <w:pStyle w:val="Compact"/>
      </w:pPr>
      <w:r>
        <w:rPr>
          <w:bCs/>
          <w:b/>
        </w:rPr>
        <w:t xml:space="preserve">Virtuzone</w:t>
      </w:r>
      <w:r>
        <w:rPr>
          <w:bCs/>
          <w:b/>
        </w:rPr>
        <w:t xml:space="preserve"> </w:t>
      </w:r>
      <w:r>
        <w:rPr>
          <w:bCs/>
          <w:b/>
        </w:rPr>
        <w:t xml:space="preserve">“</w:t>
      </w:r>
      <w:r>
        <w:rPr>
          <w:bCs/>
          <w:b/>
        </w:rPr>
        <w:t xml:space="preserve">TaxGPT</w:t>
      </w:r>
      <w:r>
        <w:rPr>
          <w:bCs/>
          <w:b/>
        </w:rPr>
        <w:t xml:space="preserve">”</w:t>
      </w:r>
      <w:r>
        <w:t xml:space="preserve"> </w:t>
      </w:r>
      <w:r>
        <w:t xml:space="preserve">(2023) — free GPT-4 tax chatbot used as lead generation for Virtuzone’s services; no citation discipline.</w:t>
      </w:r>
    </w:p>
    <w:p>
      <w:pPr>
        <w:numPr>
          <w:ilvl w:val="0"/>
          <w:numId w:val="1010"/>
        </w:numPr>
        <w:pStyle w:val="Compact"/>
      </w:pPr>
      <w:r>
        <w:rPr>
          <w:bCs/>
          <w:b/>
        </w:rPr>
        <w:t xml:space="preserve">Finanshels / HalaTax</w:t>
      </w:r>
      <w:r>
        <w:t xml:space="preserve"> </w:t>
      </w:r>
      <w:r>
        <w:t xml:space="preserve">— AI-driven CT filing portal with WhatsApp registration bot; the closest AI-native SME filing play.</w:t>
      </w:r>
    </w:p>
    <w:p>
      <w:pPr>
        <w:numPr>
          <w:ilvl w:val="0"/>
          <w:numId w:val="1010"/>
        </w:numPr>
        <w:pStyle w:val="Compact"/>
      </w:pPr>
      <w:r>
        <w:rPr>
          <w:bCs/>
          <w:b/>
        </w:rPr>
        <w:t xml:space="preserve">Outsourced accountants / tax agents and</w:t>
      </w:r>
      <w:r>
        <w:rPr>
          <w:bCs/>
          <w:b/>
        </w:rPr>
        <w:t xml:space="preserve"> </w:t>
      </w:r>
      <w:r>
        <w:rPr>
          <w:bCs/>
          <w:b/>
        </w:rPr>
        <w:t xml:space="preserve">“</w:t>
      </w:r>
      <w:r>
        <w:rPr>
          <w:bCs/>
          <w:b/>
        </w:rPr>
        <w:t xml:space="preserve">do nothing</w:t>
      </w:r>
      <w:r>
        <w:rPr>
          <w:bCs/>
          <w:b/>
        </w:rPr>
        <w:t xml:space="preserve">”</w:t>
      </w:r>
      <w:r>
        <w:t xml:space="preserve"> </w:t>
      </w:r>
      <w:r>
        <w:t xml:space="preserve">— the incumbent human alternative (AED 800–1,700+/month; 806 registered agents) and the default of guessing, whose cost the ~91,000-firm penalty-waiver cohort documents.</w:t>
      </w:r>
    </w:p>
    <w:p>
      <w:pPr>
        <w:pStyle w:val="FirstParagraph"/>
      </w:pPr>
      <w:r>
        <w:t xml:space="preserve">(We identified uaetaxai.com as a possible seventh but could not verify a functioning product; it is excluded rather than cited.)</w:t>
      </w:r>
    </w:p>
    <w:bookmarkEnd w:id="88"/>
    <w:bookmarkStart w:id="89" w:name="comparison-matrix"/>
    <w:p>
      <w:pPr>
        <w:pStyle w:val="Heading2"/>
      </w:pPr>
      <w:r>
        <w:t xml:space="preserve">Comparison matrix</w:t>
      </w:r>
    </w:p>
    <w:p>
      <w:pPr>
        <w:pStyle w:val="FirstParagraph"/>
      </w:pPr>
      <w:r>
        <w:t xml:space="preserve">Factors chosen for their weight in customer choice (trust, price, workflow fit), not for flattering Mizan: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Factor</w:t>
            </w:r>
          </w:p>
        </w:tc>
        <w:tc>
          <w:tcPr/>
          <w:p>
            <w:pPr>
              <w:pStyle w:val="Compact"/>
              <w:jc w:val="left"/>
            </w:pPr>
            <w:r>
              <w:t xml:space="preserve">Wafeq</w:t>
            </w:r>
          </w:p>
        </w:tc>
        <w:tc>
          <w:tcPr/>
          <w:p>
            <w:pPr>
              <w:pStyle w:val="Compact"/>
              <w:jc w:val="left"/>
            </w:pPr>
            <w:r>
              <w:t xml:space="preserve">Zoho Books UAE</w:t>
            </w:r>
          </w:p>
        </w:tc>
        <w:tc>
          <w:tcPr/>
          <w:p>
            <w:pPr>
              <w:pStyle w:val="Compact"/>
              <w:jc w:val="left"/>
            </w:pPr>
            <w:r>
              <w:t xml:space="preserve">Tax Star</w:t>
            </w:r>
          </w:p>
        </w:tc>
        <w:tc>
          <w:tcPr/>
          <w:p>
            <w:pPr>
              <w:pStyle w:val="Compact"/>
              <w:jc w:val="left"/>
            </w:pPr>
            <w:r>
              <w:t xml:space="preserve">Virtuzone TaxGPT</w:t>
            </w:r>
          </w:p>
        </w:tc>
        <w:tc>
          <w:tcPr/>
          <w:p>
            <w:pPr>
              <w:pStyle w:val="Compact"/>
              <w:jc w:val="left"/>
            </w:pPr>
            <w:r>
              <w:t xml:space="preserve">Finanshels/HalaTax</w:t>
            </w:r>
          </w:p>
        </w:tc>
        <w:tc>
          <w:tcPr/>
          <w:p>
            <w:pPr>
              <w:pStyle w:val="Compact"/>
              <w:jc w:val="left"/>
            </w:pPr>
            <w:r>
              <w:t xml:space="preserve">Outsourced accountant</w:t>
            </w:r>
          </w:p>
        </w:tc>
        <w:tc>
          <w:tcPr/>
          <w:p>
            <w:pPr>
              <w:pStyle w:val="Compact"/>
              <w:jc w:val="left"/>
            </w:pPr>
            <w:r>
              <w:rPr>
                <w:bCs/>
                <w:b/>
              </w:rPr>
              <w:t xml:space="preserve">Mizan (MVP)</w:t>
            </w:r>
          </w:p>
        </w:tc>
      </w:tr>
      <w:tr>
        <w:tc>
          <w:tcPr/>
          <w:p>
            <w:pPr>
              <w:pStyle w:val="Compact"/>
              <w:jc w:val="left"/>
            </w:pPr>
            <w:r>
              <w:t xml:space="preserve">Cited legal Q&amp;A over UAE tax law</w:t>
            </w:r>
          </w:p>
        </w:tc>
        <w:tc>
          <w:tcPr/>
          <w:p>
            <w:pPr>
              <w:pStyle w:val="Compact"/>
              <w:jc w:val="left"/>
            </w:pPr>
            <w:r>
              <w:t xml:space="preserve">No (confirmed absent)</w:t>
            </w:r>
          </w:p>
        </w:tc>
        <w:tc>
          <w:tcPr/>
          <w:p>
            <w:pPr>
              <w:pStyle w:val="Compact"/>
              <w:jc w:val="left"/>
            </w:pPr>
            <w:r>
              <w:t xml:space="preserve">No (confirmed absent)</w:t>
            </w:r>
          </w:p>
        </w:tc>
        <w:tc>
          <w:tcPr/>
          <w:p>
            <w:pPr>
              <w:pStyle w:val="Compact"/>
              <w:jc w:val="left"/>
            </w:pPr>
            <w:r>
              <w:t xml:space="preserve">No — filing software</w:t>
            </w:r>
          </w:p>
        </w:tc>
        <w:tc>
          <w:tcPr/>
          <w:p>
            <w:pPr>
              <w:pStyle w:val="Compact"/>
              <w:jc w:val="left"/>
            </w:pPr>
            <w:r>
              <w:t xml:space="preserve">Uncited chat</w:t>
            </w:r>
          </w:p>
        </w:tc>
        <w:tc>
          <w:tcPr/>
          <w:p>
            <w:pPr>
              <w:pStyle w:val="Compact"/>
              <w:jc w:val="left"/>
            </w:pPr>
            <w:r>
              <w:t xml:space="preserve">No — filing portal</w:t>
            </w:r>
          </w:p>
        </w:tc>
        <w:tc>
          <w:tcPr/>
          <w:p>
            <w:pPr>
              <w:pStyle w:val="Compact"/>
              <w:jc w:val="left"/>
            </w:pPr>
            <w:r>
              <w:t xml:space="preserve">Yes (verbal, slow)</w:t>
            </w:r>
          </w:p>
        </w:tc>
        <w:tc>
          <w:tcPr/>
          <w:p>
            <w:pPr>
              <w:pStyle w:val="Compact"/>
              <w:jc w:val="left"/>
            </w:pPr>
            <w:r>
              <w:rPr>
                <w:bCs/>
                <w:b/>
              </w:rPr>
              <w:t xml:space="preserve">Yes, with [doc/Article] chips</w:t>
            </w:r>
          </w:p>
        </w:tc>
      </w:tr>
      <w:tr>
        <w:tc>
          <w:tcPr/>
          <w:p>
            <w:pPr>
              <w:pStyle w:val="Compact"/>
              <w:jc w:val="left"/>
            </w:pPr>
            <w:r>
              <w:t xml:space="preserve">Abstains when law unclear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w:t>
            </w:r>
          </w:p>
        </w:tc>
        <w:tc>
          <w:tcPr/>
          <w:p>
            <w:pPr>
              <w:pStyle w:val="Compact"/>
              <w:jc w:val="left"/>
            </w:pPr>
            <w:r>
              <w:t xml:space="preserve">Yes</w:t>
            </w:r>
          </w:p>
        </w:tc>
        <w:tc>
          <w:tcPr/>
          <w:p>
            <w:pPr>
              <w:pStyle w:val="Compact"/>
              <w:jc w:val="left"/>
            </w:pPr>
            <w:r>
              <w:rPr>
                <w:bCs/>
                <w:b/>
              </w:rPr>
              <w:t xml:space="preserve">Yes (</w:t>
            </w:r>
            <w:r>
              <w:rPr>
                <w:bCs/>
                <w:b/>
              </w:rPr>
              <w:t xml:space="preserve">“</w:t>
            </w:r>
            <w:r>
              <w:rPr>
                <w:bCs/>
                <w:b/>
              </w:rPr>
              <w:t xml:space="preserve">Declined to guess</w:t>
            </w:r>
            <w:r>
              <w:rPr>
                <w:bCs/>
                <w:b/>
              </w:rPr>
              <w:t xml:space="preserve">”</w:t>
            </w:r>
            <w:r>
              <w:rPr>
                <w:bCs/>
                <w:b/>
              </w:rPr>
              <w:t xml:space="preserve">)</w:t>
            </w:r>
          </w:p>
        </w:tc>
      </w:tr>
      <w:tr>
        <w:tc>
          <w:tcPr/>
          <w:p>
            <w:pPr>
              <w:pStyle w:val="Compact"/>
              <w:jc w:val="left"/>
            </w:pPr>
            <w:r>
              <w:t xml:space="preserve">Bookkeeping/filing rails</w:t>
            </w:r>
          </w:p>
        </w:tc>
        <w:tc>
          <w:tcPr/>
          <w:p>
            <w:pPr>
              <w:pStyle w:val="Compact"/>
              <w:jc w:val="left"/>
            </w:pPr>
            <w:r>
              <w:t xml:space="preserve">Yes, FTA-accredited</w:t>
            </w:r>
          </w:p>
        </w:tc>
        <w:tc>
          <w:tcPr/>
          <w:p>
            <w:pPr>
              <w:pStyle w:val="Compact"/>
              <w:jc w:val="left"/>
            </w:pPr>
            <w:r>
              <w:t xml:space="preserve">Yes, EmaraTax direct filing</w:t>
            </w:r>
          </w:p>
        </w:tc>
        <w:tc>
          <w:tcPr/>
          <w:p>
            <w:pPr>
              <w:pStyle w:val="Compact"/>
              <w:jc w:val="left"/>
            </w:pPr>
            <w:r>
              <w:t xml:space="preserve">CT filing</w:t>
            </w:r>
          </w:p>
        </w:tc>
        <w:tc>
          <w:tcPr/>
          <w:p>
            <w:pPr>
              <w:pStyle w:val="Compact"/>
              <w:jc w:val="left"/>
            </w:pPr>
            <w:r>
              <w:t xml:space="preserve">No</w:t>
            </w:r>
          </w:p>
        </w:tc>
        <w:tc>
          <w:tcPr/>
          <w:p>
            <w:pPr>
              <w:pStyle w:val="Compact"/>
              <w:jc w:val="left"/>
            </w:pPr>
            <w:r>
              <w:t xml:space="preserve">CT filing</w:t>
            </w:r>
          </w:p>
        </w:tc>
        <w:tc>
          <w:tcPr/>
          <w:p>
            <w:pPr>
              <w:pStyle w:val="Compact"/>
              <w:jc w:val="left"/>
            </w:pPr>
            <w:r>
              <w:t xml:space="preserve">Via software</w:t>
            </w:r>
          </w:p>
        </w:tc>
        <w:tc>
          <w:tcPr/>
          <w:p>
            <w:pPr>
              <w:pStyle w:val="Compact"/>
              <w:jc w:val="left"/>
            </w:pPr>
            <w:r>
              <w:t xml:space="preserve">No (deliberate — complements)</w:t>
            </w:r>
          </w:p>
        </w:tc>
      </w:tr>
      <w:tr>
        <w:tc>
          <w:tcPr/>
          <w:p>
            <w:pPr>
              <w:pStyle w:val="Compact"/>
              <w:jc w:val="left"/>
            </w:pPr>
            <w:r>
              <w:t xml:space="preserve">Invoice capture/check</w:t>
            </w:r>
          </w:p>
        </w:tc>
        <w:tc>
          <w:tcPr/>
          <w:p>
            <w:pPr>
              <w:pStyle w:val="Compact"/>
              <w:jc w:val="left"/>
            </w:pPr>
            <w:r>
              <w:t xml:space="preserve">AI OCR for bills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Manual</w:t>
            </w:r>
          </w:p>
        </w:tc>
        <w:tc>
          <w:tcPr/>
          <w:p>
            <w:pPr>
              <w:pStyle w:val="Compact"/>
              <w:jc w:val="left"/>
            </w:pPr>
            <w:r>
              <w:rPr>
                <w:bCs/>
                <w:b/>
              </w:rPr>
              <w:t xml:space="preserve">Vision extraction + arithmetic consistency check</w:t>
            </w:r>
          </w:p>
        </w:tc>
      </w:tr>
      <w:tr>
        <w:tc>
          <w:tcPr/>
          <w:p>
            <w:pPr>
              <w:pStyle w:val="Compact"/>
              <w:jc w:val="left"/>
            </w:pPr>
            <w:r>
              <w:t xml:space="preserve">AI type</w:t>
            </w:r>
          </w:p>
        </w:tc>
        <w:tc>
          <w:tcPr/>
          <w:p>
            <w:pPr>
              <w:pStyle w:val="Compact"/>
              <w:jc w:val="left"/>
            </w:pPr>
            <w:r>
              <w:t xml:space="preserve">Bookkeeping AI/OCR</w:t>
            </w:r>
          </w:p>
        </w:tc>
        <w:tc>
          <w:tcPr/>
          <w:p>
            <w:pPr>
              <w:pStyle w:val="Compact"/>
              <w:jc w:val="left"/>
            </w:pPr>
            <w:r>
              <w:t xml:space="preserve">Zia (answers about your books)</w:t>
            </w:r>
          </w:p>
        </w:tc>
        <w:tc>
          <w:tcPr/>
          <w:p>
            <w:pPr>
              <w:pStyle w:val="Compact"/>
              <w:jc w:val="left"/>
            </w:pPr>
            <w:r>
              <w:t xml:space="preserve">“</w:t>
            </w:r>
            <w:r>
              <w:t xml:space="preserve">AI-enabled tax computation</w:t>
            </w:r>
            <w:r>
              <w:t xml:space="preserve">”</w:t>
            </w:r>
          </w:p>
        </w:tc>
        <w:tc>
          <w:tcPr/>
          <w:p>
            <w:pPr>
              <w:pStyle w:val="Compact"/>
              <w:jc w:val="left"/>
            </w:pPr>
            <w:r>
              <w:t xml:space="preserve">Generic GPT-4</w:t>
            </w:r>
          </w:p>
        </w:tc>
        <w:tc>
          <w:tcPr/>
          <w:p>
            <w:pPr>
              <w:pStyle w:val="Compact"/>
              <w:jc w:val="left"/>
            </w:pPr>
            <w:r>
              <w:t xml:space="preserve">AI filing flows</w:t>
            </w:r>
          </w:p>
        </w:tc>
        <w:tc>
          <w:tcPr/>
          <w:p>
            <w:pPr>
              <w:pStyle w:val="Compact"/>
              <w:jc w:val="left"/>
            </w:pPr>
            <w:r>
              <w:t xml:space="preserve">Human</w:t>
            </w:r>
          </w:p>
        </w:tc>
        <w:tc>
          <w:tcPr/>
          <w:p>
            <w:pPr>
              <w:pStyle w:val="Compact"/>
              <w:jc w:val="left"/>
            </w:pPr>
            <w:r>
              <w:rPr>
                <w:bCs/>
                <w:b/>
              </w:rPr>
              <w:t xml:space="preserve">Agentic, law-grounded, audited</w:t>
            </w:r>
          </w:p>
        </w:tc>
      </w:tr>
      <w:tr>
        <w:tc>
          <w:tcPr/>
          <w:p>
            <w:pPr>
              <w:pStyle w:val="Compact"/>
              <w:jc w:val="left"/>
            </w:pPr>
            <w:r>
              <w:t xml:space="preserve">Price (monthly equiv.)</w:t>
            </w:r>
          </w:p>
        </w:tc>
        <w:tc>
          <w:tcPr/>
          <w:p>
            <w:pPr>
              <w:pStyle w:val="Compact"/>
              <w:jc w:val="left"/>
            </w:pPr>
            <w:r>
              <w:t xml:space="preserve">AED 57–249</w:t>
            </w:r>
          </w:p>
        </w:tc>
        <w:tc>
          <w:tcPr/>
          <w:p>
            <w:pPr>
              <w:pStyle w:val="Compact"/>
              <w:jc w:val="left"/>
            </w:pPr>
            <w:r>
              <w:t xml:space="preserve">Free–AED 799</w:t>
            </w:r>
          </w:p>
        </w:tc>
        <w:tc>
          <w:tcPr/>
          <w:p>
            <w:pPr>
              <w:pStyle w:val="Compact"/>
              <w:jc w:val="left"/>
            </w:pPr>
            <w:r>
              <w:t xml:space="preserve">Free–AED 83 (AED 500–1,000/yr)</w:t>
            </w:r>
          </w:p>
        </w:tc>
        <w:tc>
          <w:tcPr/>
          <w:p>
            <w:pPr>
              <w:pStyle w:val="Compact"/>
              <w:jc w:val="left"/>
            </w:pPr>
            <w:r>
              <w:t xml:space="preserve">Free</w:t>
            </w:r>
          </w:p>
        </w:tc>
        <w:tc>
          <w:tcPr/>
          <w:p>
            <w:pPr>
              <w:pStyle w:val="Compact"/>
              <w:jc w:val="left"/>
            </w:pPr>
            <w:r>
              <w:t xml:space="preserve">Service pricing</w:t>
            </w:r>
          </w:p>
        </w:tc>
        <w:tc>
          <w:tcPr/>
          <w:p>
            <w:pPr>
              <w:pStyle w:val="Compact"/>
              <w:jc w:val="left"/>
            </w:pPr>
            <w:r>
              <w:t xml:space="preserve">AED 800–1,700+</w:t>
            </w:r>
          </w:p>
        </w:tc>
        <w:tc>
          <w:tcPr/>
          <w:p>
            <w:pPr>
              <w:pStyle w:val="Compact"/>
              <w:jc w:val="left"/>
            </w:pPr>
            <w:r>
              <w:rPr>
                <w:bCs/>
                <w:b/>
              </w:rPr>
              <w:t xml:space="preserve">Free / 149 / 399</w:t>
            </w:r>
          </w:p>
        </w:tc>
      </w:tr>
      <w:tr>
        <w:tc>
          <w:tcPr/>
          <w:p>
            <w:pPr>
              <w:pStyle w:val="Compact"/>
              <w:jc w:val="left"/>
            </w:pPr>
            <w:r>
              <w:t xml:space="preserve">Human support</w:t>
            </w:r>
          </w:p>
        </w:tc>
        <w:tc>
          <w:tcPr/>
          <w:p>
            <w:pPr>
              <w:pStyle w:val="Compact"/>
              <w:jc w:val="left"/>
            </w:pPr>
            <w:r>
              <w:t xml:space="preserve">Standard SaaS</w:t>
            </w:r>
          </w:p>
        </w:tc>
        <w:tc>
          <w:tcPr/>
          <w:p>
            <w:pPr>
              <w:pStyle w:val="Compact"/>
              <w:jc w:val="left"/>
            </w:pPr>
            <w:r>
              <w:t xml:space="preserve">Standard SaaS</w:t>
            </w:r>
          </w:p>
        </w:tc>
        <w:tc>
          <w:tcPr/>
          <w:p>
            <w:pPr>
              <w:pStyle w:val="Compact"/>
              <w:jc w:val="left"/>
            </w:pPr>
            <w:r>
              <w:t xml:space="preserve">Startup-level</w:t>
            </w:r>
          </w:p>
        </w:tc>
        <w:tc>
          <w:tcPr/>
          <w:p>
            <w:pPr>
              <w:pStyle w:val="Compact"/>
              <w:jc w:val="left"/>
            </w:pPr>
            <w:r>
              <w:t xml:space="preserve">Lead-gen funnel</w:t>
            </w:r>
          </w:p>
        </w:tc>
        <w:tc>
          <w:tcPr/>
          <w:p>
            <w:pPr>
              <w:pStyle w:val="Compact"/>
              <w:jc w:val="left"/>
            </w:pPr>
            <w:r>
              <w:t xml:space="preserve">Service team</w:t>
            </w:r>
          </w:p>
        </w:tc>
        <w:tc>
          <w:tcPr/>
          <w:p>
            <w:pPr>
              <w:pStyle w:val="Compact"/>
              <w:jc w:val="left"/>
            </w:pPr>
            <w:r>
              <w:t xml:space="preserve">Full human</w:t>
            </w:r>
          </w:p>
        </w:tc>
        <w:tc>
          <w:tcPr/>
          <w:p>
            <w:pPr>
              <w:pStyle w:val="Compact"/>
              <w:jc w:val="left"/>
            </w:pPr>
            <w:r>
              <w:t xml:space="preserve">Email + escalation to professionals</w:t>
            </w:r>
          </w:p>
        </w:tc>
      </w:tr>
      <w:tr>
        <w:tc>
          <w:tcPr/>
          <w:p>
            <w:pPr>
              <w:pStyle w:val="Compact"/>
              <w:jc w:val="left"/>
            </w:pPr>
            <w:r>
              <w:t xml:space="preserve">Mobile access</w:t>
            </w:r>
          </w:p>
        </w:tc>
        <w:tc>
          <w:tcPr/>
          <w:p>
            <w:pPr>
              <w:pStyle w:val="Compact"/>
              <w:jc w:val="left"/>
            </w:pPr>
            <w:r>
              <w:t xml:space="preserve">Responsive/apps</w:t>
            </w:r>
          </w:p>
        </w:tc>
        <w:tc>
          <w:tcPr/>
          <w:p>
            <w:pPr>
              <w:pStyle w:val="Compact"/>
              <w:jc w:val="left"/>
            </w:pPr>
            <w:r>
              <w:t xml:space="preserve">Apps</w:t>
            </w:r>
          </w:p>
        </w:tc>
        <w:tc>
          <w:tcPr/>
          <w:p>
            <w:pPr>
              <w:pStyle w:val="Compact"/>
              <w:jc w:val="left"/>
            </w:pPr>
            <w:r>
              <w:t xml:space="preserve">Web</w:t>
            </w:r>
          </w:p>
        </w:tc>
        <w:tc>
          <w:tcPr/>
          <w:p>
            <w:pPr>
              <w:pStyle w:val="Compact"/>
              <w:jc w:val="left"/>
            </w:pPr>
            <w:r>
              <w:t xml:space="preserve">Web</w:t>
            </w:r>
          </w:p>
        </w:tc>
        <w:tc>
          <w:tcPr/>
          <w:p>
            <w:pPr>
              <w:pStyle w:val="Compact"/>
              <w:jc w:val="left"/>
            </w:pPr>
            <w:r>
              <w:t xml:space="preserve">WhatsApp bot</w:t>
            </w:r>
          </w:p>
        </w:tc>
        <w:tc>
          <w:tcPr/>
          <w:p>
            <w:pPr>
              <w:pStyle w:val="Compact"/>
              <w:jc w:val="left"/>
            </w:pPr>
            <w:r>
              <w:t xml:space="preserve">N/A</w:t>
            </w:r>
          </w:p>
        </w:tc>
        <w:tc>
          <w:tcPr/>
          <w:p>
            <w:pPr>
              <w:pStyle w:val="Compact"/>
              <w:jc w:val="left"/>
            </w:pPr>
            <w:r>
              <w:t xml:space="preserve">Responsive web (no native app yet)</w:t>
            </w:r>
          </w:p>
        </w:tc>
      </w:tr>
    </w:tbl>
    <w:p>
      <w:pPr>
        <w:pStyle w:val="BodyText"/>
      </w:pPr>
      <w:r>
        <w:t xml:space="preserve">All prices from vendor pages fetched July 2026, monthly-equivalent AED; free tiers are compared with paid tiers only with that qualification. Ratings of</w:t>
      </w:r>
      <w:r>
        <w:t xml:space="preserve"> </w:t>
      </w:r>
      <w:r>
        <w:t xml:space="preserve">“</w:t>
      </w:r>
      <w:r>
        <w:t xml:space="preserve">confirmed absent</w:t>
      </w:r>
      <w:r>
        <w:t xml:space="preserve">”</w:t>
      </w:r>
      <w:r>
        <w:t xml:space="preserve"> </w:t>
      </w:r>
      <w:r>
        <w:t xml:space="preserve">reflect our product-page verification of 20 Jul 2026, not marketing claims.</w:t>
      </w:r>
    </w:p>
    <w:bookmarkEnd w:id="89"/>
    <w:bookmarkStart w:id="90" w:name="price-comparison-detail"/>
    <w:p>
      <w:pPr>
        <w:pStyle w:val="Heading2"/>
      </w:pPr>
      <w:r>
        <w:t xml:space="preserve">Price comparison detail</w:t>
      </w:r>
    </w:p>
    <w:p>
      <w:pPr>
        <w:numPr>
          <w:ilvl w:val="0"/>
          <w:numId w:val="1011"/>
        </w:numPr>
        <w:pStyle w:val="Compact"/>
      </w:pPr>
      <w:r>
        <w:rPr>
          <w:bCs/>
          <w:b/>
        </w:rPr>
        <w:t xml:space="preserve">Wafeq</w:t>
      </w:r>
      <w:r>
        <w:t xml:space="preserve">: Starter AED 57–69/mo; Plus AED 80–99/mo (adds e-invoicing); Premium AED 200–249/mo; Enterprise custom.</w:t>
      </w:r>
    </w:p>
    <w:p>
      <w:pPr>
        <w:numPr>
          <w:ilvl w:val="0"/>
          <w:numId w:val="1011"/>
        </w:numPr>
        <w:pStyle w:val="Compact"/>
      </w:pPr>
      <w:r>
        <w:rPr>
          <w:bCs/>
          <w:b/>
        </w:rPr>
        <w:t xml:space="preserve">Zoho Books UAE</w:t>
      </w:r>
      <w:r>
        <w:t xml:space="preserve">: Free (&lt; AED 200k revenue); then AED 60–69, 90–129, 120–159, 280–349, 660–799/mo tiers.</w:t>
      </w:r>
    </w:p>
    <w:p>
      <w:pPr>
        <w:numPr>
          <w:ilvl w:val="0"/>
          <w:numId w:val="1011"/>
        </w:numPr>
        <w:pStyle w:val="Compact"/>
      </w:pPr>
      <w:r>
        <w:rPr>
          <w:bCs/>
          <w:b/>
        </w:rPr>
        <w:t xml:space="preserve">Xero UAE</w:t>
      </w:r>
      <w:r>
        <w:t xml:space="preserve">: USD 7–75/mo.</w:t>
      </w:r>
      <w:r>
        <w:t xml:space="preserve"> </w:t>
      </w:r>
      <w:r>
        <w:rPr>
          <w:bCs/>
          <w:b/>
        </w:rPr>
        <w:t xml:space="preserve">TallyPrime</w:t>
      </w:r>
      <w:r>
        <w:t xml:space="preserve">: perpetual licence AED 2,340 (single) / 7,020 (multi), one-time.</w:t>
      </w:r>
      <w:r>
        <w:t xml:space="preserve"> </w:t>
      </w:r>
      <w:r>
        <w:rPr>
          <w:bCs/>
          <w:b/>
        </w:rPr>
        <w:t xml:space="preserve">QuickBooks</w:t>
      </w:r>
      <w:r>
        <w:t xml:space="preserve">: still sold in the UAE (the sunsetting applies to the US desktop line only).</w:t>
      </w:r>
    </w:p>
    <w:p>
      <w:pPr>
        <w:numPr>
          <w:ilvl w:val="0"/>
          <w:numId w:val="1011"/>
        </w:numPr>
        <w:pStyle w:val="Compact"/>
      </w:pPr>
      <w:r>
        <w:rPr>
          <w:bCs/>
          <w:b/>
        </w:rPr>
        <w:t xml:space="preserve">Benchmark for the human alternative</w:t>
      </w:r>
      <w:r>
        <w:t xml:space="preserve">: outsourced accounting ~AED 800–1,700/mo; full service with VAT/CT AED 1,500–3,000+/mo (Shuraa Tax et al.).</w:t>
      </w:r>
    </w:p>
    <w:p>
      <w:pPr>
        <w:numPr>
          <w:ilvl w:val="0"/>
          <w:numId w:val="1011"/>
        </w:numPr>
        <w:pStyle w:val="Compact"/>
      </w:pPr>
      <w:r>
        <w:rPr>
          <w:bCs/>
          <w:b/>
        </w:rPr>
        <w:t xml:space="preserve">Mizan</w:t>
      </w:r>
      <w:r>
        <w:t xml:space="preserve">: Free (5 questions, 3 scans/mo); Pro AED 149/mo; Business AED 399/mo; annual = 2 months free. No setup fees; VAT added where applicable.</w:t>
      </w:r>
    </w:p>
    <w:bookmarkEnd w:id="90"/>
    <w:bookmarkStart w:id="91" w:name="what-competitors-do-well"/>
    <w:p>
      <w:pPr>
        <w:pStyle w:val="Heading2"/>
      </w:pPr>
      <w:r>
        <w:t xml:space="preserve">What competitors do well</w:t>
      </w:r>
    </w:p>
    <w:p>
      <w:pPr>
        <w:pStyle w:val="FirstParagraph"/>
      </w:pPr>
      <w:r>
        <w:t xml:space="preserve">Wafeq and Zoho have earned real strengths: accreditation and direct filing rails, large customer bases, mature bookkeeping products, brand recognition and partner ecosystems — Zoho adds global R&amp;D scale and a genuinely useful books-aware assistant. Tax Star’s free-below-AED 3M tier is a smart wedge into micro businesses, and its Wafeq partnership gives it distribution. Virtuzone’s TaxGPT proved demand for conversational tax help. Finanshels/HalaTax shows WhatsApp-native onboarding works in this market. Accountants provide judgment and accountability no software matches. We compete alongside these strengths, not by denying them.</w:t>
      </w:r>
    </w:p>
    <w:bookmarkEnd w:id="91"/>
    <w:bookmarkStart w:id="92" w:name="Xd18d6432a1e26e08fb17aa68da420df0d91b54c"/>
    <w:p>
      <w:pPr>
        <w:pStyle w:val="Heading2"/>
      </w:pPr>
      <w:r>
        <w:t xml:space="preserve">What competitors do poorly (verified, not defamatory)</w:t>
      </w:r>
    </w:p>
    <w:p>
      <w:pPr>
        <w:pStyle w:val="FirstParagraph"/>
      </w:pPr>
      <w:r>
        <w:t xml:space="preserve">The gap is singular and confirmed:</w:t>
      </w:r>
      <w:r>
        <w:t xml:space="preserve"> </w:t>
      </w:r>
      <w:r>
        <w:rPr>
          <w:bCs/>
          <w:b/>
        </w:rPr>
        <w:t xml:space="preserve">no incumbent offers AI answers grounded in the law text with citations and abstention.</w:t>
      </w:r>
      <w:r>
        <w:t xml:space="preserve"> </w:t>
      </w:r>
      <w:r>
        <w:t xml:space="preserve">Zia answers questions about your books, not the statute (zoho.com/ae, fetched 20 Jul 2026); Wafeq’s AI is OCR and automation (wafeq.com); Tax Star computes and files rather than explains; TaxGPT answers without citations — in a category where Stanford RegLab/HAI (2025) measured 17–33% hallucination rates even in purpose-built legal AI, uncited chat is a liability. Secondary weaknesses: incumbents’ Q&amp;A-relevant support is generic ticketing; accountants are slow and capacity-constrained (806 agents for 651k registrants); and FTA’s free AI services (Oct 2025) answer generic questions but do not sit inside a firm’s invoice workflow with audit trails.</w:t>
      </w:r>
    </w:p>
    <w:bookmarkEnd w:id="92"/>
    <w:bookmarkStart w:id="93" w:name="Xc1ae0206aa05dc458400bcbcf10abeef0a0d983"/>
    <w:p>
      <w:pPr>
        <w:pStyle w:val="Heading2"/>
      </w:pPr>
      <w:r>
        <w:t xml:space="preserve">How Mizan is different — and whether it can be copied</w:t>
      </w:r>
    </w:p>
    <w:p>
      <w:pPr>
        <w:pStyle w:val="FirstParagraph"/>
      </w:pPr>
      <w:r>
        <w:t xml:space="preserve">The differences that matter to customers: (1) cited, abstaining legal Q&amp;A (trust — evidenced by the segment’s penalty scars and by what they pay accountants to avoid); (2) the deterministic calculator and invoice consistency check (workflow value beyond chat); (3) the audit trail as evidence of diligence.</w:t>
      </w:r>
    </w:p>
    <w:p>
      <w:pPr>
        <w:pStyle w:val="BodyText"/>
      </w:pPr>
      <w:r>
        <w:t xml:space="preserve">Honestly assessed,</w:t>
      </w:r>
      <w:r>
        <w:t xml:space="preserve"> </w:t>
      </w:r>
      <w:r>
        <w:rPr>
          <w:bCs/>
          <w:b/>
        </w:rPr>
        <w:t xml:space="preserve">the feature set can be copied</w:t>
      </w:r>
      <w:r>
        <w:t xml:space="preserve">: Wafeq or Zoho could build a cited Q&amp;A layer within 6–12 months if prioritised. What is harder to copy quickly: the accuracy discipline (article-aware corpus engineering, golden-set evaluation, published error rates — quality takes iterations, and vendors’</w:t>
      </w:r>
      <w:r>
        <w:t xml:space="preserve"> </w:t>
      </w:r>
      <w:r>
        <w:t xml:space="preserve">“</w:t>
      </w:r>
      <w:r>
        <w:t xml:space="preserve">hallucination-free</w:t>
      </w:r>
      <w:r>
        <w:t xml:space="preserve">”</w:t>
      </w:r>
      <w:r>
        <w:t xml:space="preserve"> </w:t>
      </w:r>
      <w:r>
        <w:t xml:space="preserve">claims have already been empirically embarrassed per the Stanford study); an abstention-first UX that bookkeeping products may resist because it admits uncertainty; and, over time, accountant-channel relationships and a question–feedback dataset (collected with consent, Section 14). We have no patents and claim none.</w:t>
      </w:r>
    </w:p>
    <w:bookmarkEnd w:id="93"/>
    <w:bookmarkStart w:id="94" w:name="how-the-market-position-will-be-defended"/>
    <w:p>
      <w:pPr>
        <w:pStyle w:val="Heading2"/>
      </w:pPr>
      <w:r>
        <w:t xml:space="preserve">How the market position will be defended</w:t>
      </w:r>
    </w:p>
    <w:p>
      <w:pPr>
        <w:pStyle w:val="FirstParagraph"/>
      </w:pPr>
      <w:r>
        <w:t xml:space="preserve">Four defences, none of which relies on competitors standing still: (1)</w:t>
      </w:r>
      <w:r>
        <w:t xml:space="preserve"> </w:t>
      </w:r>
      <w:r>
        <w:rPr>
          <w:bCs/>
          <w:b/>
        </w:rPr>
        <w:t xml:space="preserve">measured trust</w:t>
      </w:r>
      <w:r>
        <w:t xml:space="preserve"> </w:t>
      </w:r>
      <w:r>
        <w:t xml:space="preserve">— publish golden-set accuracy and abstention metrics and make</w:t>
      </w:r>
      <w:r>
        <w:t xml:space="preserve"> </w:t>
      </w:r>
      <w:r>
        <w:t xml:space="preserve">“</w:t>
      </w:r>
      <w:r>
        <w:t xml:space="preserve">trust, measured</w:t>
      </w:r>
      <w:r>
        <w:t xml:space="preserve">”</w:t>
      </w:r>
      <w:r>
        <w:t xml:space="preserve"> </w:t>
      </w:r>
      <w:r>
        <w:t xml:space="preserve">the brand (Section 7); (2)</w:t>
      </w:r>
      <w:r>
        <w:t xml:space="preserve"> </w:t>
      </w:r>
      <w:r>
        <w:rPr>
          <w:bCs/>
          <w:b/>
        </w:rPr>
        <w:t xml:space="preserve">workflow depth</w:t>
      </w:r>
      <w:r>
        <w:t xml:space="preserve"> </w:t>
      </w:r>
      <w:r>
        <w:t xml:space="preserve">— invoice checking today, e-invoicing (Peppol/ASP) integration for the 1 Jul 2027 SME mandate next, so Mizan is embedded in operations, not just consulted; (3)</w:t>
      </w:r>
      <w:r>
        <w:t xml:space="preserve"> </w:t>
      </w:r>
      <w:r>
        <w:rPr>
          <w:bCs/>
          <w:b/>
        </w:rPr>
        <w:t xml:space="preserve">the accountant channel</w:t>
      </w:r>
      <w:r>
        <w:t xml:space="preserve"> </w:t>
      </w:r>
      <w:r>
        <w:t xml:space="preserve">— 806 agents as multipliers and referrers, with Business-tier collaboration features; (4)</w:t>
      </w:r>
      <w:r>
        <w:t xml:space="preserve"> </w:t>
      </w:r>
      <w:r>
        <w:rPr>
          <w:bCs/>
          <w:b/>
        </w:rPr>
        <w:t xml:space="preserve">speed of iteration</w:t>
      </w:r>
      <w:r>
        <w:t xml:space="preserve"> </w:t>
      </w:r>
      <w:r>
        <w:t xml:space="preserve">on a single market’s law, where our focus beats incumbents’ breadth. If, despite this, an incumbent ships a credible cited-Q&amp;A feature, the fallback documented in our risk plan (Section 17) is partnership or acquisition positioning — being the accuracy layer inside someone else’s rails — rather than a price war we cannot win.</w:t>
      </w:r>
    </w:p>
    <w:bookmarkEnd w:id="94"/>
    <w:bookmarkEnd w:id="95"/>
    <w:bookmarkStart w:id="103" w:name="X61e2a434d297943f4710c2caae22d383790782f"/>
    <w:p>
      <w:pPr>
        <w:pStyle w:val="Heading1"/>
      </w:pPr>
      <w:r>
        <w:t xml:space="preserve">Section 7: Value Proposition and Competitive Advantage</w:t>
      </w:r>
    </w:p>
    <w:bookmarkStart w:id="96" w:name="value-proposition-statement"/>
    <w:p>
      <w:pPr>
        <w:pStyle w:val="Heading2"/>
      </w:pPr>
      <w:r>
        <w:t xml:space="preserve">Value proposition statement</w:t>
      </w:r>
    </w:p>
    <w:p>
      <w:pPr>
        <w:pStyle w:val="FirstParagraph"/>
      </w:pPr>
      <w:r>
        <w:rPr>
          <w:bCs/>
          <w:b/>
        </w:rPr>
        <w:t xml:space="preserve">For UAE SME owners and finance managers who face Corporate Tax and VAT questions they cannot afford to get wrong, Mizan is an AI compliance copilot that answers with citations to the actual law — and honestly declines when the law is unclear — giving them accountant-grade grounding in minutes for AED 149 a month, unlike bookkeeping software that cannot explain the law or chatbots that guess.</w:t>
      </w:r>
    </w:p>
    <w:p>
      <w:pPr>
        <w:pStyle w:val="BodyText"/>
      </w:pPr>
      <w:r>
        <w:t xml:space="preserve">One sentence, one customer, one problem, one category, one reason to believe. The rest of this section substantiates the two advantages that carry the plan — verifiable accuracy and local-market specialisation — and honestly classifies which advantages are temporary and which can be made durable.</w:t>
      </w:r>
    </w:p>
    <w:bookmarkEnd w:id="96"/>
    <w:bookmarkStart w:id="97" w:name="X065084663202b452baa2f6186953958eb3f6f7a"/>
    <w:p>
      <w:pPr>
        <w:pStyle w:val="Heading2"/>
      </w:pPr>
      <w:r>
        <w:t xml:space="preserve">Better AI accuracy — defined, measured, and never overclaimed</w:t>
      </w:r>
    </w:p>
    <w:p>
      <w:pPr>
        <w:pStyle w:val="FirstParagraph"/>
      </w:pPr>
      <w:r>
        <w:t xml:space="preserve">Our accuracy claim is deliberately narrow and testable. The metrics we commit to:</w:t>
      </w:r>
      <w:r>
        <w:t xml:space="preserve"> </w:t>
      </w:r>
      <w:r>
        <w:rPr>
          <w:bCs/>
          <w:b/>
        </w:rPr>
        <w:t xml:space="preserve">(a) faithfulness</w:t>
      </w:r>
      <w:r>
        <w:t xml:space="preserve"> </w:t>
      </w:r>
      <w:r>
        <w:t xml:space="preserve">— the share of answers whose statements are supported by the cited articles;</w:t>
      </w:r>
      <w:r>
        <w:t xml:space="preserve"> </w:t>
      </w:r>
      <w:r>
        <w:rPr>
          <w:bCs/>
          <w:b/>
        </w:rPr>
        <w:t xml:space="preserve">(b) false-answer rate</w:t>
      </w:r>
      <w:r>
        <w:t xml:space="preserve"> </w:t>
      </w:r>
      <w:r>
        <w:t xml:space="preserve">— answers that should have been abstentions;</w:t>
      </w:r>
      <w:r>
        <w:t xml:space="preserve"> </w:t>
      </w:r>
      <w:r>
        <w:rPr>
          <w:bCs/>
          <w:b/>
        </w:rPr>
        <w:t xml:space="preserve">(c) abstention correctness</w:t>
      </w:r>
      <w:r>
        <w:t xml:space="preserve"> </w:t>
      </w:r>
      <w:r>
        <w:t xml:space="preserve">— abstentions where the law genuinely does not resolve the question. Testing method: a</w:t>
      </w:r>
      <w:r>
        <w:t xml:space="preserve"> </w:t>
      </w:r>
      <w:r>
        <w:rPr>
          <w:bCs/>
          <w:b/>
        </w:rPr>
        <w:t xml:space="preserve">golden set</w:t>
      </w:r>
      <w:r>
        <w:t xml:space="preserve"> </w:t>
      </w:r>
      <w:r>
        <w:t xml:space="preserve">of UAE CT/VAT questions with professionally validated reference answers, evaluated on every release; results to be published from v2 (Section 9). The benchmark context is the peer-reviewed Stanford RegLab/HAI study (J. Empirical Legal Studies, 2025): purpose-built legal AI tools from LexisNexis (~17%) and Thomson Reuters (~33%) still hallucinated, versus ~43% for raw GPT-4 — and vendors’</w:t>
      </w:r>
      <w:r>
        <w:t xml:space="preserve"> </w:t>
      </w:r>
      <w:r>
        <w:t xml:space="preserve">“</w:t>
      </w:r>
      <w:r>
        <w:t xml:space="preserve">hallucination-free</w:t>
      </w:r>
      <w:r>
        <w:t xml:space="preserve">”</w:t>
      </w:r>
      <w:r>
        <w:t xml:space="preserve"> </w:t>
      </w:r>
      <w:r>
        <w:t xml:space="preserve">marketing was empirically overstated. Our design response is architectural, not rhetorical: retrieval grounding, citation display, a deterministic calculator for all arithmetic, and abstention as a first-class output. Situations where accuracy will decline — and we say so in-product: novel regulations before corpus updates, ambiguous multi-jurisdiction questions, and poor-quality invoice photos.</w:t>
      </w:r>
      <w:r>
        <w:t xml:space="preserve"> </w:t>
      </w:r>
      <w:r>
        <w:rPr>
          <w:bCs/>
          <w:b/>
        </w:rPr>
        <w:t xml:space="preserve">We make no claim of perfect accuracy anywhere in this plan or product.</w:t>
      </w:r>
      <w:r>
        <w:t xml:space="preserve"> </w:t>
      </w:r>
      <w:r>
        <w:t xml:space="preserve">As of this report, the professionally validated golden set is a stated pre-launch requirement, not an asset we possess; what we do have is an</w:t>
      </w:r>
      <w:r>
        <w:t xml:space="preserve"> </w:t>
      </w:r>
      <w:r>
        <w:rPr>
          <w:bCs/>
          <w:b/>
        </w:rPr>
        <w:t xml:space="preserve">internal QA set of 25 questions whose reference answers were human-verified by the team against the primary legal texts</w:t>
      </w:r>
      <w:r>
        <w:t xml:space="preserve"> </w:t>
      </w:r>
      <w:r>
        <w:t xml:space="preserve">(Federal Decree-Law 47/2022, the VAT law and FTA guides) — verified against sources, but not yet by a licensed tax professional, a limitation we state openly. On this internal set, the current system answered [PLACEHOLDER: X]/20 answerable questions correctly and refused [PLACEHOLDER: Y]/5 deliberately unanswerable questions. We report these as indicative internal results, not audited benchmarks; the professionally validated golden set with published quarterly results remains the v2 commitment (Section 9).</w:t>
      </w:r>
    </w:p>
    <w:bookmarkEnd w:id="97"/>
    <w:bookmarkStart w:id="98" w:name="X1442ca06635d293d979ebb34575afd4afbb92c3"/>
    <w:p>
      <w:pPr>
        <w:pStyle w:val="Heading2"/>
      </w:pPr>
      <w:r>
        <w:t xml:space="preserve">Local-market adaptation and industry specialisation</w:t>
      </w:r>
    </w:p>
    <w:p>
      <w:pPr>
        <w:pStyle w:val="FirstParagraph"/>
      </w:pPr>
      <w:r>
        <w:t xml:space="preserve">Mizan is UAE-specific by construction, not by translation: the corpus is Federal Decree-Law 47/2022, Federal Decree-Law 8/2017 and official FTA guides, chunked article-by-article; the calculator implements UAE VAT rules; prices are in AED; and the roadmap is keyed to the UAE e-invoicing calendar (voluntary 1 Jul 2026; SME mandate 1 Jul 2027 per MD 244/2025). Compliance workflows — invoice TRN capture, VAT consistency checks, audit-trail exports — reflect how UAE SMEs actually operate. Global tools cannot match this without dedicated local investment, and local incumbents specialise in bookkeeping, not law. Arabic support is planned for v2 and is required for full local depth — we state this as a current limitation, not a solved problem (Sections 13, 18). Cultural adaptation goes beyond language: the brand name itself (Mizan — the scales) speaks to the market’s idiom of fairness and accuracy.</w:t>
      </w:r>
    </w:p>
    <w:bookmarkEnd w:id="98"/>
    <w:bookmarkStart w:id="99" w:name="humanai-service-model"/>
    <w:p>
      <w:pPr>
        <w:pStyle w:val="Heading2"/>
      </w:pPr>
      <w:r>
        <w:t xml:space="preserve">Human–AI service model</w:t>
      </w:r>
    </w:p>
    <w:p>
      <w:pPr>
        <w:pStyle w:val="FirstParagraph"/>
      </w:pPr>
      <w:r>
        <w:t xml:space="preserve">The division of labour is explicit and is itself part of the value proposition.</w:t>
      </w:r>
      <w:r>
        <w:t xml:space="preserve"> </w:t>
      </w:r>
      <w:r>
        <w:rPr>
          <w:bCs/>
          <w:b/>
        </w:rPr>
        <w:t xml:space="preserve">AI performs</w:t>
      </w:r>
      <w:r>
        <w:t xml:space="preserve">: retrieval, drafting of cited answers, arithmetic (via the deterministic tool), invoice extraction and consistency checking.</w:t>
      </w:r>
      <w:r>
        <w:t xml:space="preserve"> </w:t>
      </w:r>
      <w:r>
        <w:rPr>
          <w:bCs/>
          <w:b/>
        </w:rPr>
        <w:t xml:space="preserve">Humans perform</w:t>
      </w:r>
      <w:r>
        <w:t xml:space="preserve">: judgment on every material decision (the user), professional advice (their accountant, to whom abstentions and material questions are escalated), and quality control (our team’s weekly output sampling — Section 12).</w:t>
      </w:r>
      <w:r>
        <w:t xml:space="preserve"> </w:t>
      </w:r>
      <w:r>
        <w:rPr>
          <w:bCs/>
          <w:b/>
        </w:rPr>
        <w:t xml:space="preserve">Escalation rules</w:t>
      </w:r>
      <w:r>
        <w:t xml:space="preserve">: abstention → recommend professional consultation; flagged invoice mismatch → user review; user-reported error → team triage within two business days. The benefit of the combination is precisely what neither side delivers alone: the AI’s speed and coverage with human accountability. This model is financially honest — we review samples and exceptions, not every output, which is the only version of human oversight a 3-person team can truthfully promise (Section 14).</w:t>
      </w:r>
    </w:p>
    <w:bookmarkEnd w:id="99"/>
    <w:bookmarkStart w:id="100" w:name="better-privacy-and-security-posture"/>
    <w:p>
      <w:pPr>
        <w:pStyle w:val="Heading2"/>
      </w:pPr>
      <w:r>
        <w:t xml:space="preserve">Better privacy and security posture</w:t>
      </w:r>
    </w:p>
    <w:p>
      <w:pPr>
        <w:pStyle w:val="FirstParagraph"/>
      </w:pPr>
      <w:r>
        <w:t xml:space="preserve">A structural advantage of the MVP’s design:</w:t>
      </w:r>
      <w:r>
        <w:t xml:space="preserve"> </w:t>
      </w:r>
      <w:r>
        <w:rPr>
          <w:bCs/>
          <w:b/>
        </w:rPr>
        <w:t xml:space="preserve">because Mizan does not ingest accounting ledgers or bank feeds, there is simply less to breach</w:t>
      </w:r>
      <w:r>
        <w:t xml:space="preserve"> </w:t>
      </w:r>
      <w:r>
        <w:t xml:space="preserve">than with incumbents holding full financial records. Specific controls: minimal data collection (questions, invoice images, account data), encryption in transit and at rest, role-based access, user deletion on request, and UAE PDPL-aware processing (Sections 9, 14). We claim no certifications we do not hold and offer no guarantee against breaches; we claim a smaller attack surface by design, which a privacy-anxious SME segment can verify from what the product does and does not ask for.</w:t>
      </w:r>
    </w:p>
    <w:bookmarkEnd w:id="100"/>
    <w:bookmarkStart w:id="101" w:name="Xe9a694e52d46193a2200e0f21cae94cb94a88f5"/>
    <w:p>
      <w:pPr>
        <w:pStyle w:val="Heading2"/>
      </w:pPr>
      <w:r>
        <w:t xml:space="preserve">Convenience and speed (supporting, not primary, advantages)</w:t>
      </w:r>
    </w:p>
    <w:p>
      <w:pPr>
        <w:pStyle w:val="FirstParagraph"/>
      </w:pPr>
      <w:r>
        <w:t xml:space="preserve">Current state: days waiting for an accountant’s reply or an hour searching guides. Mizan: an answer in under a minute, available at 2 a.m. before a filing deadline, with no data migration or onboarding project. Speed is measured as time-to-answer and does not trade off against quality — a fast abstention is the designed behaviour when quality cannot be assured. We class these as supporting advantages because competitors can also be fast; they cannot as easily be fast</w:t>
      </w:r>
      <w:r>
        <w:t xml:space="preserve"> </w:t>
      </w:r>
      <w:r>
        <w:rPr>
          <w:iCs/>
          <w:i/>
        </w:rPr>
        <w:t xml:space="preserve">and</w:t>
      </w:r>
      <w:r>
        <w:t xml:space="preserve"> </w:t>
      </w:r>
      <w:r>
        <w:t xml:space="preserve">cited</w:t>
      </w:r>
      <w:r>
        <w:t xml:space="preserve"> </w:t>
      </w:r>
      <w:r>
        <w:rPr>
          <w:iCs/>
          <w:i/>
        </w:rPr>
        <w:t xml:space="preserve">and</w:t>
      </w:r>
      <w:r>
        <w:t xml:space="preserve"> </w:t>
      </w:r>
      <w:r>
        <w:t xml:space="preserve">honest about uncertainty.</w:t>
      </w:r>
    </w:p>
    <w:bookmarkEnd w:id="101"/>
    <w:bookmarkStart w:id="102" w:name="Xe9a40487319b54e5a2970d0c106fc14e1dd34e2"/>
    <w:p>
      <w:pPr>
        <w:pStyle w:val="Heading2"/>
      </w:pPr>
      <w:r>
        <w:t xml:space="preserve">Temporary features versus sustainable advantage</w:t>
      </w:r>
    </w:p>
    <w:p>
      <w:pPr>
        <w:pStyle w:val="FirstParagraph"/>
      </w:pPr>
      <w:r>
        <w:t xml:space="preserve">An honest classification, since the professor’s question — and the investor’s — is what survives competitor 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Advantage</w:t>
            </w:r>
          </w:p>
        </w:tc>
        <w:tc>
          <w:tcPr/>
          <w:p>
            <w:pPr>
              <w:pStyle w:val="Compact"/>
              <w:jc w:val="left"/>
            </w:pPr>
            <w:r>
              <w:t xml:space="preserve">Nature</w:t>
            </w:r>
          </w:p>
        </w:tc>
        <w:tc>
          <w:tcPr/>
          <w:p>
            <w:pPr>
              <w:pStyle w:val="Compact"/>
              <w:jc w:val="left"/>
            </w:pPr>
            <w:r>
              <w:t xml:space="preserve">Expected duration / how strengthened</w:t>
            </w:r>
          </w:p>
        </w:tc>
      </w:tr>
      <w:tr>
        <w:tc>
          <w:tcPr/>
          <w:p>
            <w:pPr>
              <w:pStyle w:val="Compact"/>
              <w:jc w:val="left"/>
            </w:pPr>
            <w:r>
              <w:t xml:space="preserve">Cited legal Q&amp;A (feature)</w:t>
            </w:r>
          </w:p>
        </w:tc>
        <w:tc>
          <w:tcPr/>
          <w:p>
            <w:pPr>
              <w:pStyle w:val="Compact"/>
              <w:jc w:val="left"/>
            </w:pPr>
            <w:r>
              <w:rPr>
                <w:bCs/>
                <w:b/>
              </w:rPr>
              <w:t xml:space="preserve">Temporary</w:t>
            </w:r>
            <w:r>
              <w:t xml:space="preserve"> </w:t>
            </w:r>
            <w:r>
              <w:t xml:space="preserve">— copyable in 6–12 months by a funded incumbent</w:t>
            </w:r>
          </w:p>
        </w:tc>
        <w:tc>
          <w:tcPr/>
          <w:p>
            <w:pPr>
              <w:pStyle w:val="Compact"/>
              <w:jc w:val="left"/>
            </w:pPr>
            <w:r>
              <w:t xml:space="preserve">Convert into a brand position (</w:t>
            </w:r>
            <w:r>
              <w:t xml:space="preserve">“</w:t>
            </w:r>
            <w:r>
              <w:t xml:space="preserve">trust, measured</w:t>
            </w:r>
            <w:r>
              <w:t xml:space="preserve">”</w:t>
            </w:r>
            <w:r>
              <w:t xml:space="preserve">) before it is copied</w:t>
            </w:r>
          </w:p>
        </w:tc>
      </w:tr>
      <w:tr>
        <w:tc>
          <w:tcPr/>
          <w:p>
            <w:pPr>
              <w:pStyle w:val="Compact"/>
              <w:jc w:val="left"/>
            </w:pPr>
            <w:r>
              <w:t xml:space="preserve">Abstention design</w:t>
            </w:r>
          </w:p>
        </w:tc>
        <w:tc>
          <w:tcPr/>
          <w:p>
            <w:pPr>
              <w:pStyle w:val="Compact"/>
              <w:jc w:val="left"/>
            </w:pPr>
            <w:r>
              <w:t xml:space="preserve">Semi-durable — technically easy, culturally hard for incumbents whose products must always output</w:t>
            </w:r>
          </w:p>
        </w:tc>
        <w:tc>
          <w:tcPr/>
          <w:p>
            <w:pPr>
              <w:pStyle w:val="Compact"/>
              <w:jc w:val="left"/>
            </w:pPr>
            <w:r>
              <w:t xml:space="preserve">Publish abstention metrics; make honesty the category standard we define</w:t>
            </w:r>
          </w:p>
        </w:tc>
      </w:tr>
      <w:tr>
        <w:tc>
          <w:tcPr/>
          <w:p>
            <w:pPr>
              <w:pStyle w:val="Compact"/>
              <w:jc w:val="left"/>
            </w:pPr>
            <w:r>
              <w:t xml:space="preserve">Published golden-set accuracy</w:t>
            </w:r>
          </w:p>
        </w:tc>
        <w:tc>
          <w:tcPr/>
          <w:p>
            <w:pPr>
              <w:pStyle w:val="Compact"/>
              <w:jc w:val="left"/>
            </w:pPr>
            <w:r>
              <w:rPr>
                <w:bCs/>
                <w:b/>
              </w:rPr>
              <w:t xml:space="preserve">Durable if sustained</w:t>
            </w:r>
            <w:r>
              <w:t xml:space="preserve"> </w:t>
            </w:r>
            <w:r>
              <w:t xml:space="preserve">— accuracy compounds with iteration and is externally verifiable</w:t>
            </w:r>
          </w:p>
        </w:tc>
        <w:tc>
          <w:tcPr/>
          <w:p>
            <w:pPr>
              <w:pStyle w:val="Compact"/>
              <w:jc w:val="left"/>
            </w:pPr>
            <w:r>
              <w:t xml:space="preserve">Quarterly published evals; professional validation of the golden set</w:t>
            </w:r>
          </w:p>
        </w:tc>
      </w:tr>
      <w:tr>
        <w:tc>
          <w:tcPr/>
          <w:p>
            <w:pPr>
              <w:pStyle w:val="Compact"/>
              <w:jc w:val="left"/>
            </w:pPr>
            <w:r>
              <w:t xml:space="preserve">Article-aware UAE legal corpus + retrieval engineering</w:t>
            </w:r>
          </w:p>
        </w:tc>
        <w:tc>
          <w:tcPr/>
          <w:p>
            <w:pPr>
              <w:pStyle w:val="Compact"/>
              <w:jc w:val="left"/>
            </w:pPr>
            <w:r>
              <w:t xml:space="preserve">Semi-durable craft advantage</w:t>
            </w:r>
          </w:p>
        </w:tc>
        <w:tc>
          <w:tcPr/>
          <w:p>
            <w:pPr>
              <w:pStyle w:val="Compact"/>
              <w:jc w:val="left"/>
            </w:pPr>
            <w:r>
              <w:t xml:space="preserve">Continuous corpus maintenance as law changes (an operating activity, Section 12)</w:t>
            </w:r>
          </w:p>
        </w:tc>
      </w:tr>
      <w:tr>
        <w:tc>
          <w:tcPr/>
          <w:p>
            <w:pPr>
              <w:pStyle w:val="Compact"/>
              <w:jc w:val="left"/>
            </w:pPr>
            <w:r>
              <w:t xml:space="preserve">Consented question–feedback dataset</w:t>
            </w:r>
          </w:p>
        </w:tc>
        <w:tc>
          <w:tcPr/>
          <w:p>
            <w:pPr>
              <w:pStyle w:val="Compact"/>
              <w:jc w:val="left"/>
            </w:pPr>
            <w:r>
              <w:rPr>
                <w:bCs/>
                <w:b/>
              </w:rPr>
              <w:t xml:space="preserve">Durable and compounding</w:t>
            </w:r>
            <w:r>
              <w:t xml:space="preserve"> </w:t>
            </w:r>
            <w:r>
              <w:t xml:space="preserve">— improves retrieval and evals; unavailable to copycats</w:t>
            </w:r>
          </w:p>
        </w:tc>
        <w:tc>
          <w:tcPr/>
          <w:p>
            <w:pPr>
              <w:pStyle w:val="Compact"/>
              <w:jc w:val="left"/>
            </w:pPr>
            <w:r>
              <w:t xml:space="preserve">Grows with usage; governed per Section 14</w:t>
            </w:r>
          </w:p>
        </w:tc>
      </w:tr>
      <w:tr>
        <w:tc>
          <w:tcPr/>
          <w:p>
            <w:pPr>
              <w:pStyle w:val="Compact"/>
              <w:jc w:val="left"/>
            </w:pPr>
            <w:r>
              <w:t xml:space="preserve">Accountant-channel relationships</w:t>
            </w:r>
          </w:p>
        </w:tc>
        <w:tc>
          <w:tcPr/>
          <w:p>
            <w:pPr>
              <w:pStyle w:val="Compact"/>
              <w:jc w:val="left"/>
            </w:pPr>
            <w:r>
              <w:rPr>
                <w:bCs/>
                <w:b/>
              </w:rPr>
              <w:t xml:space="preserve">Durable</w:t>
            </w:r>
            <w:r>
              <w:t xml:space="preserve"> </w:t>
            </w:r>
            <w:r>
              <w:t xml:space="preserve">— trust networks move slowly</w:t>
            </w:r>
          </w:p>
        </w:tc>
        <w:tc>
          <w:tcPr/>
          <w:p>
            <w:pPr>
              <w:pStyle w:val="Compact"/>
              <w:jc w:val="left"/>
            </w:pPr>
            <w:r>
              <w:t xml:space="preserve">Business-tier collaboration features; agent partnerships (Sections 11, 18)</w:t>
            </w:r>
          </w:p>
        </w:tc>
      </w:tr>
      <w:tr>
        <w:tc>
          <w:tcPr/>
          <w:p>
            <w:pPr>
              <w:pStyle w:val="Compact"/>
              <w:jc w:val="left"/>
            </w:pPr>
            <w:r>
              <w:t xml:space="preserve">Price point in the white space</w:t>
            </w:r>
          </w:p>
        </w:tc>
        <w:tc>
          <w:tcPr/>
          <w:p>
            <w:pPr>
              <w:pStyle w:val="Compact"/>
              <w:jc w:val="left"/>
            </w:pPr>
            <w:r>
              <w:t xml:space="preserve">Temporary — prices are copyable</w:t>
            </w:r>
          </w:p>
        </w:tc>
        <w:tc>
          <w:tcPr/>
          <w:p>
            <w:pPr>
              <w:pStyle w:val="Compact"/>
              <w:jc w:val="left"/>
            </w:pPr>
            <w:r>
              <w:t xml:space="preserve">Defend on value, never on price alone</w:t>
            </w:r>
          </w:p>
        </w:tc>
      </w:tr>
    </w:tbl>
    <w:p>
      <w:pPr>
        <w:pStyle w:val="BodyText"/>
      </w:pPr>
      <w:r>
        <w:t xml:space="preserve">We hold no patents or registered trademarks yet and do not claim IP protection we lack; the defence is execution speed, measured trust and channel depth. No advantage in this table assumes competitors fail to respond — the risk register (Section 17) prices in that they will.</w:t>
      </w:r>
    </w:p>
    <w:bookmarkEnd w:id="102"/>
    <w:bookmarkEnd w:id="103"/>
    <w:bookmarkStart w:id="117" w:name="section-8-business-model"/>
    <w:p>
      <w:pPr>
        <w:pStyle w:val="Heading1"/>
      </w:pPr>
      <w:r>
        <w:t xml:space="preserve">Section 8: Business Model</w:t>
      </w:r>
    </w:p>
    <w:p>
      <w:pPr>
        <w:pStyle w:val="FirstParagraph"/>
      </w:pPr>
      <w:r>
        <w:t xml:space="preserve">We present the model as a Business Model Canvas narrative, then detail the subscription mechanics and why this revenue model fits.</w:t>
      </w:r>
    </w:p>
    <w:bookmarkStart w:id="104" w:name="customer-segments"/>
    <w:p>
      <w:pPr>
        <w:pStyle w:val="Heading2"/>
      </w:pPr>
      <w:r>
        <w:t xml:space="preserve">Customer segments</w:t>
      </w:r>
    </w:p>
    <w:p>
      <w:pPr>
        <w:pStyle w:val="FirstParagraph"/>
      </w:pPr>
      <w:r>
        <w:t xml:space="preserve">Primary users and payers are the same people: UAE SME owners/finance managers (&lt; AED 50M revenue, no in-house tax specialist). Early adopters: penalty-waiver cohort firms, first-time CT filers, invoice-heavy traders. High-value segment: 10–50-employee firms on the Business tier. Distinct later segment (different need: multi-client work): small accounting/tax-agent practices — served by the Business tier now, a dedicated licence later (Section 18). Free-tier users are users but not payers; their role is pipeline and feedback.</w:t>
      </w:r>
    </w:p>
    <w:bookmarkEnd w:id="104"/>
    <w:bookmarkStart w:id="105" w:name="value-proposition"/>
    <w:p>
      <w:pPr>
        <w:pStyle w:val="Heading2"/>
      </w:pPr>
      <w:r>
        <w:t xml:space="preserve">Value proposition</w:t>
      </w:r>
    </w:p>
    <w:p>
      <w:pPr>
        <w:pStyle w:val="FirstParagraph"/>
      </w:pPr>
      <w:r>
        <w:t xml:space="preserve">For SMEs: cited, abstaining answers about CT/VAT; exact VAT arithmetic; invoice extraction with consistency checks; an audit trail proving diligence — accountant-grade grounding between accountant visits, at software prices. For accountant practices: leverage — routine client questions answered with citations they can verify, freeing scarce agent hours (806 agents serve 651k registrants). Each segment gets a tailored message, not a different product.</w:t>
      </w:r>
    </w:p>
    <w:bookmarkEnd w:id="105"/>
    <w:bookmarkStart w:id="106" w:name="channels"/>
    <w:p>
      <w:pPr>
        <w:pStyle w:val="Heading2"/>
      </w:pPr>
      <w:r>
        <w:t xml:space="preserve">Channels</w:t>
      </w:r>
    </w:p>
    <w:p>
      <w:pPr>
        <w:numPr>
          <w:ilvl w:val="0"/>
          <w:numId w:val="1012"/>
        </w:numPr>
        <w:pStyle w:val="Compact"/>
      </w:pPr>
      <w:r>
        <w:rPr>
          <w:bCs/>
          <w:b/>
        </w:rPr>
        <w:t xml:space="preserve">Marketing</w:t>
      </w:r>
      <w:r>
        <w:t xml:space="preserve">: SEO/content on high-intent tax questions, LinkedIn, founder-led talks at SME and free-zone events (costs in Sections 11, 15).</w:t>
      </w:r>
    </w:p>
    <w:p>
      <w:pPr>
        <w:numPr>
          <w:ilvl w:val="0"/>
          <w:numId w:val="1012"/>
        </w:numPr>
        <w:pStyle w:val="Compact"/>
      </w:pPr>
      <w:r>
        <w:rPr>
          <w:bCs/>
          <w:b/>
        </w:rPr>
        <w:t xml:space="preserve">Sales</w:t>
      </w:r>
      <w:r>
        <w:t xml:space="preserve">: self-serve web signup with card payment; founder-led onboarding for Business-tier and accountant accounts.</w:t>
      </w:r>
    </w:p>
    <w:p>
      <w:pPr>
        <w:numPr>
          <w:ilvl w:val="0"/>
          <w:numId w:val="1012"/>
        </w:numPr>
        <w:pStyle w:val="Compact"/>
      </w:pPr>
      <w:r>
        <w:rPr>
          <w:bCs/>
          <w:b/>
        </w:rPr>
        <w:t xml:space="preserve">Delivery</w:t>
      </w:r>
      <w:r>
        <w:t xml:space="preserve">: the web app itself (cloud SaaS).</w:t>
      </w:r>
    </w:p>
    <w:p>
      <w:pPr>
        <w:numPr>
          <w:ilvl w:val="0"/>
          <w:numId w:val="1012"/>
        </w:numPr>
        <w:pStyle w:val="Compact"/>
      </w:pPr>
      <w:r>
        <w:rPr>
          <w:bCs/>
          <w:b/>
        </w:rPr>
        <w:t xml:space="preserve">Support</w:t>
      </w:r>
      <w:r>
        <w:t xml:space="preserve">: in-app form and email, human-answered (Section 12).</w:t>
      </w:r>
      <w:r>
        <w:t xml:space="preserve"> </w:t>
      </w:r>
      <w:r>
        <w:t xml:space="preserve">Channel economics: content/SEO is our cheapest durable channel (cost = founder time + AED 3k/month budget); accountant referrals are the highest-conversion channel; paid ads are used sparingly for keyword tests.</w:t>
      </w:r>
    </w:p>
    <w:bookmarkEnd w:id="106"/>
    <w:bookmarkStart w:id="107" w:name="customer-relationships"/>
    <w:p>
      <w:pPr>
        <w:pStyle w:val="Heading2"/>
      </w:pPr>
      <w:r>
        <w:t xml:space="preserve">Customer relationships</w:t>
      </w:r>
    </w:p>
    <w:p>
      <w:pPr>
        <w:pStyle w:val="FirstParagraph"/>
      </w:pPr>
      <w:r>
        <w:t xml:space="preserve">Self-service by default (Free/Pro), with automated onboarding emails; personal assistance for Business-tier onboarding; community and educational webinars as the base grows. Retention machinery: deadline-aware value reminders, feedback on every answer, and a cancellation flow that asks why and offers a pause (never obstructs exit). The relationship model matches the price points — no dedicated account management is promised at AED 149.</w:t>
      </w:r>
    </w:p>
    <w:bookmarkEnd w:id="107"/>
    <w:bookmarkStart w:id="108" w:name="revenue-streams"/>
    <w:p>
      <w:pPr>
        <w:pStyle w:val="Heading2"/>
      </w:pPr>
      <w:r>
        <w:t xml:space="preserve">Revenue streams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Stream</w:t>
            </w:r>
          </w:p>
        </w:tc>
        <w:tc>
          <w:tcPr/>
          <w:p>
            <w:pPr>
              <w:pStyle w:val="Compact"/>
              <w:jc w:val="left"/>
            </w:pPr>
            <w:r>
              <w:t xml:space="preserve">Who pays</w:t>
            </w:r>
          </w:p>
        </w:tc>
        <w:tc>
          <w:tcPr/>
          <w:p>
            <w:pPr>
              <w:pStyle w:val="Compact"/>
              <w:jc w:val="left"/>
            </w:pPr>
            <w:r>
              <w:t xml:space="preserve">For what</w:t>
            </w:r>
          </w:p>
        </w:tc>
        <w:tc>
          <w:tcPr/>
          <w:p>
            <w:pPr>
              <w:pStyle w:val="Compact"/>
              <w:jc w:val="left"/>
            </w:pPr>
            <w:r>
              <w:t xml:space="preserve">Amount &amp; frequency</w:t>
            </w:r>
          </w:p>
        </w:tc>
        <w:tc>
          <w:tcPr/>
          <w:p>
            <w:pPr>
              <w:pStyle w:val="Compact"/>
              <w:jc w:val="left"/>
            </w:pPr>
            <w:r>
              <w:t xml:space="preserve">Expected contribution</w:t>
            </w:r>
          </w:p>
        </w:tc>
      </w:tr>
      <w:tr>
        <w:tc>
          <w:tcPr/>
          <w:p>
            <w:pPr>
              <w:pStyle w:val="Compact"/>
              <w:jc w:val="left"/>
            </w:pPr>
            <w:r>
              <w:rPr>
                <w:bCs/>
                <w:b/>
              </w:rPr>
              <w:t xml:space="preserve">Pro subscription</w:t>
            </w:r>
          </w:p>
        </w:tc>
        <w:tc>
          <w:tcPr/>
          <w:p>
            <w:pPr>
              <w:pStyle w:val="Compact"/>
              <w:jc w:val="left"/>
            </w:pPr>
            <w:r>
              <w:t xml:space="preserve">SME (company account)</w:t>
            </w:r>
          </w:p>
        </w:tc>
        <w:tc>
          <w:tcPr/>
          <w:p>
            <w:pPr>
              <w:pStyle w:val="Compact"/>
              <w:jc w:val="left"/>
            </w:pPr>
            <w:r>
              <w:t xml:space="preserve">Unlimited Q&amp;A, 100 invoice scans/mo, audit-trail export</w:t>
            </w:r>
          </w:p>
        </w:tc>
        <w:tc>
          <w:tcPr/>
          <w:p>
            <w:pPr>
              <w:pStyle w:val="Compact"/>
              <w:jc w:val="left"/>
            </w:pPr>
            <w:r>
              <w:t xml:space="preserve">AED 149/mo or AED 1,490/yr</w:t>
            </w:r>
          </w:p>
        </w:tc>
        <w:tc>
          <w:tcPr/>
          <w:p>
            <w:pPr>
              <w:pStyle w:val="Compact"/>
              <w:jc w:val="left"/>
            </w:pPr>
            <w:r>
              <w:t xml:space="preserve">~72% of Year-1 revenue (85% of customers)</w:t>
            </w:r>
          </w:p>
        </w:tc>
      </w:tr>
      <w:tr>
        <w:tc>
          <w:tcPr/>
          <w:p>
            <w:pPr>
              <w:pStyle w:val="Compact"/>
              <w:jc w:val="left"/>
            </w:pPr>
            <w:r>
              <w:rPr>
                <w:bCs/>
                <w:b/>
              </w:rPr>
              <w:t xml:space="preserve">Business subscription</w:t>
            </w:r>
          </w:p>
        </w:tc>
        <w:tc>
          <w:tcPr/>
          <w:p>
            <w:pPr>
              <w:pStyle w:val="Compact"/>
              <w:jc w:val="left"/>
            </w:pPr>
            <w:r>
              <w:t xml:space="preserve">SME</w:t>
            </w:r>
          </w:p>
        </w:tc>
        <w:tc>
          <w:tcPr/>
          <w:p>
            <w:pPr>
              <w:pStyle w:val="Compact"/>
              <w:jc w:val="left"/>
            </w:pPr>
            <w:r>
              <w:t xml:space="preserve">Multi-user, accountant collaboration, priority support</w:t>
            </w:r>
          </w:p>
        </w:tc>
        <w:tc>
          <w:tcPr/>
          <w:p>
            <w:pPr>
              <w:pStyle w:val="Compact"/>
              <w:jc w:val="left"/>
            </w:pPr>
            <w:r>
              <w:t xml:space="preserve">AED 399/mo or AED 3,990/yr</w:t>
            </w:r>
          </w:p>
        </w:tc>
        <w:tc>
          <w:tcPr/>
          <w:p>
            <w:pPr>
              <w:pStyle w:val="Compact"/>
              <w:jc w:val="left"/>
            </w:pPr>
            <w:r>
              <w:t xml:space="preserve">~28% of Year-1 revenue (15% of customers)</w:t>
            </w:r>
          </w:p>
        </w:tc>
      </w:tr>
      <w:tr>
        <w:tc>
          <w:tcPr/>
          <w:p>
            <w:pPr>
              <w:pStyle w:val="Compact"/>
              <w:jc w:val="left"/>
            </w:pPr>
            <w:r>
              <w:t xml:space="preserve">Accountant-firm licences</w:t>
            </w:r>
          </w:p>
        </w:tc>
        <w:tc>
          <w:tcPr/>
          <w:p>
            <w:pPr>
              <w:pStyle w:val="Compact"/>
              <w:jc w:val="left"/>
            </w:pPr>
            <w:r>
              <w:t xml:space="preserve">Accounting practices</w:t>
            </w:r>
          </w:p>
        </w:tc>
        <w:tc>
          <w:tcPr/>
          <w:p>
            <w:pPr>
              <w:pStyle w:val="Compact"/>
              <w:jc w:val="left"/>
            </w:pPr>
            <w:r>
              <w:t xml:space="preserve">Multi-client workspace</w:t>
            </w:r>
          </w:p>
        </w:tc>
        <w:tc>
          <w:tcPr/>
          <w:p>
            <w:pPr>
              <w:pStyle w:val="Compact"/>
              <w:jc w:val="left"/>
            </w:pPr>
            <w:r>
              <w:t xml:space="preserve">Priced later (Year 2+)</w:t>
            </w:r>
          </w:p>
        </w:tc>
        <w:tc>
          <w:tcPr/>
          <w:p>
            <w:pPr>
              <w:pStyle w:val="Compact"/>
              <w:jc w:val="left"/>
            </w:pPr>
            <w:r>
              <w:t xml:space="preserve">0 in Year 1 (deliberately unbudgeted)</w:t>
            </w:r>
          </w:p>
        </w:tc>
      </w:tr>
      <w:tr>
        <w:tc>
          <w:tcPr/>
          <w:p>
            <w:pPr>
              <w:pStyle w:val="Compact"/>
              <w:jc w:val="left"/>
            </w:pPr>
            <w:r>
              <w:t xml:space="preserve">E-invoicing integration/referral module</w:t>
            </w:r>
          </w:p>
        </w:tc>
        <w:tc>
          <w:tcPr/>
          <w:p>
            <w:pPr>
              <w:pStyle w:val="Compact"/>
              <w:jc w:val="left"/>
            </w:pPr>
            <w:r>
              <w:t xml:space="preserve">SMEs/ASP partners</w:t>
            </w:r>
          </w:p>
        </w:tc>
        <w:tc>
          <w:tcPr/>
          <w:p>
            <w:pPr>
              <w:pStyle w:val="Compact"/>
              <w:jc w:val="left"/>
            </w:pPr>
            <w:r>
              <w:t xml:space="preserve">Peppol/ASP onboarding for the 1 Jul 2027 mandate</w:t>
            </w:r>
          </w:p>
        </w:tc>
        <w:tc>
          <w:tcPr/>
          <w:p>
            <w:pPr>
              <w:pStyle w:val="Compact"/>
              <w:jc w:val="left"/>
            </w:pPr>
            <w:r>
              <w:t xml:space="preserve">Priced later (2027)</w:t>
            </w:r>
          </w:p>
        </w:tc>
        <w:tc>
          <w:tcPr/>
          <w:p>
            <w:pPr>
              <w:pStyle w:val="Compact"/>
              <w:jc w:val="left"/>
            </w:pPr>
            <w:r>
              <w:t xml:space="preserve">0 in Year 1 (unbudgeted)</w:t>
            </w:r>
          </w:p>
        </w:tc>
      </w:tr>
    </w:tbl>
    <w:p>
      <w:pPr>
        <w:pStyle w:val="BodyText"/>
      </w:pPr>
      <w:r>
        <w:t xml:space="preserve">We recognise only subscription revenue in the financial plan; the two later streams are optionality, not forecast — this avoids speculative revenue while showing the growth path. No advertising, no sale of data, no commissions in the model.</w:t>
      </w:r>
    </w:p>
    <w:bookmarkEnd w:id="108"/>
    <w:bookmarkStart w:id="109" w:name="key-resources"/>
    <w:p>
      <w:pPr>
        <w:pStyle w:val="Heading2"/>
      </w:pPr>
      <w:r>
        <w:t xml:space="preserve">Key resources</w:t>
      </w:r>
    </w:p>
    <w:p>
      <w:pPr>
        <w:pStyle w:val="FirstParagraph"/>
      </w:pPr>
      <w:r>
        <w:t xml:space="preserve">The team (Section 13); the article-aware legal corpus and retrieval/abstention pipeline (our core technical asset); the brand and published accuracy record we intend to build; the consented usage/feedback dataset; the trade licence; and pre-seed capital (Section 16). The LLM itself is a supplier-provided resource, not owned — stated plainly.</w:t>
      </w:r>
    </w:p>
    <w:bookmarkEnd w:id="109"/>
    <w:bookmarkStart w:id="110" w:name="key-activities"/>
    <w:p>
      <w:pPr>
        <w:pStyle w:val="Heading2"/>
      </w:pPr>
      <w:r>
        <w:t xml:space="preserve">Key activities</w:t>
      </w:r>
    </w:p>
    <w:p>
      <w:pPr>
        <w:pStyle w:val="FirstParagraph"/>
      </w:pPr>
      <w:r>
        <w:t xml:space="preserve">Product development and corpus maintenance (law changes must enter the corpus within days); golden-set evaluation and QA; customer acquisition (content, partnerships); support; data and privacy management; compliance (licence, PDPL); and partner management (LLM provider, cloud, payments, compliance advisor).</w:t>
      </w:r>
    </w:p>
    <w:bookmarkEnd w:id="110"/>
    <w:bookmarkStart w:id="111" w:name="key-partners"/>
    <w:p>
      <w:pPr>
        <w:pStyle w:val="Heading2"/>
      </w:pPr>
      <w:r>
        <w:t xml:space="preserve">Key partners</w:t>
      </w:r>
    </w:p>
    <w:p>
      <w:pPr>
        <w:pStyle w:val="FirstParagraph"/>
      </w:pPr>
      <w:r>
        <w:t xml:space="preserve">AI provider (Google Gemini API — with a tested fallback path, Section 9); cloud host; payment gateway; a</w:t>
      </w:r>
      <w:r>
        <w:t xml:space="preserve"> </w:t>
      </w:r>
      <w:r>
        <w:rPr>
          <w:bCs/>
          <w:b/>
        </w:rPr>
        <w:t xml:space="preserve">retained compliance/tax advisor</w:t>
      </w:r>
      <w:r>
        <w:t xml:space="preserve"> </w:t>
      </w:r>
      <w:r>
        <w:t xml:space="preserve">(a named use of pre-seed funds — critical because no founder is a licensed tax professional); target accelerators (in5, Hub71, DIFC FinTech Hive — applications planned, none confirmed); and, from 2027, an Accredited Service Provider partner for e-invoicing. Each partner’s role and the dependency mitigation are specified in Sections 9, 12 and 17.</w:t>
      </w:r>
    </w:p>
    <w:bookmarkEnd w:id="111"/>
    <w:bookmarkStart w:id="112" w:name="cost-structure"/>
    <w:p>
      <w:pPr>
        <w:pStyle w:val="Heading2"/>
      </w:pPr>
      <w:r>
        <w:t xml:space="preserve">Cost structure</w:t>
      </w:r>
    </w:p>
    <w:p>
      <w:pPr>
        <w:numPr>
          <w:ilvl w:val="0"/>
          <w:numId w:val="1013"/>
        </w:numPr>
        <w:pStyle w:val="Compact"/>
      </w:pPr>
      <w:r>
        <w:rPr>
          <w:bCs/>
          <w:b/>
        </w:rPr>
        <w:t xml:space="preserve">Variable (per paying customer/month)</w:t>
      </w:r>
      <w:r>
        <w:t xml:space="preserve">: LLM API ~AED 1–3 per active user; payment-processing ~3% of billings; incremental hosting — together ~AED 10/customer/month (Section 15).</w:t>
      </w:r>
    </w:p>
    <w:p>
      <w:pPr>
        <w:numPr>
          <w:ilvl w:val="0"/>
          <w:numId w:val="1013"/>
        </w:numPr>
        <w:pStyle w:val="Compact"/>
      </w:pPr>
      <w:r>
        <w:rPr>
          <w:bCs/>
          <w:b/>
        </w:rPr>
        <w:t xml:space="preserve">Semi-variable</w:t>
      </w:r>
      <w:r>
        <w:t xml:space="preserve">: free-tier LLM cost (capped by the 5-question/3-scan limits — the limits are the cost control), support time.</w:t>
      </w:r>
    </w:p>
    <w:p>
      <w:pPr>
        <w:numPr>
          <w:ilvl w:val="0"/>
          <w:numId w:val="1013"/>
        </w:numPr>
        <w:pStyle w:val="Compact"/>
      </w:pPr>
      <w:r>
        <w:rPr>
          <w:bCs/>
          <w:b/>
        </w:rPr>
        <w:t xml:space="preserve">Fixed</w:t>
      </w:r>
      <w:r>
        <w:t xml:space="preserve">: hosting base (~AED 500/month initially), software tools, marketing (AED 3,000/month), founder stipends post-funding, compliance-advisor retainer, licence/legal.</w:t>
      </w:r>
      <w:r>
        <w:t xml:space="preserve"> </w:t>
      </w:r>
      <w:r>
        <w:t xml:space="preserve">Major cost driver at scale: LLM usage — hence usage limits on every tier including paid (Pro’s</w:t>
      </w:r>
      <w:r>
        <w:t xml:space="preserve"> </w:t>
      </w:r>
      <w:r>
        <w:t xml:space="preserve">“</w:t>
      </w:r>
      <w:r>
        <w:t xml:space="preserve">unlimited Q&amp;A</w:t>
      </w:r>
      <w:r>
        <w:t xml:space="preserve">”</w:t>
      </w:r>
      <w:r>
        <w:t xml:space="preserve"> </w:t>
      </w:r>
      <w:r>
        <w:t xml:space="preserve">carries a fair-use policy stated in the terms; invoice scans are capped at 100/month).</w:t>
      </w:r>
    </w:p>
    <w:bookmarkEnd w:id="112"/>
    <w:bookmarkStart w:id="113" w:name="monthly-subscription-mechanics"/>
    <w:p>
      <w:pPr>
        <w:pStyle w:val="Heading2"/>
      </w:pPr>
      <w:r>
        <w:t xml:space="preserve">Monthly subscription mechanics</w:t>
      </w:r>
    </w:p>
    <w:p>
      <w:pPr>
        <w:pStyle w:val="FirstParagraph"/>
      </w:pPr>
      <w:r>
        <w:t xml:space="preserve">Pro AED 149/month targets the single-owner SME: continuous need (weekly invoices, quarterly VAT, annual CT — compliance never stops, which is what justifies recurring pricing), expected churn assumption 3%/month (Section 15). Business AED 399/month targets multi-user firms; its higher price is justified by seats, collaboration and priority support, not an arbitrary markup.</w:t>
      </w:r>
    </w:p>
    <w:bookmarkEnd w:id="113"/>
    <w:bookmarkStart w:id="114" w:name="annual-subscription-mechanics"/>
    <w:p>
      <w:pPr>
        <w:pStyle w:val="Heading2"/>
      </w:pPr>
      <w:r>
        <w:t xml:space="preserve">Annual subscription mechanics</w:t>
      </w:r>
    </w:p>
    <w:p>
      <w:pPr>
        <w:pStyle w:val="FirstParagraph"/>
      </w:pPr>
      <w:r>
        <w:t xml:space="preserve">Annual =</w:t>
      </w:r>
      <w:r>
        <w:t xml:space="preserve"> </w:t>
      </w:r>
      <w:r>
        <w:rPr>
          <w:bCs/>
          <w:b/>
        </w:rPr>
        <w:t xml:space="preserve">two months free</w:t>
      </w:r>
      <w:r>
        <w:t xml:space="preserve"> </w:t>
      </w:r>
      <w:r>
        <w:t xml:space="preserve">(Pro AED 1,490/yr; Business AED 3,990/yr; a 16.7% discount). Benefits to us: upfront cash flow and lower churn; to the customer: a lower effective rate. Assumed uptake: 30% of payers by end of Year 1 (an assumption, stated in Section 15). Renewal is explicit — advance notice, no hidden auto-renewal terms, cancel anytime for the following period.</w:t>
      </w:r>
    </w:p>
    <w:bookmarkEnd w:id="114"/>
    <w:bookmarkStart w:id="115" w:name="freemium-mechanics"/>
    <w:p>
      <w:pPr>
        <w:pStyle w:val="Heading2"/>
      </w:pPr>
      <w:r>
        <w:t xml:space="preserve">Freemium mechanics</w:t>
      </w:r>
    </w:p>
    <w:p>
      <w:pPr>
        <w:pStyle w:val="FirstParagraph"/>
      </w:pPr>
      <w:r>
        <w:t xml:space="preserve">Free tier: 5 questions + 3 invoice scans per month — enough to prove value on a real compliance event, not enough to run a business on (a trading firm hits the scan limit in week one). Paid tiers unlock unlimited Q&amp;A (fair use), 100 scans, audit-trail export, multi-user. Conversion mechanism: hitting a limit mid-task, deadline-season prompts, and the export paywall.</w:t>
      </w:r>
      <w:r>
        <w:t xml:space="preserve"> </w:t>
      </w:r>
      <w:r>
        <w:rPr>
          <w:bCs/>
          <w:b/>
        </w:rPr>
        <w:t xml:space="preserve">Assumed free-to-paid conversion: 4%</w:t>
      </w:r>
      <w:r>
        <w:t xml:space="preserve"> </w:t>
      </w:r>
      <w:r>
        <w:t xml:space="preserve">(range 3–5%, Section 11) — an assumption to be tested in the pilot, not a promise; the free tier’s LLM cost is capped by design so a large free base cannot sink unit economics.</w:t>
      </w:r>
    </w:p>
    <w:bookmarkEnd w:id="115"/>
    <w:bookmarkStart w:id="116" w:name="why-this-revenue-model-is-appropriate"/>
    <w:p>
      <w:pPr>
        <w:pStyle w:val="Heading2"/>
      </w:pPr>
      <w:r>
        <w:t xml:space="preserve">Why this revenue model is appropriate</w:t>
      </w:r>
    </w:p>
    <w:p>
      <w:pPr>
        <w:numPr>
          <w:ilvl w:val="0"/>
          <w:numId w:val="1014"/>
        </w:numPr>
        <w:pStyle w:val="Compact"/>
      </w:pPr>
      <w:r>
        <w:rPr>
          <w:bCs/>
          <w:b/>
        </w:rPr>
        <w:t xml:space="preserve">Match with usage</w:t>
      </w:r>
      <w:r>
        <w:t xml:space="preserve">: compliance is recurring, so value delivery is recurring — subscription is the honest pricing shape. (2)</w:t>
      </w:r>
      <w:r>
        <w:t xml:space="preserve"> </w:t>
      </w:r>
      <w:r>
        <w:rPr>
          <w:bCs/>
          <w:b/>
        </w:rPr>
        <w:t xml:space="preserve">Match with willingness to pay</w:t>
      </w:r>
      <w:r>
        <w:t xml:space="preserve">: AED 149–399 sits inside the researched white space between software (Wafeq AED 57–249; Tax Star AED 500–1,000/yr) and human service (AED 800–1,700+/mo). (3)</w:t>
      </w:r>
      <w:r>
        <w:t xml:space="preserve"> </w:t>
      </w:r>
      <w:r>
        <w:rPr>
          <w:bCs/>
          <w:b/>
        </w:rPr>
        <w:t xml:space="preserve">Predictability</w:t>
      </w:r>
      <w:r>
        <w:t xml:space="preserve">: subscription MRR makes a small company plannable and fundable. (4)</w:t>
      </w:r>
      <w:r>
        <w:t xml:space="preserve"> </w:t>
      </w:r>
      <w:r>
        <w:rPr>
          <w:bCs/>
          <w:b/>
        </w:rPr>
        <w:t xml:space="preserve">Cost-to-serve fit</w:t>
      </w:r>
      <w:r>
        <w:t xml:space="preserve">: per-customer AI costs are variable; per-customer subscription revenue covers them with ~94% contribution margin (Section 15). (5)</w:t>
      </w:r>
      <w:r>
        <w:t xml:space="preserve"> </w:t>
      </w:r>
      <w:r>
        <w:rPr>
          <w:bCs/>
          <w:b/>
        </w:rPr>
        <w:t xml:space="preserve">Competitor congruence</w:t>
      </w:r>
      <w:r>
        <w:t xml:space="preserve">: the segment already buys software this way. (6)</w:t>
      </w:r>
      <w:r>
        <w:t xml:space="preserve"> </w:t>
      </w:r>
      <w:r>
        <w:rPr>
          <w:bCs/>
          <w:b/>
        </w:rPr>
        <w:t xml:space="preserve">Scalability</w:t>
      </w:r>
      <w:r>
        <w:t xml:space="preserve">: marginal cost per customer is dirhams, not hours. We considered and rejected pay-per-question (penalises the engaged users we want), advertising (trust-destroying in a compliance product) and pure enterprise licensing (beyond a 3-person team’s sales capacity). One primary model, chosen on evidence.</w:t>
      </w:r>
    </w:p>
    <w:bookmarkEnd w:id="116"/>
    <w:bookmarkEnd w:id="117"/>
    <w:bookmarkStart w:id="135" w:name="section-9-ai-and-technology-plan"/>
    <w:p>
      <w:pPr>
        <w:pStyle w:val="Heading1"/>
      </w:pPr>
      <w:r>
        <w:t xml:space="preserve">Section 9: AI and Technology Plan</w:t>
      </w:r>
    </w:p>
    <w:bookmarkStart w:id="118" w:name="development-platform"/>
    <w:p>
      <w:pPr>
        <w:pStyle w:val="Heading2"/>
      </w:pPr>
      <w:r>
        <w:t xml:space="preserve">Development platform</w:t>
      </w:r>
    </w:p>
    <w:p>
      <w:pPr>
        <w:pStyle w:val="FirstParagraph"/>
      </w:pPr>
      <w:r>
        <w:t xml:space="preserve">Mizan is a custom web application: a</w:t>
      </w:r>
      <w:r>
        <w:t xml:space="preserve"> </w:t>
      </w:r>
      <w:r>
        <w:rPr>
          <w:bCs/>
          <w:b/>
        </w:rPr>
        <w:t xml:space="preserve">React frontend</w:t>
      </w:r>
      <w:r>
        <w:t xml:space="preserve"> </w:t>
      </w:r>
      <w:r>
        <w:t xml:space="preserve">and a</w:t>
      </w:r>
      <w:r>
        <w:t xml:space="preserve"> </w:t>
      </w:r>
      <w:r>
        <w:rPr>
          <w:bCs/>
          <w:b/>
        </w:rPr>
        <w:t xml:space="preserve">Python FastAPI backend</w:t>
      </w:r>
      <w:r>
        <w:t xml:space="preserve">. We chose full web development over no-code/low-code because the core of the product — the agentic tool-loop, article-aware retrieval, abstention logic and audit-trail UI — cannot be expressed in no-code tools, and because the team can actually build it (the MVP exists and is demoed; Nandita has shipped production AI systems, Jillian Priscilla leads frontend and deployment). Cost is developer time (founder-built) plus modest cloud spend; scalability is adequate for the planned volumes (a stateless API scales horizontally). Limitations, stated: a custom stack means we own all maintenance, and the team’s capacity is three people — features are rationed accordingly.</w:t>
      </w:r>
    </w:p>
    <w:bookmarkEnd w:id="118"/>
    <w:bookmarkStart w:id="119" w:name="ai-model-or-service"/>
    <w:p>
      <w:pPr>
        <w:pStyle w:val="Heading2"/>
      </w:pPr>
      <w:r>
        <w:t xml:space="preserve">AI model or service</w:t>
      </w:r>
    </w:p>
    <w:p>
      <w:pPr>
        <w:pStyle w:val="FirstParagraph"/>
      </w:pPr>
      <w:r>
        <w:t xml:space="preserve">Mizan uses an</w:t>
      </w:r>
      <w:r>
        <w:t xml:space="preserve"> </w:t>
      </w:r>
      <w:r>
        <w:rPr>
          <w:bCs/>
          <w:b/>
        </w:rPr>
        <w:t xml:space="preserve">external commercial large-language-model API — Google’s Gemini family — for language understanding, tool orchestration and vision extraction. We do not own or train a proprietary model, and we claim no such thing.</w:t>
      </w:r>
      <w:r>
        <w:t xml:space="preserve"> </w:t>
      </w:r>
      <w:r>
        <w:t xml:space="preserve">The main tasks: interpret the question, decide which tools to call (bounded iterations), draft the cited answer or abstain, and extract fields from invoice images. Cost structure is usage-based (per-token/per-image), estimated at</w:t>
      </w:r>
      <w:r>
        <w:t xml:space="preserve"> </w:t>
      </w:r>
      <w:r>
        <w:rPr>
          <w:bCs/>
          <w:b/>
        </w:rPr>
        <w:t xml:space="preserve">AED 1–3 per active user per month at current prices</w:t>
      </w:r>
      <w:r>
        <w:t xml:space="preserve"> </w:t>
      </w:r>
      <w:r>
        <w:t xml:space="preserve">(assumption, Section 15). Alternatives were compared on capability, vision support, regional availability and price (OpenAI, Anthropic, open-weight models); the architecture keeps the provider behind a thin internal interface so switching is a bounded engineering task — our named mitigation for supplier dependence (Section 17). Data-security posture with the provider: we send question text and invoice images under the provider’s commercial API terms (not used for their training under those terms); we minimise what is sent and store audit trails ourselves.</w:t>
      </w:r>
    </w:p>
    <w:bookmarkEnd w:id="119"/>
    <w:bookmarkStart w:id="120" w:name="X89448d8964697d56b2b417b9d768cf48ce0a741"/>
    <w:p>
      <w:pPr>
        <w:pStyle w:val="Heading2"/>
      </w:pPr>
      <w:r>
        <w:t xml:space="preserve">Retrieval and the legal corpus (the proprietary layer)</w:t>
      </w:r>
    </w:p>
    <w:p>
      <w:pPr>
        <w:pStyle w:val="FirstParagraph"/>
      </w:pPr>
      <w:r>
        <w:t xml:space="preserve">The corpus: Federal Decree-Law 47/2022 (Corporate Tax), Federal Decree-Law 8/2017 (VAT) and official FTA guides — public, official sources we have the right to index — chunked</w:t>
      </w:r>
      <w:r>
        <w:t xml:space="preserve"> </w:t>
      </w:r>
      <w:r>
        <w:rPr>
          <w:bCs/>
          <w:b/>
        </w:rPr>
        <w:t xml:space="preserve">article-aware</w:t>
      </w:r>
      <w:r>
        <w:t xml:space="preserve"> </w:t>
      </w:r>
      <w:r>
        <w:t xml:space="preserve">so citations resolve to real articles. Retrieval today is keyword and structure-aware (</w:t>
      </w:r>
      <w:r>
        <w:rPr>
          <w:bCs/>
          <w:b/>
        </w:rPr>
        <w:t xml:space="preserve">BM25</w:t>
      </w:r>
      <w:r>
        <w:t xml:space="preserve">); v2 adds hybrid semantic retrieval with reranking. This layer — corpus engineering, retrieval, abstention thresholds, audit trails — is our own code and our real technical asset.</w:t>
      </w:r>
    </w:p>
    <w:bookmarkEnd w:id="120"/>
    <w:bookmarkStart w:id="121" w:name="database"/>
    <w:p>
      <w:pPr>
        <w:pStyle w:val="Heading2"/>
      </w:pPr>
      <w:r>
        <w:t xml:space="preserve">Database</w:t>
      </w:r>
    </w:p>
    <w:p>
      <w:pPr>
        <w:pStyle w:val="FirstParagraph"/>
      </w:pPr>
      <w:r>
        <w:t xml:space="preserve">Stored data: user accounts and subscriptions (structured), usage logs and audit trails (structured), the legal corpus and its index (text), uploaded invoice images and extractions (unstructured + structured). A managed</w:t>
      </w:r>
      <w:r>
        <w:t xml:space="preserve"> </w:t>
      </w:r>
      <w:r>
        <w:rPr>
          <w:bCs/>
          <w:b/>
        </w:rPr>
        <w:t xml:space="preserve">PostgreSQL</w:t>
      </w:r>
      <w:r>
        <w:t xml:space="preserve"> </w:t>
      </w:r>
      <w:r>
        <w:t xml:space="preserve">instance holds structured data; object storage holds images.</w:t>
      </w:r>
      <w:r>
        <w:t xml:space="preserve"> </w:t>
      </w:r>
      <w:r>
        <w:rPr>
          <w:bCs/>
          <w:b/>
        </w:rPr>
        <w:t xml:space="preserve">Deliberately not stored in the MVP: accounting ledgers, bank data, or any client financial records</w:t>
      </w:r>
      <w:r>
        <w:t xml:space="preserve"> </w:t>
      </w:r>
      <w:r>
        <w:t xml:space="preserve">— minimising both risk and regulatory surface. Access is role-based with least privilege; passwords are salted-hashed (never plain text); automated daily backups with tested restores; the managed service scales beyond our 3-year volumes.</w:t>
      </w:r>
    </w:p>
    <w:bookmarkEnd w:id="121"/>
    <w:bookmarkStart w:id="122" w:name="hosting"/>
    <w:p>
      <w:pPr>
        <w:pStyle w:val="Heading2"/>
      </w:pPr>
      <w:r>
        <w:t xml:space="preserve">Hosting</w:t>
      </w:r>
    </w:p>
    <w:p>
      <w:pPr>
        <w:pStyle w:val="FirstParagraph"/>
      </w:pPr>
      <w:r>
        <w:t xml:space="preserve">Managed cloud hosting (initial cost</w:t>
      </w:r>
      <w:r>
        <w:t xml:space="preserve"> </w:t>
      </w:r>
      <w:r>
        <w:rPr>
          <w:bCs/>
          <w:b/>
        </w:rPr>
        <w:t xml:space="preserve">~AED 500/month</w:t>
      </w:r>
      <w:r>
        <w:t xml:space="preserve">, scaling with usage — Section 15). Availability expectation: standard managed-cloud uptime; we publish a status page but promise no contractual SLA at MVP stage — an honest limit. Data-location: we will prefer a UAE or nearby region consistent with PDPL guidance on transfers (a confirmation task for the compliance advisor). Backups are automated and geographically separated.</w:t>
      </w:r>
    </w:p>
    <w:bookmarkEnd w:id="122"/>
    <w:bookmarkStart w:id="123" w:name="user-interface"/>
    <w:p>
      <w:pPr>
        <w:pStyle w:val="Heading2"/>
      </w:pPr>
      <w:r>
        <w:t xml:space="preserve">User interface</w:t>
      </w:r>
    </w:p>
    <w:p>
      <w:pPr>
        <w:pStyle w:val="FirstParagraph"/>
      </w:pPr>
      <w:r>
        <w:t xml:space="preserve">Main screens in the MVP: the start screen (scope notice, suggested questions) and the Q&amp;A workspace (question box, answer with citation chips, grounding indicator, expandable audit-trail panel,</w:t>
      </w:r>
      <w:r>
        <w:t xml:space="preserve"> </w:t>
      </w:r>
      <w:r>
        <w:t xml:space="preserve">“</w:t>
      </w:r>
      <w:r>
        <w:t xml:space="preserve">Declined to guess</w:t>
      </w:r>
      <w:r>
        <w:t xml:space="preserve">”</w:t>
      </w:r>
      <w:r>
        <w:t xml:space="preserve"> </w:t>
      </w:r>
      <w:r>
        <w:t xml:space="preserve">badge, invoice upload with extraction card). The commercial product (v1.1) adds signup/onboarding, a usage dashboard and account/billing screens. The design is a single-column workspace, mobile-responsive (no native app at launch — a responsive site serves the desk-based workflow; Section 18 revisits). Accessibility: readable type, high contrast, plain English at a non-specialist reading level. Every AI output screen explains what the user is seeing — no unexplained scores anywhere.</w:t>
      </w:r>
    </w:p>
    <w:bookmarkEnd w:id="123"/>
    <w:bookmarkStart w:id="124" w:name="payment-system"/>
    <w:p>
      <w:pPr>
        <w:pStyle w:val="Heading2"/>
      </w:pPr>
      <w:r>
        <w:t xml:space="preserve">Payment system</w:t>
      </w:r>
    </w:p>
    <w:p>
      <w:pPr>
        <w:pStyle w:val="FirstParagraph"/>
      </w:pPr>
      <w:r>
        <w:t xml:space="preserve">A PCI-DSS-compliant gateway (e.g., Stripe or a UAE-licensed equivalent — final selection at incorporation) handles cards in AED;</w:t>
      </w:r>
      <w:r>
        <w:t xml:space="preserve"> </w:t>
      </w:r>
      <w:r>
        <w:rPr>
          <w:bCs/>
          <w:b/>
        </w:rPr>
        <w:t xml:space="preserve">we never store full card data ourselves</w:t>
      </w:r>
      <w:r>
        <w:t xml:space="preserve">. Subscription management (upgrades, downgrades, cancellation) is self-serve; refund policy: pro-rata for billing errors, goodwill refunds within 14 days of first payment; VAT on our own invoices handled correctly — we must be exemplary here.</w:t>
      </w:r>
    </w:p>
    <w:bookmarkEnd w:id="124"/>
    <w:bookmarkStart w:id="125" w:name="security-controls"/>
    <w:p>
      <w:pPr>
        <w:pStyle w:val="Heading2"/>
      </w:pPr>
      <w:r>
        <w:t xml:space="preserve">Security controls</w:t>
      </w:r>
    </w:p>
    <w:p>
      <w:pPr>
        <w:pStyle w:val="FirstParagraph"/>
      </w:pPr>
      <w:r>
        <w:t xml:space="preserve">Authentication with email verification; MFA offered for all accounts and required for Business-tier admins; TLS encryption in transit and encryption at rest; role-based access internally (least privilege, access reviewed monthly, revoked on departure); dependency and patch updates on a monthly cycle with critical patches immediately; centralised logging and anomaly alerts; documented incident-response runbook (contain, assess, notify per PDPL, remediate, post-mortem). No guarantee of unbreakability is made — the controls are what we can truthfully implement at our size.</w:t>
      </w:r>
    </w:p>
    <w:bookmarkEnd w:id="125"/>
    <w:bookmarkStart w:id="126" w:name="data-storage-retention-and-deletion"/>
    <w:p>
      <w:pPr>
        <w:pStyle w:val="Heading2"/>
      </w:pPr>
      <w:r>
        <w:t xml:space="preserve">Data storage, retention and deletion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Retention</w:t>
            </w:r>
          </w:p>
        </w:tc>
        <w:tc>
          <w:tcPr/>
          <w:p>
            <w:pPr>
              <w:pStyle w:val="Compact"/>
              <w:jc w:val="left"/>
            </w:pPr>
            <w:r>
              <w:t xml:space="preserve">Rationale</w:t>
            </w:r>
          </w:p>
        </w:tc>
      </w:tr>
      <w:tr>
        <w:tc>
          <w:tcPr/>
          <w:p>
            <w:pPr>
              <w:pStyle w:val="Compact"/>
              <w:jc w:val="left"/>
            </w:pPr>
            <w:r>
              <w:t xml:space="preserve">Account data</w:t>
            </w:r>
          </w:p>
        </w:tc>
        <w:tc>
          <w:tcPr/>
          <w:p>
            <w:pPr>
              <w:pStyle w:val="Compact"/>
              <w:jc w:val="left"/>
            </w:pPr>
            <w:r>
              <w:t xml:space="preserve">Life of account + 30 days</w:t>
            </w:r>
          </w:p>
        </w:tc>
        <w:tc>
          <w:tcPr/>
          <w:p>
            <w:pPr>
              <w:pStyle w:val="Compact"/>
              <w:jc w:val="left"/>
            </w:pPr>
            <w:r>
              <w:t xml:space="preserve">Service delivery</w:t>
            </w:r>
          </w:p>
        </w:tc>
      </w:tr>
      <w:tr>
        <w:tc>
          <w:tcPr/>
          <w:p>
            <w:pPr>
              <w:pStyle w:val="Compact"/>
              <w:jc w:val="left"/>
            </w:pPr>
            <w:r>
              <w:t xml:space="preserve">Q&amp;A audit trails</w:t>
            </w:r>
          </w:p>
        </w:tc>
        <w:tc>
          <w:tcPr/>
          <w:p>
            <w:pPr>
              <w:pStyle w:val="Compact"/>
              <w:jc w:val="left"/>
            </w:pPr>
            <w:r>
              <w:t xml:space="preserve">24 months (user-exportable)</w:t>
            </w:r>
          </w:p>
        </w:tc>
        <w:tc>
          <w:tcPr/>
          <w:p>
            <w:pPr>
              <w:pStyle w:val="Compact"/>
              <w:jc w:val="left"/>
            </w:pPr>
            <w:r>
              <w:t xml:space="preserve">The product’s diligence-evidence value</w:t>
            </w:r>
          </w:p>
        </w:tc>
      </w:tr>
      <w:tr>
        <w:tc>
          <w:tcPr/>
          <w:p>
            <w:pPr>
              <w:pStyle w:val="Compact"/>
              <w:jc w:val="left"/>
            </w:pPr>
            <w:r>
              <w:t xml:space="preserve">Invoice images</w:t>
            </w:r>
          </w:p>
        </w:tc>
        <w:tc>
          <w:tcPr/>
          <w:p>
            <w:pPr>
              <w:pStyle w:val="Compact"/>
              <w:jc w:val="left"/>
            </w:pPr>
            <w:r>
              <w:t xml:space="preserve">12 months or user deletion</w:t>
            </w:r>
          </w:p>
        </w:tc>
        <w:tc>
          <w:tcPr/>
          <w:p>
            <w:pPr>
              <w:pStyle w:val="Compact"/>
              <w:jc w:val="left"/>
            </w:pPr>
            <w:r>
              <w:t xml:space="preserve">Re-verification window</w:t>
            </w:r>
          </w:p>
        </w:tc>
      </w:tr>
      <w:tr>
        <w:tc>
          <w:tcPr/>
          <w:p>
            <w:pPr>
              <w:pStyle w:val="Compact"/>
              <w:jc w:val="left"/>
            </w:pPr>
            <w:r>
              <w:t xml:space="preserve">Payment records</w:t>
            </w:r>
          </w:p>
        </w:tc>
        <w:tc>
          <w:tcPr/>
          <w:p>
            <w:pPr>
              <w:pStyle w:val="Compact"/>
              <w:jc w:val="left"/>
            </w:pPr>
            <w:r>
              <w:t xml:space="preserve">Per legal/tax requirements</w:t>
            </w:r>
          </w:p>
        </w:tc>
        <w:tc>
          <w:tcPr/>
          <w:p>
            <w:pPr>
              <w:pStyle w:val="Compact"/>
              <w:jc w:val="left"/>
            </w:pPr>
            <w:r>
              <w:t xml:space="preserve">Statutory</w:t>
            </w:r>
          </w:p>
        </w:tc>
      </w:tr>
      <w:tr>
        <w:tc>
          <w:tcPr/>
          <w:p>
            <w:pPr>
              <w:pStyle w:val="Compact"/>
              <w:jc w:val="left"/>
            </w:pPr>
            <w:r>
              <w:t xml:space="preserve">Analytics events</w:t>
            </w:r>
          </w:p>
        </w:tc>
        <w:tc>
          <w:tcPr/>
          <w:p>
            <w:pPr>
              <w:pStyle w:val="Compact"/>
              <w:jc w:val="left"/>
            </w:pPr>
            <w:r>
              <w:t xml:space="preserve">12 months, aggregated after</w:t>
            </w:r>
          </w:p>
        </w:tc>
        <w:tc>
          <w:tcPr/>
          <w:p>
            <w:pPr>
              <w:pStyle w:val="Compact"/>
              <w:jc w:val="left"/>
            </w:pPr>
            <w:r>
              <w:t xml:space="preserve">Product improvement</w:t>
            </w:r>
          </w:p>
        </w:tc>
      </w:tr>
    </w:tbl>
    <w:p>
      <w:pPr>
        <w:pStyle w:val="BodyText"/>
      </w:pPr>
      <w:r>
        <w:t xml:space="preserve">Users can delete their account and data from the app; deletion propagates to backups on cycle. Nothing is retained</w:t>
      </w:r>
      <w:r>
        <w:t xml:space="preserve"> </w:t>
      </w:r>
      <w:r>
        <w:t xml:space="preserve">“</w:t>
      </w:r>
      <w:r>
        <w:t xml:space="preserve">forever by default.</w:t>
      </w:r>
      <w:r>
        <w:t xml:space="preserve">”</w:t>
      </w:r>
    </w:p>
    <w:bookmarkEnd w:id="126"/>
    <w:bookmarkStart w:id="127" w:name="apis-and-external-integrations"/>
    <w:p>
      <w:pPr>
        <w:pStyle w:val="Heading2"/>
      </w:pPr>
      <w:r>
        <w:t xml:space="preserve">APIs and external integrations</w:t>
      </w:r>
    </w:p>
    <w:p>
      <w:pPr>
        <w:pStyle w:val="FirstParagraph"/>
      </w:pPr>
      <w:r>
        <w:t xml:space="preserve">MVP integrations, each with purpose/cost/fallback: the LLM API (core reasoning; usage-based; switchable by design), cloud hosting (infrastructure; monthly; portable), payment gateway (billing; ~3% of billings; replaceable), email service (transactional mail; minor). Deliberately absent from the MVP: accounting-software integrations and the Peppol/ASP e-invoicing connection — the latter is scheduled to the regulatory calendar (ASP partner selection by 31 Mar 2027; SME mandate 1 Jul 2027, MD 244/2025). No undocumented APIs are used.</w:t>
      </w:r>
    </w:p>
    <w:bookmarkEnd w:id="127"/>
    <w:bookmarkStart w:id="128" w:name="analytics-tools"/>
    <w:p>
      <w:pPr>
        <w:pStyle w:val="Heading2"/>
      </w:pPr>
      <w:r>
        <w:t xml:space="preserve">Analytics tools</w:t>
      </w:r>
    </w:p>
    <w:p>
      <w:pPr>
        <w:pStyle w:val="FirstParagraph"/>
      </w:pPr>
      <w:r>
        <w:t xml:space="preserve">Privacy-conscious product analytics (aggregate usage, activation, conversion funnels), error monitoring, and</w:t>
      </w:r>
      <w:r>
        <w:t xml:space="preserve"> </w:t>
      </w:r>
      <w:r>
        <w:rPr>
          <w:bCs/>
          <w:b/>
        </w:rPr>
        <w:t xml:space="preserve">model-performance monitoring</w:t>
      </w:r>
      <w:r>
        <w:t xml:space="preserve">: answer/abstention rates, citation-click rates, user feedback flags, latency and per-answer cost. No third-party ad trackers inside the logged-in product; analytics are disclosed in the privacy policy. Vanity metrics are excluded from our KPI set by policy (Section 11 defines the funnel metrics we do track).</w:t>
      </w:r>
    </w:p>
    <w:bookmarkEnd w:id="128"/>
    <w:bookmarkStart w:id="129" w:name="technology-architecture"/>
    <w:p>
      <w:pPr>
        <w:pStyle w:val="Heading2"/>
      </w:pPr>
      <w:r>
        <w:t xml:space="preserve">Technology architecture</w:t>
      </w:r>
    </w:p>
    <w:p>
      <w:pPr>
        <w:pStyle w:val="FirstParagraph"/>
      </w:pPr>
      <w:r>
        <w:t xml:space="preserve">[Figure 1 placeholder: architecture diagram — browser (React) → FastAPI backend → {agentic loop → BM25 retriever over article-aware legal corpus; deterministic VAT calculator; vision extraction} → LLM API; PostgreSQL + object storage; payment gateway; analytics; human-review touchpoints marked at answer-feedback and invoice-flag paths; arrows show data flow.] The written description above matches the diagram; no credentials or security configurations are depicted.</w:t>
      </w:r>
    </w:p>
    <w:bookmarkEnd w:id="129"/>
    <w:bookmarkStart w:id="130" w:name="X85c9621c478af8ed4d9ae83207d478e633779f9"/>
    <w:p>
      <w:pPr>
        <w:pStyle w:val="Heading2"/>
      </w:pPr>
      <w:r>
        <w:t xml:space="preserve">Data required by the AI, sources and rights</w:t>
      </w:r>
    </w:p>
    <w:p>
      <w:pPr>
        <w:pStyle w:val="FirstParagraph"/>
      </w:pPr>
      <w:r>
        <w:t xml:space="preserve">The AI needs: (1) the legal corpus — official published law and guidance (public source, updated whenever law changes — an operating duty, Section 12); (2) the user’s question or invoice image (user-provided, consented at upload); (3) feedback labels (user-provided, optional). Volume requirements are modest — this is retrieval, not model training. Quality requirement is precision of the corpus: article-level fidelity, verified on ingestion. We license nothing scraped; official legal texts are public government publications.</w:t>
      </w:r>
    </w:p>
    <w:bookmarkEnd w:id="130"/>
    <w:bookmarkStart w:id="131" w:name="structured-and-unstructured-data"/>
    <w:p>
      <w:pPr>
        <w:pStyle w:val="Heading2"/>
      </w:pPr>
      <w:r>
        <w:t xml:space="preserve">Structured and unstructured data</w:t>
      </w:r>
    </w:p>
    <w:p>
      <w:pPr>
        <w:pStyle w:val="FirstParagraph"/>
      </w:pPr>
      <w:r>
        <w:t xml:space="preserve">Structured: VAT amounts, TRNs, totals, subscription records, usage counters — processed deterministically (the calculator and consistency check never involve the LLM). Unstructured: question text, law articles, FTA guide prose, invoice images — processed through retrieval and the LLM. The pipeline explicitly routes each type to the right processor; that routing is the abstention system’s backbone.</w:t>
      </w:r>
    </w:p>
    <w:bookmarkEnd w:id="131"/>
    <w:bookmarkStart w:id="132" w:name="ai-model-testing"/>
    <w:p>
      <w:pPr>
        <w:pStyle w:val="Heading2"/>
      </w:pPr>
      <w:r>
        <w:t xml:space="preserve">AI-model testing</w:t>
      </w:r>
    </w:p>
    <w:p>
      <w:pPr>
        <w:pStyle w:val="FirstParagraph"/>
      </w:pPr>
      <w:r>
        <w:t xml:space="preserve">Because we use a hosted model,</w:t>
      </w:r>
      <w:r>
        <w:t xml:space="preserve"> </w:t>
      </w:r>
      <w:r>
        <w:t xml:space="preserve">“</w:t>
      </w:r>
      <w:r>
        <w:t xml:space="preserve">testing</w:t>
      </w:r>
      <w:r>
        <w:t xml:space="preserve">”</w:t>
      </w:r>
      <w:r>
        <w:t xml:space="preserve"> </w:t>
      </w:r>
      <w:r>
        <w:t xml:space="preserve">means</w:t>
      </w:r>
      <w:r>
        <w:t xml:space="preserve"> </w:t>
      </w:r>
      <w:r>
        <w:rPr>
          <w:bCs/>
          <w:b/>
        </w:rPr>
        <w:t xml:space="preserve">system evaluation, not model training</w:t>
      </w:r>
      <w:r>
        <w:t xml:space="preserve">: (1) the</w:t>
      </w:r>
      <w:r>
        <w:t xml:space="preserve"> </w:t>
      </w:r>
      <w:r>
        <w:rPr>
          <w:bCs/>
          <w:b/>
        </w:rPr>
        <w:t xml:space="preserve">golden set</w:t>
      </w:r>
      <w:r>
        <w:t xml:space="preserve"> </w:t>
      </w:r>
      <w:r>
        <w:t xml:space="preserve">— UAE CT/VAT questions with professionally validated answers, run on every release; metrics: faithfulness, false-answer rate, abstention correctness (Section 7); (2)</w:t>
      </w:r>
      <w:r>
        <w:t xml:space="preserve"> </w:t>
      </w:r>
      <w:r>
        <w:rPr>
          <w:bCs/>
          <w:b/>
        </w:rPr>
        <w:t xml:space="preserve">adversarial and edge testing</w:t>
      </w:r>
      <w:r>
        <w:t xml:space="preserve"> </w:t>
      </w:r>
      <w:r>
        <w:t xml:space="preserve">— ambiguous questions, out-of-scope questions (income tax abroad), blurry/handwritten invoices, incomplete inputs; (3)</w:t>
      </w:r>
      <w:r>
        <w:t xml:space="preserve"> </w:t>
      </w:r>
      <w:r>
        <w:rPr>
          <w:bCs/>
          <w:b/>
        </w:rPr>
        <w:t xml:space="preserve">fairness checks</w:t>
      </w:r>
      <w:r>
        <w:t xml:space="preserve"> </w:t>
      </w:r>
      <w:r>
        <w:t xml:space="preserve">— consistent behaviour across industries and question phrasings (including non-native English), reviewed quarterly (Section 14); (4)</w:t>
      </w:r>
      <w:r>
        <w:t xml:space="preserve"> </w:t>
      </w:r>
      <w:r>
        <w:rPr>
          <w:bCs/>
          <w:b/>
        </w:rPr>
        <w:t xml:space="preserve">user acceptance testing</w:t>
      </w:r>
      <w:r>
        <w:t xml:space="preserve"> </w:t>
      </w:r>
      <w:r>
        <w:t xml:space="preserve">— the prototype tests in Section 10. Current status stated honestly: manual QA and the demo exist today; the formal golden-set benchmark is a funded v2 deliverable — we publish numbers when we have them, and no accuracy figure appears in this plan that we have not measured.</w:t>
      </w:r>
    </w:p>
    <w:bookmarkEnd w:id="132"/>
    <w:bookmarkStart w:id="133" w:name="Xbab38d7718e33a605cca35f974bcdc52fee4ccf"/>
    <w:p>
      <w:pPr>
        <w:pStyle w:val="Heading2"/>
      </w:pPr>
      <w:r>
        <w:t xml:space="preserve">Managing inaccurate outputs and human review</w:t>
      </w:r>
    </w:p>
    <w:p>
      <w:pPr>
        <w:pStyle w:val="FirstParagraph"/>
      </w:pPr>
      <w:r>
        <w:t xml:space="preserve">Layers, in order: retrieval grounding → abstention below confidence thresholds → citation display (user can verify) → deterministic tools for arithmetic → in-product warnings and the</w:t>
      </w:r>
      <w:r>
        <w:t xml:space="preserve"> </w:t>
      </w:r>
      <w:r>
        <w:t xml:space="preserve">“</w:t>
      </w:r>
      <w:r>
        <w:t xml:space="preserve">not tax advice</w:t>
      </w:r>
      <w:r>
        <w:t xml:space="preserve">”</w:t>
      </w:r>
      <w:r>
        <w:t xml:space="preserve"> </w:t>
      </w:r>
      <w:r>
        <w:t xml:space="preserve">scope →</w:t>
      </w:r>
      <w:r>
        <w:t xml:space="preserve"> </w:t>
      </w:r>
      <w:r>
        <w:rPr>
          <w:bCs/>
          <w:b/>
        </w:rPr>
        <w:t xml:space="preserve">user feedback flag on every answer</w:t>
      </w:r>
      <w:r>
        <w:t xml:space="preserve"> </w:t>
      </w:r>
      <w:r>
        <w:t xml:space="preserve">→ team triage of flags within two business days → logged corrections feeding corpus/retrieval fixes → release-gated regression against the golden set. Human review scope and staffing are honest: the user reviews every substantive output (by design), our team reviews samples and all flags (feasible at planned volumes: at 500 customers and ~2% flag rates this is a few reviews a day), and the retained tax advisor reviews the golden set and escalated content questions. Reviews happen before harm because the product’s outputs are informational — the user acts only after seeing citations or an abstention.</w:t>
      </w:r>
    </w:p>
    <w:bookmarkEnd w:id="133"/>
    <w:bookmarkStart w:id="134" w:name="system-improvement-over-time"/>
    <w:p>
      <w:pPr>
        <w:pStyle w:val="Heading2"/>
      </w:pPr>
      <w:r>
        <w:t xml:space="preserve">System improvement over time</w:t>
      </w:r>
    </w:p>
    <w:p>
      <w:pPr>
        <w:pStyle w:val="FirstParagraph"/>
      </w:pPr>
      <w:r>
        <w:t xml:space="preserve">The loop: usage and feedback analytics → weekly error analysis (Section 12) → corpus and retrieval fixes → golden-set regression → versioned release with rollback. New law enters the corpus on a tracked schedule (target: within 5 business days of publication). We do</w:t>
      </w:r>
      <w:r>
        <w:t xml:space="preserve"> </w:t>
      </w:r>
      <w:r>
        <w:rPr>
          <w:bCs/>
          <w:b/>
        </w:rPr>
        <w:t xml:space="preserve">not</w:t>
      </w:r>
      <w:r>
        <w:t xml:space="preserve"> </w:t>
      </w:r>
      <w:r>
        <w:t xml:space="preserve">train on user data automatically; feedback data is used under consent and quality control (Section 14). Every improvement claim is tied to a measured metric — the golden set is the referee.</w:t>
      </w:r>
    </w:p>
    <w:bookmarkEnd w:id="134"/>
    <w:bookmarkEnd w:id="135"/>
    <w:bookmarkStart w:id="144" w:name="section-10-prototype-and-user-experience"/>
    <w:p>
      <w:pPr>
        <w:pStyle w:val="Heading1"/>
      </w:pPr>
      <w:r>
        <w:t xml:space="preserve">Section 10: Prototype and User Experience</w:t>
      </w:r>
    </w:p>
    <w:bookmarkStart w:id="136" w:name="prototype-development-process"/>
    <w:p>
      <w:pPr>
        <w:pStyle w:val="Heading2"/>
      </w:pPr>
      <w:r>
        <w:t xml:space="preserve">Prototype-development process</w:t>
      </w:r>
    </w:p>
    <w:p>
      <w:pPr>
        <w:pStyle w:val="FirstParagraph"/>
      </w:pPr>
      <w:r>
        <w:t xml:space="preserve">The prototype moved through four stages during the course: (1) paper sketches of the core loop (ask → cited answer / abstain); (2) a build of the working MVP — React frontend, FastAPI backend, agentic loop, BM25 retrieval over the article-chunked corpus, deterministic VAT calculator, and vision invoice extraction; (3) internal test-and-fix cycles against a human-verified QA question set; (4) external user tests (below). Key design decisions made along the way: citations shown as labelled chips beside every answer (verification at a glance), abstention as a visible badge rather than hedged prose, and an expandable audit trail on every answer (trust through transparency). The prototype is a working MVP, deployed publicly and demonstrated live; it is</w:t>
      </w:r>
      <w:r>
        <w:t xml:space="preserve"> </w:t>
      </w:r>
      <w:r>
        <w:rPr>
          <w:bCs/>
          <w:b/>
        </w:rPr>
        <w:t xml:space="preserve">not</w:t>
      </w:r>
      <w:r>
        <w:t xml:space="preserve"> </w:t>
      </w:r>
      <w:r>
        <w:t xml:space="preserve">a complete commercial product — accounts, billing, usage metering, Arabic and e-invoicing are absent, exactly as stated in Section 3.</w:t>
      </w:r>
    </w:p>
    <w:bookmarkEnd w:id="136"/>
    <w:bookmarkStart w:id="137" w:name="screenshots-of-main-pages"/>
    <w:p>
      <w:pPr>
        <w:pStyle w:val="Heading2"/>
      </w:pPr>
      <w:r>
        <w:t xml:space="preserve">Screenshots of main pages</w:t>
      </w:r>
    </w:p>
    <w:p>
      <w:pPr>
        <w:pStyle w:val="FirstParagraph"/>
      </w:pPr>
      <w:r>
        <w:t xml:space="preserve">[Figure 2: Start screen — product framing, scope notice (</w:t>
      </w:r>
      <w:r>
        <w:t xml:space="preserve">“</w:t>
      </w:r>
      <w:r>
        <w:t xml:space="preserve">compliance assistance, not tax advice</w:t>
      </w:r>
      <w:r>
        <w:t xml:space="preserve">”</w:t>
      </w:r>
      <w:r>
        <w:t xml:space="preserve">) and suggested questions]</w:t>
      </w:r>
      <w:r>
        <w:t xml:space="preserve"> </w:t>
      </w:r>
      <w:r>
        <w:t xml:space="preserve">[Figure 3: Q&amp;A screen — question entered, cited answer with [doc | Article N] chips and the</w:t>
      </w:r>
      <w:r>
        <w:t xml:space="preserve"> </w:t>
      </w:r>
      <w:r>
        <w:t xml:space="preserve">“</w:t>
      </w:r>
      <w:r>
        <w:t xml:space="preserve">searched the law before answering</w:t>
      </w:r>
      <w:r>
        <w:t xml:space="preserve">”</w:t>
      </w:r>
      <w:r>
        <w:t xml:space="preserve"> </w:t>
      </w:r>
      <w:r>
        <w:t xml:space="preserve">indicator]</w:t>
      </w:r>
      <w:r>
        <w:t xml:space="preserve"> </w:t>
      </w:r>
      <w:r>
        <w:t xml:space="preserve">[Figure 4: Audit trail expanded — each tool call the agent made, with its query]</w:t>
      </w:r>
      <w:r>
        <w:t xml:space="preserve"> </w:t>
      </w:r>
      <w:r>
        <w:t xml:space="preserve">[Figure 5:</w:t>
      </w:r>
      <w:r>
        <w:t xml:space="preserve"> </w:t>
      </w:r>
      <w:r>
        <w:t xml:space="preserve">“</w:t>
      </w:r>
      <w:r>
        <w:t xml:space="preserve">Declined to guess</w:t>
      </w:r>
      <w:r>
        <w:t xml:space="preserve">”</w:t>
      </w:r>
      <w:r>
        <w:t xml:space="preserve"> </w:t>
      </w:r>
      <w:r>
        <w:t xml:space="preserve">state — abstention badge on an unanswerable question]</w:t>
      </w:r>
      <w:r>
        <w:t xml:space="preserve"> </w:t>
      </w:r>
      <w:r>
        <w:t xml:space="preserve">[Figure 6: Invoice upload — extraction card (supplier, TRN, VAT, totals) with the consistency check flagging a mismatch]</w:t>
      </w:r>
      <w:r>
        <w:t xml:space="preserve"> </w:t>
      </w:r>
      <w:r>
        <w:t xml:space="preserve">[Figure 7: Mobile view — the same workflow on a phone]</w:t>
      </w:r>
      <w:r>
        <w:t xml:space="preserve"> </w:t>
      </w:r>
      <w:r>
        <w:t xml:space="preserve">All screenshots use synthetic demo data; no real personal or company data appears.</w:t>
      </w:r>
    </w:p>
    <w:bookmarkEnd w:id="137"/>
    <w:bookmarkStart w:id="138" w:name="user-journey-through-the-prototype"/>
    <w:p>
      <w:pPr>
        <w:pStyle w:val="Heading2"/>
      </w:pPr>
      <w:r>
        <w:t xml:space="preserve">User journey through the prototype</w:t>
      </w:r>
    </w:p>
    <w:p>
      <w:pPr>
        <w:pStyle w:val="FirstParagraph"/>
      </w:pPr>
      <w:r>
        <w:t xml:space="preserve">Sequence: open the public web app (no account required in the MVP) → choose a suggested question or type one → watch the processing indicator while the agent loop runs → receive the cited answer (or the abstention badge) → check the citation chips against the named articles → optionally expand the audit trail → optionally upload an invoice photo → review the extraction card and any mismatch flag. Known friction points we design for rather than deny: first-time users sometimes ask out-of-scope questions (the system explains its scope); abstentions can disappoint (the badge signals</w:t>
      </w:r>
      <w:r>
        <w:t xml:space="preserve"> </w:t>
      </w:r>
      <w:r>
        <w:rPr>
          <w:iCs/>
          <w:i/>
        </w:rPr>
        <w:t xml:space="preserve">why</w:t>
      </w:r>
      <w:r>
        <w:t xml:space="preserve"> </w:t>
      </w:r>
      <w:r>
        <w:t xml:space="preserve">and recommends a professional); blurry photos fail extraction (the error message asks for a clearer image). Signup, dashboards and usage counters belong to the billed product (v1.1) and are deliberately absent from the MVP — the prototype exists to validate the core interaction:</w:t>
      </w:r>
      <w:r>
        <w:t xml:space="preserve"> </w:t>
      </w:r>
      <w:r>
        <w:rPr>
          <w:iCs/>
          <w:i/>
        </w:rPr>
        <w:t xml:space="preserve">will an SME owner trust a cited, abstaining answer?</w:t>
      </w:r>
    </w:p>
    <w:bookmarkEnd w:id="138"/>
    <w:bookmarkStart w:id="139" w:name="main-functions-working-simulated-planned"/>
    <w:p>
      <w:pPr>
        <w:pStyle w:val="Heading2"/>
      </w:pPr>
      <w:r>
        <w:t xml:space="preserve">Main functions: working, simulated, planned</w:t>
      </w:r>
    </w:p>
    <w:p>
      <w:pPr>
        <w:numPr>
          <w:ilvl w:val="0"/>
          <w:numId w:val="1015"/>
        </w:numPr>
        <w:pStyle w:val="Compact"/>
      </w:pPr>
      <w:r>
        <w:rPr>
          <w:bCs/>
          <w:b/>
        </w:rPr>
        <w:t xml:space="preserve">Fully working (live now)</w:t>
      </w:r>
      <w:r>
        <w:t xml:space="preserve">: cited Q&amp;A with expandable audit trail; abstention; deterministic VAT calculator; invoice extraction with arithmetic consistency check; multi-turn follow-up questions; mobile-responsive UI.</w:t>
      </w:r>
    </w:p>
    <w:p>
      <w:pPr>
        <w:numPr>
          <w:ilvl w:val="0"/>
          <w:numId w:val="1015"/>
        </w:numPr>
        <w:pStyle w:val="Compact"/>
      </w:pPr>
      <w:r>
        <w:rPr>
          <w:bCs/>
          <w:b/>
        </w:rPr>
        <w:t xml:space="preserve">Simulated in the demo</w:t>
      </w:r>
      <w:r>
        <w:t xml:space="preserve">: nothing — every feature shown is real. We prefer a smaller honest surface to a larger simulated one.</w:t>
      </w:r>
    </w:p>
    <w:p>
      <w:pPr>
        <w:numPr>
          <w:ilvl w:val="0"/>
          <w:numId w:val="1015"/>
        </w:numPr>
        <w:pStyle w:val="Compact"/>
      </w:pPr>
      <w:r>
        <w:rPr>
          <w:bCs/>
          <w:b/>
        </w:rPr>
        <w:t xml:space="preserve">Planned, not present</w:t>
      </w:r>
      <w:r>
        <w:t xml:space="preserve">: accounts, billing and free-tier usage metering (v1.1, prerequisite to charging); hybrid retrieval + reranking; published evals; Arabic; e-invoicing (Peppol/ASP) integration; accountant collaboration. No planned feature is presented as functional in the demo or this report.</w:t>
      </w:r>
    </w:p>
    <w:bookmarkEnd w:id="139"/>
    <w:bookmarkStart w:id="140" w:name="design-choices"/>
    <w:p>
      <w:pPr>
        <w:pStyle w:val="Heading2"/>
      </w:pPr>
      <w:r>
        <w:t xml:space="preserve">Design choices</w:t>
      </w:r>
    </w:p>
    <w:p>
      <w:pPr>
        <w:pStyle w:val="FirstParagraph"/>
      </w:pPr>
      <w:r>
        <w:t xml:space="preserve">A clean single-column chat workspace; generous type sizes and high contrast for readability; plain-English microcopy at a non-specialist reading level; mobile-responsive layout (the primary context is a desk, but deadline-night phone use is real). Every choice traces to a customer need — above all, the trust-anxious user’s need to see</w:t>
      </w:r>
      <w:r>
        <w:t xml:space="preserve"> </w:t>
      </w:r>
      <w:r>
        <w:rPr>
          <w:iCs/>
          <w:i/>
        </w:rPr>
        <w:t xml:space="preserve">why</w:t>
      </w:r>
      <w:r>
        <w:t xml:space="preserve"> </w:t>
      </w:r>
      <w:r>
        <w:t xml:space="preserve">an answer is what it is: hence citation chips, the grounding indicator, the audit trail, and the scope notice placed on the start screen rather than buried in terms.</w:t>
      </w:r>
    </w:p>
    <w:bookmarkEnd w:id="140"/>
    <w:bookmarkStart w:id="141" w:name="ai-interactions-in-the-prototype"/>
    <w:p>
      <w:pPr>
        <w:pStyle w:val="Heading2"/>
      </w:pPr>
      <w:r>
        <w:t xml:space="preserve">AI interactions in the prototype</w:t>
      </w:r>
    </w:p>
    <w:p>
      <w:pPr>
        <w:pStyle w:val="FirstParagraph"/>
      </w:pPr>
      <w:r>
        <w:t xml:space="preserve">Users type free-text questions (in English or Arabic) or upload invoice images; a processing indicator shows while the agent works; every answer displays its citations, a</w:t>
      </w:r>
      <w:r>
        <w:t xml:space="preserve"> </w:t>
      </w:r>
      <w:r>
        <w:t xml:space="preserve">“</w:t>
      </w:r>
      <w:r>
        <w:t xml:space="preserve">searched the law N times</w:t>
      </w:r>
      <w:r>
        <w:t xml:space="preserve">”</w:t>
      </w:r>
      <w:r>
        <w:t xml:space="preserve"> </w:t>
      </w:r>
      <w:r>
        <w:t xml:space="preserve">grounding line, and the full tool-call audit trail; users can ask follow-up questions that carry context, and can rephrase and resubmit freely. Confidence is communicated structurally — answer versus abstention — rather than as an unexplained percentage. Nothing is presented as guaranteed fact. (An in-product feedback control is planned for v1.1; during the pilot, feedback is collected directly from users.)</w:t>
      </w:r>
    </w:p>
    <w:bookmarkEnd w:id="141"/>
    <w:bookmarkStart w:id="142" w:name="user-testing-and-results"/>
    <w:p>
      <w:pPr>
        <w:pStyle w:val="Heading2"/>
      </w:pPr>
      <w:r>
        <w:t xml:space="preserve">User testing and results</w:t>
      </w:r>
    </w:p>
    <w:p>
      <w:pPr>
        <w:pStyle w:val="FirstParagraph"/>
      </w:pPr>
      <w:r>
        <w:t xml:space="preserve">We tested with [PLACEHOLDER: N ≥ 3] participants resembling the target customer (SME owner/manager or bookkeeper roles; basic characteristics tabulated), each performing the same task set on the live deployment, with consent and no personal data collected: (1) find the corporate tax rate for profits above AED 375,000, unaided; (2) identify which document and article the answer came from (do citations communicate?); (3) ask a deliberately unanswerable question (</w:t>
      </w:r>
      <w:r>
        <w:t xml:space="preserve">“</w:t>
      </w:r>
      <w:r>
        <w:t xml:space="preserve">what will the rate be in 2030?</w:t>
      </w:r>
      <w:r>
        <w:t xml:space="preserve">”</w:t>
      </w:r>
      <w:r>
        <w:t xml:space="preserve">) and explain what they think happened; (4) upload a test invoice containing a deliberate arithmetic mismatch and interpret the flag; (5) rate ease of use and trust in the answers (1–5). Metrics recorded: task completion, time per task, errors, ratings, and verbatim comments. [PLACEHOLDER: results table — completion rates, times, ratings, verbatim feedback summary.]</w:t>
      </w:r>
    </w:p>
    <w:p>
      <w:pPr>
        <w:pStyle w:val="BodyText"/>
      </w:pPr>
      <w:r>
        <w:rPr>
          <w:bCs/>
          <w:b/>
        </w:rPr>
        <w:t xml:space="preserve">What users liked</w:t>
      </w:r>
      <w:r>
        <w:t xml:space="preserve">: [PLACEHOLDER — to be filled from actual test notes.]</w:t>
      </w:r>
    </w:p>
    <w:p>
      <w:pPr>
        <w:pStyle w:val="BodyText"/>
      </w:pPr>
      <w:r>
        <w:rPr>
          <w:bCs/>
          <w:b/>
        </w:rPr>
        <w:t xml:space="preserve">What users found confusing</w:t>
      </w:r>
      <w:r>
        <w:t xml:space="preserve">: [PLACEHOLDER — to be filled from actual test notes.]</w:t>
      </w:r>
    </w:p>
    <w:p>
      <w:pPr>
        <w:pStyle w:val="BodyText"/>
      </w:pPr>
      <w:r>
        <w:rPr>
          <w:bCs/>
          <w:b/>
        </w:rPr>
        <w:t xml:space="preserve">Changes made after feedback</w:t>
      </w:r>
      <w:r>
        <w:t xml:space="preserve">: [PLACEHOLDER: before/after list of concrete changes.] Where a change was discussed but not implemented before the deadline, we say so rather than claim it.</w:t>
      </w:r>
    </w:p>
    <w:bookmarkEnd w:id="142"/>
    <w:bookmarkStart w:id="143" w:name="features-to-develop-next"/>
    <w:p>
      <w:pPr>
        <w:pStyle w:val="Heading2"/>
      </w:pPr>
      <w:r>
        <w:t xml:space="preserve">Features to develop next</w:t>
      </w:r>
    </w:p>
    <w:p>
      <w:pPr>
        <w:pStyle w:val="FirstParagraph"/>
      </w:pPr>
      <w:r>
        <w:t xml:space="preserve">Prioritised by customer value against cost, and consistent with Sections 3 and 19: (1) accounts, billing and usage metering (prerequisite to launch; low complexity); (2) golden-set evaluation harness with published results (the trust moat; medium complexity); (3) hybrid retrieval + reranking (accuracy; medium); (4) Arabic-language QA by a native speaker and full Arabic UX (reach; high — Section 13); (5) e-invoicing ASP integration (timed to the 31 Mar 2027 ASP deadline and 1 Jul 2027 SME mandate; high). Features deliberately not pursued yet: native mobile apps and accounting-ledger integrations — valuable, but neither validates the core proposition.</w:t>
      </w:r>
    </w:p>
    <w:bookmarkEnd w:id="143"/>
    <w:bookmarkEnd w:id="144"/>
    <w:bookmarkStart w:id="156" w:name="X331a17e2b98c349ad17271eba78a156c3d751a3"/>
    <w:p>
      <w:pPr>
        <w:pStyle w:val="Heading1"/>
      </w:pPr>
      <w:r>
        <w:t xml:space="preserve">Section 11: Marketing and Customer Acquisition Plan</w:t>
      </w:r>
    </w:p>
    <w:bookmarkStart w:id="145" w:name="brand-positioning"/>
    <w:p>
      <w:pPr>
        <w:pStyle w:val="Heading2"/>
      </w:pPr>
      <w:r>
        <w:t xml:space="preserve">Brand positioning</w:t>
      </w:r>
    </w:p>
    <w:p>
      <w:pPr>
        <w:pStyle w:val="FirstParagraph"/>
      </w:pPr>
      <w:r>
        <w:rPr>
          <w:bCs/>
          <w:b/>
        </w:rPr>
        <w:t xml:space="preserve">For UAE SME owners, Mizan is the compliance copilot that shows its sources.</w:t>
      </w:r>
      <w:r>
        <w:t xml:space="preserve"> </w:t>
      </w:r>
      <w:r>
        <w:t xml:space="preserve">Category: AI tax-compliance software (not accounting software, not advisory). Principal benefit: answers you can verify. Brand personality: calm, precise, honest — the product that says</w:t>
      </w:r>
      <w:r>
        <w:t xml:space="preserve"> </w:t>
      </w:r>
      <w:r>
        <w:t xml:space="preserve">“</w:t>
      </w:r>
      <w:r>
        <w:t xml:space="preserve">I don’t know</w:t>
      </w:r>
      <w:r>
        <w:t xml:space="preserve">”</w:t>
      </w:r>
      <w:r>
        <w:t xml:space="preserve"> </w:t>
      </w:r>
      <w:r>
        <w:t xml:space="preserve">when the law doesn’t. Position against competitors: incumbents file your returns; chatbots guess; Mizan explains the law and proves it. This position is only claimable because the product actually cites and abstains — capability and message match.</w:t>
      </w:r>
    </w:p>
    <w:bookmarkEnd w:id="145"/>
    <w:bookmarkStart w:id="146" w:name="pricing-strategy"/>
    <w:p>
      <w:pPr>
        <w:pStyle w:val="Heading2"/>
      </w:pPr>
      <w:r>
        <w:t xml:space="preserve">Pricing strategy</w:t>
      </w:r>
    </w:p>
    <w:p>
      <w:pPr>
        <w:pStyle w:val="FirstParagraph"/>
      </w:pPr>
      <w:r>
        <w:t xml:space="preserve">Prices (identical to Sections 8 and 15): Free (5 questions, 3 scans/mo) → Pro AED 149/mo → Business AED 399/mo; annual = two months free. Basis: value-anchored within the researched white space — above commodity software (Wafeq AED 57–249/mo; Zoho AED 60–799/mo; Tax Star AED 500–1,000/yr), far below human service (AED 800–1,700+/mo). Cost floor respected: ~AED 10 variable cost per paying customer/month leaves ~94% contribution. Willingness to pay is treated as a pilot hypothesis; the pilot includes a simple price test (Section 20). Discounts: annual only, plus a pilot-cohort founding discount (time-limited, not permanent). No other discounting — permanent promotions would poison the trust position.</w:t>
      </w:r>
    </w:p>
    <w:bookmarkEnd w:id="146"/>
    <w:bookmarkStart w:id="147" w:name="promotional-strategy"/>
    <w:p>
      <w:pPr>
        <w:pStyle w:val="Heading2"/>
      </w:pPr>
      <w:r>
        <w:t xml:space="preserve">Promotional strategy</w:t>
      </w:r>
    </w:p>
    <w:p>
      <w:pPr>
        <w:pStyle w:val="FirstParagraph"/>
      </w:pPr>
      <w:r>
        <w:t xml:space="preserve">Core message:</w:t>
      </w:r>
      <w:r>
        <w:t xml:space="preserve"> </w:t>
      </w:r>
      <w:r>
        <w:rPr>
          <w:bCs/>
          <w:b/>
        </w:rPr>
        <w:t xml:space="preserve">“</w:t>
      </w:r>
      <w:r>
        <w:rPr>
          <w:bCs/>
          <w:b/>
        </w:rPr>
        <w:t xml:space="preserve">Don’t guess. Verify.</w:t>
      </w:r>
      <w:r>
        <w:rPr>
          <w:bCs/>
          <w:b/>
        </w:rPr>
        <w:t xml:space="preserve">”</w:t>
      </w:r>
      <w:r>
        <w:t xml:space="preserve"> </w:t>
      </w:r>
      <w:r>
        <w:t xml:space="preserve">— dramatised by the statistic our audience feels: ~91,000 businesses needed the FTA’s late-registration penalty waiver. Launch offer: 3 months of Pro at half price for the first 100 companies, in exchange for structured feedback. Target audience: early-adopter segments from Section 4. Campaign objective and timing: 500 sign-ups in the first 90 days of commercial launch (Q1 2027), riding the e-invoicing awareness wave that begins with voluntary adoption on 1 Jul 2026. Expected response is modelled in the funnel below — not asserted.</w:t>
      </w:r>
    </w:p>
    <w:bookmarkEnd w:id="147"/>
    <w:bookmarkStart w:id="148" w:name="digital-marketing-channels"/>
    <w:p>
      <w:pPr>
        <w:pStyle w:val="Heading2"/>
      </w:pPr>
      <w:r>
        <w:t xml:space="preserve">Digital-marketing channels</w:t>
      </w:r>
    </w:p>
    <w:p>
      <w:pPr>
        <w:pStyle w:val="FirstParagraph"/>
      </w:pPr>
      <w:r>
        <w:t xml:space="preserve">Chosen for where the customer actually is, with budget from the AED 3,000/month marketing line:</w:t>
      </w:r>
    </w:p>
    <w:p>
      <w:pPr>
        <w:numPr>
          <w:ilvl w:val="0"/>
          <w:numId w:val="1016"/>
        </w:numPr>
        <w:pStyle w:val="Compact"/>
      </w:pPr>
      <w:r>
        <w:rPr>
          <w:bCs/>
          <w:b/>
        </w:rPr>
        <w:t xml:space="preserve">Search (SEO + selective SEM)</w:t>
      </w:r>
      <w:r>
        <w:t xml:space="preserve"> </w:t>
      </w:r>
      <w:r>
        <w:t xml:space="preserve">— the moment-of-pain channel. Keywords with buying intent:</w:t>
      </w:r>
      <w:r>
        <w:t xml:space="preserve"> </w:t>
      </w:r>
      <w:r>
        <w:t xml:space="preserve">“</w:t>
      </w:r>
      <w:r>
        <w:t xml:space="preserve">corporate tax UAE small business relief</w:t>
      </w:r>
      <w:r>
        <w:t xml:space="preserve">”</w:t>
      </w:r>
      <w:r>
        <w:t xml:space="preserve">,</w:t>
      </w:r>
      <w:r>
        <w:t xml:space="preserve"> </w:t>
      </w:r>
      <w:r>
        <w:t xml:space="preserve">“</w:t>
      </w:r>
      <w:r>
        <w:t xml:space="preserve">VAT on exports UAE</w:t>
      </w:r>
      <w:r>
        <w:t xml:space="preserve">”</w:t>
      </w:r>
      <w:r>
        <w:t xml:space="preserve">,</w:t>
      </w:r>
      <w:r>
        <w:t xml:space="preserve"> </w:t>
      </w:r>
      <w:r>
        <w:t xml:space="preserve">“</w:t>
      </w:r>
      <w:r>
        <w:t xml:space="preserve">e-invoicing UAE deadline SME</w:t>
      </w:r>
      <w:r>
        <w:t xml:space="preserve">”</w:t>
      </w:r>
      <w:r>
        <w:t xml:space="preserve">,</w:t>
      </w:r>
      <w:r>
        <w:t xml:space="preserve"> </w:t>
      </w:r>
      <w:r>
        <w:t xml:space="preserve">“</w:t>
      </w:r>
      <w:r>
        <w:t xml:space="preserve">FTA penalty waiver</w:t>
      </w:r>
      <w:r>
        <w:t xml:space="preserve">”</w:t>
      </w:r>
      <w:r>
        <w:t xml:space="preserve">. Content answers the question honestly, then demos the product answering it with citations. Paid search is a capped test budget (≤ AED 1,000/month) with per-keyword conversion tracking; we expect no immediate top organic rankings and say so.</w:t>
      </w:r>
    </w:p>
    <w:p>
      <w:pPr>
        <w:numPr>
          <w:ilvl w:val="0"/>
          <w:numId w:val="1016"/>
        </w:numPr>
        <w:pStyle w:val="Compact"/>
      </w:pPr>
      <w:r>
        <w:rPr>
          <w:bCs/>
          <w:b/>
        </w:rPr>
        <w:t xml:space="preserve">LinkedIn</w:t>
      </w:r>
      <w:r>
        <w:t xml:space="preserve"> </w:t>
      </w:r>
      <w:r>
        <w:t xml:space="preserve">— founders, finance managers and accountants; 2–3 posts/week: deadline explainers,</w:t>
      </w:r>
      <w:r>
        <w:t xml:space="preserve"> </w:t>
      </w:r>
      <w:r>
        <w:t xml:space="preserve">“</w:t>
      </w:r>
      <w:r>
        <w:t xml:space="preserve">what the law actually says</w:t>
      </w:r>
      <w:r>
        <w:t xml:space="preserve">”</w:t>
      </w:r>
      <w:r>
        <w:t xml:space="preserve"> </w:t>
      </w:r>
      <w:r>
        <w:t xml:space="preserve">threads, eval-transparency updates.</w:t>
      </w:r>
    </w:p>
    <w:p>
      <w:pPr>
        <w:numPr>
          <w:ilvl w:val="0"/>
          <w:numId w:val="1016"/>
        </w:numPr>
        <w:pStyle w:val="Compact"/>
      </w:pPr>
      <w:r>
        <w:rPr>
          <w:bCs/>
          <w:b/>
        </w:rPr>
        <w:t xml:space="preserve">YouTube/webinars</w:t>
      </w:r>
      <w:r>
        <w:t xml:space="preserve"> </w:t>
      </w:r>
      <w:r>
        <w:t xml:space="preserve">— monthly</w:t>
      </w:r>
      <w:r>
        <w:t xml:space="preserve"> </w:t>
      </w:r>
      <w:r>
        <w:t xml:space="preserve">“</w:t>
      </w:r>
      <w:r>
        <w:t xml:space="preserve">CT/VAT questions answered, with sources</w:t>
      </w:r>
      <w:r>
        <w:t xml:space="preserve">”</w:t>
      </w:r>
      <w:r>
        <w:t xml:space="preserve"> </w:t>
      </w:r>
      <w:r>
        <w:t xml:space="preserve">sessions, repurposed into clips.</w:t>
      </w:r>
      <w:r>
        <w:t xml:space="preserve"> </w:t>
      </w:r>
      <w:r>
        <w:t xml:space="preserve">Every channel routes to one landing page with one call to action (start free); measurement is by UTM-tagged conversion, not impressions.</w:t>
      </w:r>
    </w:p>
    <w:bookmarkEnd w:id="148"/>
    <w:bookmarkStart w:id="149" w:name="social-media-and-content-marketing"/>
    <w:p>
      <w:pPr>
        <w:pStyle w:val="Heading2"/>
      </w:pPr>
      <w:r>
        <w:t xml:space="preserve">Social media and content marketing</w:t>
      </w:r>
    </w:p>
    <w:p>
      <w:pPr>
        <w:pStyle w:val="FirstParagraph"/>
      </w:pPr>
      <w:r>
        <w:t xml:space="preserve">Platforms limited to LinkedIn (primary), YouTube (educational), and Instagram (light presence for brand searchability) — not every platform. Content themes: regulatory deadlines and what they mean; anatomy of a compliant invoice;</w:t>
      </w:r>
      <w:r>
        <w:t xml:space="preserve"> </w:t>
      </w:r>
      <w:r>
        <w:t xml:space="preserve">“</w:t>
      </w:r>
      <w:r>
        <w:t xml:space="preserve">Mizan answered / Mizan declined</w:t>
      </w:r>
      <w:r>
        <w:t xml:space="preserve">”</w:t>
      </w:r>
      <w:r>
        <w:t xml:space="preserve"> </w:t>
      </w:r>
      <w:r>
        <w:t xml:space="preserve">transparency posts; accountant guest pieces. Formats: guides, short videos, webinars, and — once permitted by customers — anonymised case studies. Objectives: organic search traffic and email-list growth (a weekly deadline digest is the lead magnet). AI-assisted drafting is quality-reviewed by a human before publishing — we hold our marketing to the product’s own standard.</w:t>
      </w:r>
    </w:p>
    <w:bookmarkEnd w:id="149"/>
    <w:bookmarkStart w:id="150" w:name="influencer-and-expert-marketing"/>
    <w:p>
      <w:pPr>
        <w:pStyle w:val="Heading2"/>
      </w:pPr>
      <w:r>
        <w:t xml:space="preserve">Influencer and expert marketing</w:t>
      </w:r>
    </w:p>
    <w:p>
      <w:pPr>
        <w:pStyle w:val="FirstParagraph"/>
      </w:pPr>
      <w:r>
        <w:t xml:space="preserve">Category: not lifestyle influencers but</w:t>
      </w:r>
      <w:r>
        <w:t xml:space="preserve"> </w:t>
      </w:r>
      <w:r>
        <w:rPr>
          <w:bCs/>
          <w:b/>
        </w:rPr>
        <w:t xml:space="preserve">UAE accounting and tax educators</w:t>
      </w:r>
      <w:r>
        <w:t xml:space="preserve"> </w:t>
      </w:r>
      <w:r>
        <w:t xml:space="preserve">— practitioners with SME followings on LinkedIn/YouTube. Compensation: disclosed paid collaborations or referral partnerships; audience match verified by content, not follower counts; measured by tracked referral links. Celebrity endorsements are out of scope and budget.</w:t>
      </w:r>
    </w:p>
    <w:bookmarkEnd w:id="150"/>
    <w:bookmarkStart w:id="151" w:name="partnerships-and-referral-programme"/>
    <w:p>
      <w:pPr>
        <w:pStyle w:val="Heading2"/>
      </w:pPr>
      <w:r>
        <w:t xml:space="preserve">Partnerships and referral programme</w:t>
      </w:r>
    </w:p>
    <w:p>
      <w:pPr>
        <w:numPr>
          <w:ilvl w:val="0"/>
          <w:numId w:val="1017"/>
        </w:numPr>
        <w:pStyle w:val="Compact"/>
      </w:pPr>
      <w:r>
        <w:rPr>
          <w:bCs/>
          <w:b/>
        </w:rPr>
        <w:t xml:space="preserve">Accountant and tax-agent partners</w:t>
      </w:r>
      <w:r>
        <w:t xml:space="preserve"> </w:t>
      </w:r>
      <w:r>
        <w:t xml:space="preserve">(the 806 registered agents are the natural multiplier): partners get Business-tier tooling for client collaboration and a referral margin; clients get vetted software; we get trusted distribution. Mutual value is explicit; no partner is named as confirmed because none yet is.</w:t>
      </w:r>
    </w:p>
    <w:p>
      <w:pPr>
        <w:numPr>
          <w:ilvl w:val="0"/>
          <w:numId w:val="1017"/>
        </w:numPr>
        <w:pStyle w:val="Compact"/>
      </w:pPr>
      <w:r>
        <w:rPr>
          <w:bCs/>
          <w:b/>
        </w:rPr>
        <w:t xml:space="preserve">Free-zone and business-setup communities, and our university network</w:t>
      </w:r>
      <w:r>
        <w:t xml:space="preserve"> </w:t>
      </w:r>
      <w:r>
        <w:t xml:space="preserve">(SP Jain entrepreneurship ecosystem): workshops and member offers.</w:t>
      </w:r>
    </w:p>
    <w:p>
      <w:pPr>
        <w:numPr>
          <w:ilvl w:val="0"/>
          <w:numId w:val="1017"/>
        </w:numPr>
        <w:pStyle w:val="Compact"/>
      </w:pPr>
      <w:r>
        <w:rPr>
          <w:bCs/>
          <w:b/>
        </w:rPr>
        <w:t xml:space="preserve">Referral programme</w:t>
      </w:r>
      <w:r>
        <w:t xml:space="preserve"> </w:t>
      </w:r>
      <w:r>
        <w:t xml:space="preserve">(post-pilot): give a month of Pro, get a month of Pro; eligibility limited to active paid accounts; caps and fraud controls (one reward per referred company, verified payment before reward); measured by referral conversion rate. Launched only after satisfaction benchmarks are met — referrals amplify what customers already feel.</w:t>
      </w:r>
    </w:p>
    <w:bookmarkEnd w:id="151"/>
    <w:bookmarkStart w:id="152" w:name="free-tier-and-conversion-mechanics"/>
    <w:p>
      <w:pPr>
        <w:pStyle w:val="Heading2"/>
      </w:pPr>
      <w:r>
        <w:t xml:space="preserve">Free tier and conversion mechanics</w:t>
      </w:r>
    </w:p>
    <w:p>
      <w:pPr>
        <w:pStyle w:val="FirstParagraph"/>
      </w:pPr>
      <w:r>
        <w:t xml:space="preserve">The free tier is the trial: no time limit, hard usage limits (5 questions, 3 scans/month), no card required, upgrade triggers at the moment of hitting a limit mid-task plus deadline-season prompts. Conversion messaging emphasises what paid unlocks (unlimited Q&amp;A, 100 scans, audit-trail export).</w:t>
      </w:r>
      <w:r>
        <w:t xml:space="preserve"> </w:t>
      </w:r>
      <w:r>
        <w:rPr>
          <w:bCs/>
          <w:b/>
        </w:rPr>
        <w:t xml:space="preserve">Assumed free-to-paid conversion: 4% (range 3–5%)</w:t>
      </w:r>
      <w:r>
        <w:t xml:space="preserve"> </w:t>
      </w:r>
      <w:r>
        <w:t xml:space="preserve">— an explicit assumption to validate in the pilot.</w:t>
      </w:r>
    </w:p>
    <w:bookmarkEnd w:id="152"/>
    <w:bookmarkStart w:id="153" w:name="customer-retention-strategy"/>
    <w:p>
      <w:pPr>
        <w:pStyle w:val="Heading2"/>
      </w:pPr>
      <w:r>
        <w:t xml:space="preserve">Customer-retention strategy</w:t>
      </w:r>
    </w:p>
    <w:p>
      <w:pPr>
        <w:pStyle w:val="FirstParagraph"/>
      </w:pPr>
      <w:r>
        <w:t xml:space="preserve">Onboarding sequence that lands the first</w:t>
      </w:r>
      <w:r>
        <w:t xml:space="preserve"> </w:t>
      </w:r>
      <w:r>
        <w:t xml:space="preserve">“</w:t>
      </w:r>
      <w:r>
        <w:t xml:space="preserve">aha</w:t>
      </w:r>
      <w:r>
        <w:t xml:space="preserve">”</w:t>
      </w:r>
      <w:r>
        <w:t xml:space="preserve"> </w:t>
      </w:r>
      <w:r>
        <w:t xml:space="preserve">(first cited answer within minutes); deadline-aware value reminders (quarterly VAT nudges — useful, not spammy; frequency-capped); human support with published response times (Section 12); feedback loops on every answer; annual-plan incentive; cancellation flow that asks why, offers a pause, and never obstructs leaving. Retention is earned by usefulness at compliance moments, not by friction.</w:t>
      </w:r>
    </w:p>
    <w:bookmarkEnd w:id="153"/>
    <w:bookmarkStart w:id="154" w:name="funnel-definitions-and-target-metrics"/>
    <w:p>
      <w:pPr>
        <w:pStyle w:val="Heading2"/>
      </w:pPr>
      <w:r>
        <w:t xml:space="preserve">Funnel definitions and target metrics</w:t>
      </w:r>
    </w:p>
    <w:p>
      <w:pPr>
        <w:pStyle w:val="FirstParagraph"/>
      </w:pPr>
      <w:r>
        <w:t xml:space="preserve">The funnel (definitions fixed here and used identically in Section 15):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Definition</w:t>
            </w:r>
          </w:p>
        </w:tc>
        <w:tc>
          <w:tcPr/>
          <w:p>
            <w:pPr>
              <w:pStyle w:val="Compact"/>
              <w:jc w:val="left"/>
            </w:pPr>
            <w:r>
              <w:t xml:space="preserve">Year-1 (2027) base-case target</w:t>
            </w:r>
          </w:p>
        </w:tc>
      </w:tr>
      <w:tr>
        <w:tc>
          <w:tcPr/>
          <w:p>
            <w:pPr>
              <w:pStyle w:val="Compact"/>
              <w:jc w:val="left"/>
            </w:pPr>
            <w:r>
              <w:t xml:space="preserve">Awareness</w:t>
            </w:r>
          </w:p>
        </w:tc>
        <w:tc>
          <w:tcPr/>
          <w:p>
            <w:pPr>
              <w:pStyle w:val="Compact"/>
              <w:jc w:val="left"/>
            </w:pPr>
            <w:r>
              <w:t xml:space="preserve">Unique website visitors (bot-filtered), by source</w:t>
            </w:r>
          </w:p>
        </w:tc>
        <w:tc>
          <w:tcPr/>
          <w:p>
            <w:pPr>
              <w:pStyle w:val="Compact"/>
              <w:jc w:val="left"/>
            </w:pPr>
            <w:r>
              <w:t xml:space="preserve">~10,000/month by Q4 2027</w:t>
            </w:r>
          </w:p>
        </w:tc>
      </w:tr>
      <w:tr>
        <w:tc>
          <w:tcPr/>
          <w:p>
            <w:pPr>
              <w:pStyle w:val="Compact"/>
              <w:jc w:val="left"/>
            </w:pPr>
            <w:r>
              <w:t xml:space="preserve">Interest</w:t>
            </w:r>
          </w:p>
        </w:tc>
        <w:tc>
          <w:tcPr/>
          <w:p>
            <w:pPr>
              <w:pStyle w:val="Compact"/>
              <w:jc w:val="left"/>
            </w:pPr>
            <w:r>
              <w:t xml:space="preserve">Email sign-ups + demo requests</w:t>
            </w:r>
          </w:p>
        </w:tc>
        <w:tc>
          <w:tcPr/>
          <w:p>
            <w:pPr>
              <w:pStyle w:val="Compact"/>
              <w:jc w:val="left"/>
            </w:pPr>
            <w:r>
              <w:t xml:space="preserve">15% of visitors engage with content; 1,500 email list by mid-2027</w:t>
            </w:r>
          </w:p>
        </w:tc>
      </w:tr>
      <w:tr>
        <w:tc>
          <w:tcPr/>
          <w:p>
            <w:pPr>
              <w:pStyle w:val="Compact"/>
              <w:jc w:val="left"/>
            </w:pPr>
            <w:r>
              <w:t xml:space="preserve">Trial</w:t>
            </w:r>
          </w:p>
        </w:tc>
        <w:tc>
          <w:tcPr/>
          <w:p>
            <w:pPr>
              <w:pStyle w:val="Compact"/>
              <w:jc w:val="left"/>
            </w:pPr>
            <w:r>
              <w:t xml:space="preserve">Free-account activation (asked ≥1 real question)</w:t>
            </w:r>
          </w:p>
        </w:tc>
        <w:tc>
          <w:tcPr/>
          <w:p>
            <w:pPr>
              <w:pStyle w:val="Compact"/>
              <w:jc w:val="left"/>
            </w:pPr>
            <w:r>
              <w:t xml:space="preserve">12,500 cumulative free accounts by Dec 2027</w:t>
            </w:r>
          </w:p>
        </w:tc>
      </w:tr>
      <w:tr>
        <w:tc>
          <w:tcPr/>
          <w:p>
            <w:pPr>
              <w:pStyle w:val="Compact"/>
              <w:jc w:val="left"/>
            </w:pPr>
            <w:r>
              <w:t xml:space="preserve">Conversion</w:t>
            </w:r>
          </w:p>
        </w:tc>
        <w:tc>
          <w:tcPr/>
          <w:p>
            <w:pPr>
              <w:pStyle w:val="Compact"/>
              <w:jc w:val="left"/>
            </w:pPr>
            <w:r>
              <w:t xml:space="preserve">First successful paid charge</w:t>
            </w:r>
          </w:p>
        </w:tc>
        <w:tc>
          <w:tcPr/>
          <w:p>
            <w:pPr>
              <w:pStyle w:val="Compact"/>
              <w:jc w:val="left"/>
            </w:pPr>
            <w:r>
              <w:t xml:space="preserve">4% of activated free accounts →</w:t>
            </w:r>
            <w:r>
              <w:t xml:space="preserve"> </w:t>
            </w:r>
            <w:r>
              <w:rPr>
                <w:bCs/>
                <w:b/>
              </w:rPr>
              <w:t xml:space="preserve">500 paying</w:t>
            </w:r>
          </w:p>
        </w:tc>
      </w:tr>
      <w:tr>
        <w:tc>
          <w:tcPr/>
          <w:p>
            <w:pPr>
              <w:pStyle w:val="Compact"/>
              <w:jc w:val="left"/>
            </w:pPr>
            <w:r>
              <w:t xml:space="preserve">Retention</w:t>
            </w:r>
          </w:p>
        </w:tc>
        <w:tc>
          <w:tcPr/>
          <w:p>
            <w:pPr>
              <w:pStyle w:val="Compact"/>
              <w:jc w:val="left"/>
            </w:pPr>
            <w:r>
              <w:t xml:space="preserve">Monthly logo churn (paying)</w:t>
            </w:r>
          </w:p>
        </w:tc>
        <w:tc>
          <w:tcPr/>
          <w:p>
            <w:pPr>
              <w:pStyle w:val="Compact"/>
              <w:jc w:val="left"/>
            </w:pPr>
            <w:r>
              <w:t xml:space="preserve">≤ 3%/month, cohort-measured</w:t>
            </w:r>
          </w:p>
        </w:tc>
      </w:tr>
      <w:tr>
        <w:tc>
          <w:tcPr/>
          <w:p>
            <w:pPr>
              <w:pStyle w:val="Compact"/>
              <w:jc w:val="left"/>
            </w:pPr>
            <w:r>
              <w:t xml:space="preserve">Referral</w:t>
            </w:r>
          </w:p>
        </w:tc>
        <w:tc>
          <w:tcPr/>
          <w:p>
            <w:pPr>
              <w:pStyle w:val="Compact"/>
              <w:jc w:val="left"/>
            </w:pPr>
            <w:r>
              <w:t xml:space="preserve">Paid conversions from referral links</w:t>
            </w:r>
          </w:p>
        </w:tc>
        <w:tc>
          <w:tcPr/>
          <w:p>
            <w:pPr>
              <w:pStyle w:val="Compact"/>
              <w:jc w:val="left"/>
            </w:pPr>
            <w:r>
              <w:t xml:space="preserve">10% of new customers by Q4 2027</w:t>
            </w:r>
          </w:p>
        </w:tc>
      </w:tr>
    </w:tbl>
    <w:p>
      <w:pPr>
        <w:pStyle w:val="BodyText"/>
      </w:pPr>
      <w:r>
        <w:t xml:space="preserve">Registrations are never counted as customers; conversion is defined strictly as a successful charge.</w:t>
      </w:r>
    </w:p>
    <w:bookmarkEnd w:id="154"/>
    <w:bookmarkStart w:id="155" w:name="X125996e8013b2ff15b33b73b5d179b06f5533b4"/>
    <w:p>
      <w:pPr>
        <w:pStyle w:val="Heading2"/>
      </w:pPr>
      <w:r>
        <w:t xml:space="preserve">Unit economics (assumptions, consistent with Section 15)</w:t>
      </w:r>
    </w:p>
    <w:p>
      <w:pPr>
        <w:numPr>
          <w:ilvl w:val="0"/>
          <w:numId w:val="1018"/>
        </w:numPr>
        <w:pStyle w:val="Compact"/>
      </w:pPr>
      <w:r>
        <w:rPr>
          <w:bCs/>
          <w:b/>
        </w:rPr>
        <w:t xml:space="preserve">ARPU</w:t>
      </w:r>
      <w:r>
        <w:t xml:space="preserve">: blended list AED 187/month (85% Pro / 15% Business);</w:t>
      </w:r>
      <w:r>
        <w:t xml:space="preserve"> </w:t>
      </w:r>
      <w:r>
        <w:rPr>
          <w:bCs/>
          <w:b/>
        </w:rPr>
        <w:t xml:space="preserve">effective AED 178/month</w:t>
      </w:r>
      <w:r>
        <w:t xml:space="preserve"> </w:t>
      </w:r>
      <w:r>
        <w:t xml:space="preserve">after annual-plan discounts (30% uptake).</w:t>
      </w:r>
    </w:p>
    <w:p>
      <w:pPr>
        <w:numPr>
          <w:ilvl w:val="0"/>
          <w:numId w:val="1018"/>
        </w:numPr>
        <w:pStyle w:val="Compact"/>
      </w:pPr>
      <w:r>
        <w:rPr>
          <w:bCs/>
          <w:b/>
        </w:rPr>
        <w:t xml:space="preserve">CAC</w:t>
      </w:r>
      <w:r>
        <w:t xml:space="preserve">: Year-1 blended target ≤</w:t>
      </w:r>
      <w:r>
        <w:t xml:space="preserve"> </w:t>
      </w:r>
      <w:r>
        <w:rPr>
          <w:bCs/>
          <w:b/>
        </w:rPr>
        <w:t xml:space="preserve">AED 150</w:t>
      </w:r>
      <w:r>
        <w:t xml:space="preserve"> </w:t>
      </w:r>
      <w:r>
        <w:t xml:space="preserve">(marketing spend AED 36k ÷ 500 customers = AED 72 direct, roughly doubled to account for tools and founder-led effort; excludes unpaid founder time, which we disclose rather than hide). Expected to rise toward AED 300–500 at scale as paid channels take more weight.</w:t>
      </w:r>
    </w:p>
    <w:p>
      <w:pPr>
        <w:numPr>
          <w:ilvl w:val="0"/>
          <w:numId w:val="1018"/>
        </w:numPr>
        <w:pStyle w:val="Compact"/>
      </w:pPr>
      <w:r>
        <w:rPr>
          <w:bCs/>
          <w:b/>
        </w:rPr>
        <w:t xml:space="preserve">Churn</w:t>
      </w:r>
      <w:r>
        <w:t xml:space="preserve">: 3%/month assumption → ~33-month average customer life.</w:t>
      </w:r>
    </w:p>
    <w:p>
      <w:pPr>
        <w:numPr>
          <w:ilvl w:val="0"/>
          <w:numId w:val="1018"/>
        </w:numPr>
        <w:pStyle w:val="Compact"/>
      </w:pPr>
      <w:r>
        <w:rPr>
          <w:bCs/>
          <w:b/>
        </w:rPr>
        <w:t xml:space="preserve">LTV</w:t>
      </w:r>
      <w:r>
        <w:t xml:space="preserve">: AED 178 × 94% contribution ÷ 3% ≈</w:t>
      </w:r>
      <w:r>
        <w:t xml:space="preserve"> </w:t>
      </w:r>
      <w:r>
        <w:rPr>
          <w:bCs/>
          <w:b/>
        </w:rPr>
        <w:t xml:space="preserve">AED 5,600 gross-margin LTV</w:t>
      </w:r>
      <w:r>
        <w:t xml:space="preserve">; even at a conservative AED 500 future CAC, LTV:CAC &gt; 10 — headroom that survives our assumptions being substantially wrong.</w:t>
      </w:r>
      <w:r>
        <w:t xml:space="preserve"> </w:t>
      </w:r>
      <w:r>
        <w:t xml:space="preserve">All four figures are assumptions until pilot data replaces them; each is monitored monthly against the thresholds in Section 15.</w:t>
      </w:r>
    </w:p>
    <w:bookmarkEnd w:id="155"/>
    <w:bookmarkEnd w:id="156"/>
    <w:bookmarkStart w:id="167" w:name="section-12-operations-plan"/>
    <w:p>
      <w:pPr>
        <w:pStyle w:val="Heading1"/>
      </w:pPr>
      <w:r>
        <w:t xml:space="preserve">Section 12: Operations Plan</w:t>
      </w:r>
    </w:p>
    <w:bookmarkStart w:id="157" w:name="main-activities"/>
    <w:p>
      <w:pPr>
        <w:pStyle w:val="Heading2"/>
      </w:pPr>
      <w:r>
        <w:t xml:space="preserve">Main activities</w:t>
      </w:r>
    </w:p>
    <w:p>
      <w:pPr>
        <w:pStyle w:val="FirstParagraph"/>
      </w:pPr>
      <w:r>
        <w:t xml:space="preserve">Eight recurring activities keep Mizan running, each with an accountable owner (initials per Section 13: NM = Nandita Menon, JP = Jillian Priscilla, AA = Anushree Ashok):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Activity</w:t>
            </w:r>
          </w:p>
        </w:tc>
        <w:tc>
          <w:tcPr/>
          <w:p>
            <w:pPr>
              <w:pStyle w:val="Compact"/>
              <w:jc w:val="left"/>
            </w:pPr>
            <w:r>
              <w:t xml:space="preserve">Cadence</w:t>
            </w:r>
          </w:p>
        </w:tc>
        <w:tc>
          <w:tcPr/>
          <w:p>
            <w:pPr>
              <w:pStyle w:val="Compact"/>
              <w:jc w:val="left"/>
            </w:pPr>
            <w:r>
              <w:t xml:space="preserve">Owner</w:t>
            </w:r>
          </w:p>
        </w:tc>
      </w:tr>
      <w:tr>
        <w:tc>
          <w:tcPr/>
          <w:p>
            <w:pPr>
              <w:pStyle w:val="Compact"/>
              <w:jc w:val="left"/>
            </w:pPr>
            <w:r>
              <w:t xml:space="preserve">Product operation &amp; uptime monitoring</w:t>
            </w:r>
          </w:p>
        </w:tc>
        <w:tc>
          <w:tcPr/>
          <w:p>
            <w:pPr>
              <w:pStyle w:val="Compact"/>
              <w:jc w:val="left"/>
            </w:pPr>
            <w:r>
              <w:t xml:space="preserve">Continuous</w:t>
            </w:r>
          </w:p>
        </w:tc>
        <w:tc>
          <w:tcPr/>
          <w:p>
            <w:pPr>
              <w:pStyle w:val="Compact"/>
              <w:jc w:val="left"/>
            </w:pPr>
            <w:r>
              <w:t xml:space="preserve">JP</w:t>
            </w:r>
          </w:p>
        </w:tc>
      </w:tr>
      <w:tr>
        <w:tc>
          <w:tcPr/>
          <w:p>
            <w:pPr>
              <w:pStyle w:val="Compact"/>
              <w:jc w:val="left"/>
            </w:pPr>
            <w:r>
              <w:t xml:space="preserve">Legal-corpus maintenance (law/guide updates within 5 business days of publication)</w:t>
            </w:r>
          </w:p>
        </w:tc>
        <w:tc>
          <w:tcPr/>
          <w:p>
            <w:pPr>
              <w:pStyle w:val="Compact"/>
              <w:jc w:val="left"/>
            </w:pPr>
            <w:r>
              <w:t xml:space="preserve">Event-driven</w:t>
            </w:r>
          </w:p>
        </w:tc>
        <w:tc>
          <w:tcPr/>
          <w:p>
            <w:pPr>
              <w:pStyle w:val="Compact"/>
              <w:jc w:val="left"/>
            </w:pPr>
            <w:r>
              <w:t xml:space="preserve">NM (content verified with retained tax advisor)</w:t>
            </w:r>
          </w:p>
        </w:tc>
      </w:tr>
      <w:tr>
        <w:tc>
          <w:tcPr/>
          <w:p>
            <w:pPr>
              <w:pStyle w:val="Compact"/>
              <w:jc w:val="left"/>
            </w:pPr>
            <w:r>
              <w:t xml:space="preserve">AI quality control (golden-set runs, output sampling, flag triage)</w:t>
            </w:r>
          </w:p>
        </w:tc>
        <w:tc>
          <w:tcPr/>
          <w:p>
            <w:pPr>
              <w:pStyle w:val="Compact"/>
              <w:jc w:val="left"/>
            </w:pPr>
            <w:r>
              <w:t xml:space="preserve">Weekly + per release</w:t>
            </w:r>
          </w:p>
        </w:tc>
        <w:tc>
          <w:tcPr/>
          <w:p>
            <w:pPr>
              <w:pStyle w:val="Compact"/>
              <w:jc w:val="left"/>
            </w:pPr>
            <w:r>
              <w:t xml:space="preserve">NM</w:t>
            </w:r>
          </w:p>
        </w:tc>
      </w:tr>
      <w:tr>
        <w:tc>
          <w:tcPr/>
          <w:p>
            <w:pPr>
              <w:pStyle w:val="Compact"/>
              <w:jc w:val="left"/>
            </w:pPr>
            <w:r>
              <w:t xml:space="preserve">Customer onboarding &amp; support</w:t>
            </w:r>
          </w:p>
        </w:tc>
        <w:tc>
          <w:tcPr/>
          <w:p>
            <w:pPr>
              <w:pStyle w:val="Compact"/>
              <w:jc w:val="left"/>
            </w:pPr>
            <w:r>
              <w:t xml:space="preserve">Daily</w:t>
            </w:r>
          </w:p>
        </w:tc>
        <w:tc>
          <w:tcPr/>
          <w:p>
            <w:pPr>
              <w:pStyle w:val="Compact"/>
              <w:jc w:val="left"/>
            </w:pPr>
            <w:r>
              <w:t xml:space="preserve">AA</w:t>
            </w:r>
          </w:p>
        </w:tc>
      </w:tr>
      <w:tr>
        <w:tc>
          <w:tcPr/>
          <w:p>
            <w:pPr>
              <w:pStyle w:val="Compact"/>
              <w:jc w:val="left"/>
            </w:pPr>
            <w:r>
              <w:t xml:space="preserve">Billing &amp; subscription administration</w:t>
            </w:r>
          </w:p>
        </w:tc>
        <w:tc>
          <w:tcPr/>
          <w:p>
            <w:pPr>
              <w:pStyle w:val="Compact"/>
              <w:jc w:val="left"/>
            </w:pPr>
            <w:r>
              <w:t xml:space="preserve">Daily/monthly</w:t>
            </w:r>
          </w:p>
        </w:tc>
        <w:tc>
          <w:tcPr/>
          <w:p>
            <w:pPr>
              <w:pStyle w:val="Compact"/>
              <w:jc w:val="left"/>
            </w:pPr>
            <w:r>
              <w:t xml:space="preserve">AA</w:t>
            </w:r>
          </w:p>
        </w:tc>
      </w:tr>
      <w:tr>
        <w:tc>
          <w:tcPr/>
          <w:p>
            <w:pPr>
              <w:pStyle w:val="Compact"/>
              <w:jc w:val="left"/>
            </w:pPr>
            <w:r>
              <w:t xml:space="preserve">Marketing execution (content, campaigns, partners)</w:t>
            </w:r>
          </w:p>
        </w:tc>
        <w:tc>
          <w:tcPr/>
          <w:p>
            <w:pPr>
              <w:pStyle w:val="Compact"/>
              <w:jc w:val="left"/>
            </w:pPr>
            <w:r>
              <w:t xml:space="preserve">Weekly</w:t>
            </w:r>
          </w:p>
        </w:tc>
        <w:tc>
          <w:tcPr/>
          <w:p>
            <w:pPr>
              <w:pStyle w:val="Compact"/>
              <w:jc w:val="left"/>
            </w:pPr>
            <w:r>
              <w:t xml:space="preserve">AA (channels), NM (technical content)</w:t>
            </w:r>
          </w:p>
        </w:tc>
      </w:tr>
      <w:tr>
        <w:tc>
          <w:tcPr/>
          <w:p>
            <w:pPr>
              <w:pStyle w:val="Compact"/>
              <w:jc w:val="left"/>
            </w:pPr>
            <w:r>
              <w:t xml:space="preserve">Data management &amp; privacy operations</w:t>
            </w:r>
          </w:p>
        </w:tc>
        <w:tc>
          <w:tcPr/>
          <w:p>
            <w:pPr>
              <w:pStyle w:val="Compact"/>
              <w:jc w:val="left"/>
            </w:pPr>
            <w:r>
              <w:t xml:space="preserve">Monthly review + event-driven</w:t>
            </w:r>
          </w:p>
        </w:tc>
        <w:tc>
          <w:tcPr/>
          <w:p>
            <w:pPr>
              <w:pStyle w:val="Compact"/>
              <w:jc w:val="left"/>
            </w:pPr>
            <w:r>
              <w:t xml:space="preserve">JP</w:t>
            </w:r>
          </w:p>
        </w:tc>
      </w:tr>
      <w:tr>
        <w:tc>
          <w:tcPr/>
          <w:p>
            <w:pPr>
              <w:pStyle w:val="Compact"/>
              <w:jc w:val="left"/>
            </w:pPr>
            <w:r>
              <w:t xml:space="preserve">Compliance administration (licence, PDPL, advisor liaison)</w:t>
            </w:r>
          </w:p>
        </w:tc>
        <w:tc>
          <w:tcPr/>
          <w:p>
            <w:pPr>
              <w:pStyle w:val="Compact"/>
              <w:jc w:val="left"/>
            </w:pPr>
            <w:r>
              <w:t xml:space="preserve">Monthly</w:t>
            </w:r>
          </w:p>
        </w:tc>
        <w:tc>
          <w:tcPr/>
          <w:p>
            <w:pPr>
              <w:pStyle w:val="Compact"/>
              <w:jc w:val="left"/>
            </w:pPr>
            <w:r>
              <w:t xml:space="preserve">AA</w:t>
            </w:r>
          </w:p>
        </w:tc>
      </w:tr>
    </w:tbl>
    <w:p>
      <w:pPr>
        <w:pStyle w:val="BodyText"/>
      </w:pPr>
      <w:r>
        <w:t xml:space="preserve">The structure matches a 3-person team; nothing here assumes staff we do not have.</w:t>
      </w:r>
    </w:p>
    <w:bookmarkEnd w:id="157"/>
    <w:bookmarkStart w:id="158" w:name="customer-service-process"/>
    <w:p>
      <w:pPr>
        <w:pStyle w:val="Heading2"/>
      </w:pPr>
      <w:r>
        <w:t xml:space="preserve">Customer-service process</w:t>
      </w:r>
    </w:p>
    <w:p>
      <w:pPr>
        <w:pStyle w:val="FirstParagraph"/>
      </w:pPr>
      <w:r>
        <w:t xml:space="preserve">Channels: in-app support form and email (no phone at launch — stated, not hidden). Targets: first response within</w:t>
      </w:r>
      <w:r>
        <w:t xml:space="preserve"> </w:t>
      </w:r>
      <w:r>
        <w:rPr>
          <w:bCs/>
          <w:b/>
        </w:rPr>
        <w:t xml:space="preserve">1 business day</w:t>
      </w:r>
      <w:r>
        <w:t xml:space="preserve"> </w:t>
      </w:r>
      <w:r>
        <w:t xml:space="preserve">(Pro/Free) and</w:t>
      </w:r>
      <w:r>
        <w:t xml:space="preserve"> </w:t>
      </w:r>
      <w:r>
        <w:rPr>
          <w:bCs/>
          <w:b/>
        </w:rPr>
        <w:t xml:space="preserve">4 business hours</w:t>
      </w:r>
      <w:r>
        <w:t xml:space="preserve"> </w:t>
      </w:r>
      <w:r>
        <w:t xml:space="preserve">(Business, its</w:t>
      </w:r>
      <w:r>
        <w:t xml:space="preserve"> </w:t>
      </w:r>
      <w:r>
        <w:t xml:space="preserve">“</w:t>
      </w:r>
      <w:r>
        <w:t xml:space="preserve">priority support</w:t>
      </w:r>
      <w:r>
        <w:t xml:space="preserve">”</w:t>
      </w:r>
      <w:r>
        <w:t xml:space="preserve"> </w:t>
      </w:r>
      <w:r>
        <w:t xml:space="preserve">promise); resolution or a dated plan within 3 business days. Issues are classified on intake: (a) product/technical → JP; (b) answer-quality disputes → NM’s QA triage (two-business-day review, Section 9); (c) billing → AA; (d)</w:t>
      </w:r>
      <w:r>
        <w:t xml:space="preserve"> </w:t>
      </w:r>
      <w:r>
        <w:rPr>
          <w:bCs/>
          <w:b/>
        </w:rPr>
        <w:t xml:space="preserve">requests for tax advice → politely declined with an explanation of scope and a suggestion to consult a registered tax agent</w:t>
      </w:r>
      <w:r>
        <w:t xml:space="preserve"> </w:t>
      </w:r>
      <w:r>
        <w:t xml:space="preserve">— an escalation route that is itself part of the service design. All tickets are logged with outcomes; complaint records feed the monthly quality review.</w:t>
      </w:r>
    </w:p>
    <w:bookmarkEnd w:id="158"/>
    <w:bookmarkStart w:id="159" w:name="technology-maintenance"/>
    <w:p>
      <w:pPr>
        <w:pStyle w:val="Heading2"/>
      </w:pPr>
      <w:r>
        <w:t xml:space="preserve">Technology maintenance</w:t>
      </w:r>
    </w:p>
    <w:p>
      <w:pPr>
        <w:pStyle w:val="FirstParagraph"/>
      </w:pPr>
      <w:r>
        <w:t xml:space="preserve">Continuous uptime and error monitoring with alerts; monthly dependency and security patching (critical patches immediately); automated daily backups with quarterly restore tests; model-related monitoring (per-answer cost, latency, abstention rate, flag rate) reviewed weekly; provider management — LLM API, hosting, payment gateway — with usage/cost dashboards and the documented fallback options from Section 9. Maintenance is budgeted founder time plus the hosting/tools budget in Section 15; it is not assumed away.</w:t>
      </w:r>
    </w:p>
    <w:bookmarkEnd w:id="159"/>
    <w:bookmarkStart w:id="160" w:name="product-development-process"/>
    <w:p>
      <w:pPr>
        <w:pStyle w:val="Heading2"/>
      </w:pPr>
      <w:r>
        <w:t xml:space="preserve">Product-development process</w:t>
      </w:r>
    </w:p>
    <w:p>
      <w:pPr>
        <w:pStyle w:val="FirstParagraph"/>
      </w:pPr>
      <w:r>
        <w:t xml:space="preserve">A lightweight two-week cycle: ideas enter a single backlog from user feedback, support tickets, QA findings and the roadmap (Section 19); prioritisation weekly by customer evidence and effort (NM has final call as product owner); design → build → test (regression against the golden set for anything touching answers) → staged release with rollback; post-release monitoring for a week before the change is considered done.</w:t>
      </w:r>
      <w:r>
        <w:t xml:space="preserve"> </w:t>
      </w:r>
      <w:r>
        <w:rPr>
          <w:bCs/>
          <w:b/>
        </w:rPr>
        <w:t xml:space="preserve">No AI-behaviour change ships without passing the golden-set regression</w:t>
      </w:r>
      <w:r>
        <w:t xml:space="preserve"> </w:t>
      </w:r>
      <w:r>
        <w:t xml:space="preserve">— that rule is our release gate, and version control covers code, corpus and prompts alike.</w:t>
      </w:r>
    </w:p>
    <w:bookmarkEnd w:id="160"/>
    <w:bookmarkStart w:id="161" w:name="marketing-responsibilities"/>
    <w:p>
      <w:pPr>
        <w:pStyle w:val="Heading2"/>
      </w:pPr>
      <w:r>
        <w:t xml:space="preserve">Marketing responsibilities</w:t>
      </w:r>
    </w:p>
    <w:p>
      <w:pPr>
        <w:pStyle w:val="FirstParagraph"/>
      </w:pPr>
      <w:r>
        <w:t xml:space="preserve">Content creation: AA (business content) and NM (technical/accuracy content); campaign and channel management: AA; partnership development (accountants, free zones, accelerators): AA with NM for product demos; analytics and funnel reporting: JP (instrumentation) with AA (interpretation); customer research: AA. Each has an accountable owner; the cadence (weekly content, monthly webinar) is sized to real capacity — Section 11’s plan contains nothing this table cannot execute.</w:t>
      </w:r>
    </w:p>
    <w:bookmarkEnd w:id="161"/>
    <w:bookmarkStart w:id="162" w:name="data-management-process"/>
    <w:p>
      <w:pPr>
        <w:pStyle w:val="Heading2"/>
      </w:pPr>
      <w:r>
        <w:t xml:space="preserve">Data-management process</w:t>
      </w:r>
    </w:p>
    <w:p>
      <w:pPr>
        <w:pStyle w:val="FirstParagraph"/>
      </w:pPr>
      <w:r>
        <w:t xml:space="preserve">Collection is minimal by design (Section 9); validation on entry (invoice extractions checked deterministically; account data verified); storage per the retention table in Section 9; access restricted by role and reviewed monthly; deletion honoured within 30 days of request; backups automated; incidents handled by the documented runbook: contain → assess scope → notify affected users and authorities as required under the UAE PDPL → remediate → written post-mortem. JP is the accountable data steward; nothing is retained</w:t>
      </w:r>
      <w:r>
        <w:t xml:space="preserve"> </w:t>
      </w:r>
      <w:r>
        <w:t xml:space="preserve">“</w:t>
      </w:r>
      <w:r>
        <w:t xml:space="preserve">just in case.</w:t>
      </w:r>
      <w:r>
        <w:t xml:space="preserve">”</w:t>
      </w:r>
    </w:p>
    <w:bookmarkEnd w:id="162"/>
    <w:bookmarkStart w:id="163" w:name="quality-control-system"/>
    <w:p>
      <w:pPr>
        <w:pStyle w:val="Heading2"/>
      </w:pPr>
      <w:r>
        <w:t xml:space="preserve">Quality-control system</w:t>
      </w:r>
    </w:p>
    <w:p>
      <w:pPr>
        <w:pStyle w:val="FirstParagraph"/>
      </w:pPr>
      <w:r>
        <w:t xml:space="preserve">Quality is measured, not assumed: (1)</w:t>
      </w:r>
      <w:r>
        <w:t xml:space="preserve"> </w:t>
      </w:r>
      <w:r>
        <w:rPr>
          <w:bCs/>
          <w:b/>
        </w:rPr>
        <w:t xml:space="preserve">weekly output sampling</w:t>
      </w:r>
      <w:r>
        <w:t xml:space="preserve"> </w:t>
      </w:r>
      <w:r>
        <w:t xml:space="preserve">— a random sample of production Q&amp;A reviewed against sources; (2)</w:t>
      </w:r>
      <w:r>
        <w:t xml:space="preserve"> </w:t>
      </w:r>
      <w:r>
        <w:rPr>
          <w:bCs/>
          <w:b/>
        </w:rPr>
        <w:t xml:space="preserve">golden-set regression</w:t>
      </w:r>
      <w:r>
        <w:t xml:space="preserve"> </w:t>
      </w:r>
      <w:r>
        <w:t xml:space="preserve">on every release (faithfulness, false-answer rate, abstention correctness — thresholds set and tracked; a regression blocks release); (3)</w:t>
      </w:r>
      <w:r>
        <w:t xml:space="preserve"> </w:t>
      </w:r>
      <w:r>
        <w:rPr>
          <w:bCs/>
          <w:b/>
        </w:rPr>
        <w:t xml:space="preserve">flag-rate monitoring</w:t>
      </w:r>
      <w:r>
        <w:t xml:space="preserve"> </w:t>
      </w:r>
      <w:r>
        <w:t xml:space="preserve">— user</w:t>
      </w:r>
      <w:r>
        <w:t xml:space="preserve"> </w:t>
      </w:r>
      <w:r>
        <w:t xml:space="preserve">“</w:t>
      </w:r>
      <w:r>
        <w:t xml:space="preserve">report a problem</w:t>
      </w:r>
      <w:r>
        <w:t xml:space="preserve">”</w:t>
      </w:r>
      <w:r>
        <w:t xml:space="preserve"> </w:t>
      </w:r>
      <w:r>
        <w:t xml:space="preserve">rates per 100 answers, with a defined investigation threshold; (4)</w:t>
      </w:r>
      <w:r>
        <w:t xml:space="preserve"> </w:t>
      </w:r>
      <w:r>
        <w:rPr>
          <w:bCs/>
          <w:b/>
        </w:rPr>
        <w:t xml:space="preserve">invoice-extraction spot checks</w:t>
      </w:r>
      <w:r>
        <w:t xml:space="preserve"> </w:t>
      </w:r>
      <w:r>
        <w:t xml:space="preserve">against ground truth; (5) monthly review of support and complaint records for patterns; (6) service-level checks against the response-time targets above. Independence within a small team: the reviewer of sampled outputs is not the author of the change under review wherever possible, and the retained tax advisor provides the external content check.</w:t>
      </w:r>
    </w:p>
    <w:bookmarkEnd w:id="163"/>
    <w:bookmarkStart w:id="164" w:name="supplier-and-partner-relationships"/>
    <w:p>
      <w:pPr>
        <w:pStyle w:val="Heading2"/>
      </w:pPr>
      <w:r>
        <w:t xml:space="preserve">Supplier and partner relationships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Supplier/Partner</w:t>
            </w:r>
          </w:p>
        </w:tc>
        <w:tc>
          <w:tcPr/>
          <w:p>
            <w:pPr>
              <w:pStyle w:val="Compact"/>
              <w:jc w:val="left"/>
            </w:pPr>
            <w:r>
              <w:t xml:space="preserve">Provides</w:t>
            </w:r>
          </w:p>
        </w:tc>
        <w:tc>
          <w:tcPr/>
          <w:p>
            <w:pPr>
              <w:pStyle w:val="Compact"/>
              <w:jc w:val="left"/>
            </w:pPr>
            <w:r>
              <w:t xml:space="preserve">Cost basis</w:t>
            </w:r>
          </w:p>
        </w:tc>
        <w:tc>
          <w:tcPr/>
          <w:p>
            <w:pPr>
              <w:pStyle w:val="Compact"/>
              <w:jc w:val="left"/>
            </w:pPr>
            <w:r>
              <w:t xml:space="preserve">Alternative / dependency plan</w:t>
            </w:r>
          </w:p>
        </w:tc>
      </w:tr>
      <w:tr>
        <w:tc>
          <w:tcPr/>
          <w:p>
            <w:pPr>
              <w:pStyle w:val="Compact"/>
              <w:jc w:val="left"/>
            </w:pPr>
            <w:r>
              <w:t xml:space="preserve">LLM API provider (Google Gemini)</w:t>
            </w:r>
          </w:p>
        </w:tc>
        <w:tc>
          <w:tcPr/>
          <w:p>
            <w:pPr>
              <w:pStyle w:val="Compact"/>
              <w:jc w:val="left"/>
            </w:pPr>
            <w:r>
              <w:t xml:space="preserve">Language + vision inference</w:t>
            </w:r>
          </w:p>
        </w:tc>
        <w:tc>
          <w:tcPr/>
          <w:p>
            <w:pPr>
              <w:pStyle w:val="Compact"/>
              <w:jc w:val="left"/>
            </w:pPr>
            <w:r>
              <w:t xml:space="preserve">Usage-based</w:t>
            </w:r>
          </w:p>
        </w:tc>
        <w:tc>
          <w:tcPr/>
          <w:p>
            <w:pPr>
              <w:pStyle w:val="Compact"/>
              <w:jc w:val="left"/>
            </w:pPr>
            <w:r>
              <w:t xml:space="preserve">Provider-agnostic interface; tested fallback (Section 9)</w:t>
            </w:r>
          </w:p>
        </w:tc>
      </w:tr>
      <w:tr>
        <w:tc>
          <w:tcPr/>
          <w:p>
            <w:pPr>
              <w:pStyle w:val="Compact"/>
              <w:jc w:val="left"/>
            </w:pPr>
            <w:r>
              <w:t xml:space="preserve">Cloud host</w:t>
            </w:r>
          </w:p>
        </w:tc>
        <w:tc>
          <w:tcPr/>
          <w:p>
            <w:pPr>
              <w:pStyle w:val="Compact"/>
              <w:jc w:val="left"/>
            </w:pPr>
            <w:r>
              <w:t xml:space="preserve">Infrastructure</w:t>
            </w:r>
          </w:p>
        </w:tc>
        <w:tc>
          <w:tcPr/>
          <w:p>
            <w:pPr>
              <w:pStyle w:val="Compact"/>
              <w:jc w:val="left"/>
            </w:pPr>
            <w:r>
              <w:t xml:space="preserve">~AED 500/mo initial</w:t>
            </w:r>
          </w:p>
        </w:tc>
        <w:tc>
          <w:tcPr/>
          <w:p>
            <w:pPr>
              <w:pStyle w:val="Compact"/>
              <w:jc w:val="left"/>
            </w:pPr>
            <w:r>
              <w:t xml:space="preserve">Portable containers; standard services only</w:t>
            </w:r>
          </w:p>
        </w:tc>
      </w:tr>
      <w:tr>
        <w:tc>
          <w:tcPr/>
          <w:p>
            <w:pPr>
              <w:pStyle w:val="Compact"/>
              <w:jc w:val="left"/>
            </w:pPr>
            <w:r>
              <w:t xml:space="preserve">Payment gateway</w:t>
            </w:r>
          </w:p>
        </w:tc>
        <w:tc>
          <w:tcPr/>
          <w:p>
            <w:pPr>
              <w:pStyle w:val="Compact"/>
              <w:jc w:val="left"/>
            </w:pPr>
            <w:r>
              <w:t xml:space="preserve">Billing</w:t>
            </w:r>
          </w:p>
        </w:tc>
        <w:tc>
          <w:tcPr/>
          <w:p>
            <w:pPr>
              <w:pStyle w:val="Compact"/>
              <w:jc w:val="left"/>
            </w:pPr>
            <w:r>
              <w:t xml:space="preserve">~3% of billings</w:t>
            </w:r>
          </w:p>
        </w:tc>
        <w:tc>
          <w:tcPr/>
          <w:p>
            <w:pPr>
              <w:pStyle w:val="Compact"/>
              <w:jc w:val="left"/>
            </w:pPr>
            <w:r>
              <w:t xml:space="preserve">Replaceable; no card data held by us</w:t>
            </w:r>
          </w:p>
        </w:tc>
      </w:tr>
      <w:tr>
        <w:tc>
          <w:tcPr/>
          <w:p>
            <w:pPr>
              <w:pStyle w:val="Compact"/>
              <w:jc w:val="left"/>
            </w:pPr>
            <w:r>
              <w:t xml:space="preserve">Retained tax/compliance advisor</w:t>
            </w:r>
          </w:p>
        </w:tc>
        <w:tc>
          <w:tcPr/>
          <w:p>
            <w:pPr>
              <w:pStyle w:val="Compact"/>
              <w:jc w:val="left"/>
            </w:pPr>
            <w:r>
              <w:t xml:space="preserve">Content validation, golden-set review, scope guidance</w:t>
            </w:r>
          </w:p>
        </w:tc>
        <w:tc>
          <w:tcPr/>
          <w:p>
            <w:pPr>
              <w:pStyle w:val="Compact"/>
              <w:jc w:val="left"/>
            </w:pPr>
            <w:r>
              <w:t xml:space="preserve">Retainer (Section 15)</w:t>
            </w:r>
          </w:p>
        </w:tc>
        <w:tc>
          <w:tcPr/>
          <w:p>
            <w:pPr>
              <w:pStyle w:val="Compact"/>
              <w:jc w:val="left"/>
            </w:pPr>
            <w:r>
              <w:t xml:space="preserve">Second advisor identified as backup</w:t>
            </w:r>
          </w:p>
        </w:tc>
      </w:tr>
      <w:tr>
        <w:tc>
          <w:tcPr/>
          <w:p>
            <w:pPr>
              <w:pStyle w:val="Compact"/>
              <w:jc w:val="left"/>
            </w:pPr>
            <w:r>
              <w:t xml:space="preserve">Accountant partners (from 2027)</w:t>
            </w:r>
          </w:p>
        </w:tc>
        <w:tc>
          <w:tcPr/>
          <w:p>
            <w:pPr>
              <w:pStyle w:val="Compact"/>
              <w:jc w:val="left"/>
            </w:pPr>
            <w:r>
              <w:t xml:space="preserve">Distribution &amp; referral</w:t>
            </w:r>
          </w:p>
        </w:tc>
        <w:tc>
          <w:tcPr/>
          <w:p>
            <w:pPr>
              <w:pStyle w:val="Compact"/>
              <w:jc w:val="left"/>
            </w:pPr>
            <w:r>
              <w:t xml:space="preserve">Referral margin</w:t>
            </w:r>
          </w:p>
        </w:tc>
        <w:tc>
          <w:tcPr/>
          <w:p>
            <w:pPr>
              <w:pStyle w:val="Compact"/>
              <w:jc w:val="left"/>
            </w:pPr>
            <w:r>
              <w:t xml:space="preserve">Diversified — no single-partner dependence</w:t>
            </w:r>
          </w:p>
        </w:tc>
      </w:tr>
      <w:tr>
        <w:tc>
          <w:tcPr/>
          <w:p>
            <w:pPr>
              <w:pStyle w:val="Compact"/>
              <w:jc w:val="left"/>
            </w:pPr>
            <w:r>
              <w:t xml:space="preserve">ASP partner (from 2027)</w:t>
            </w:r>
          </w:p>
        </w:tc>
        <w:tc>
          <w:tcPr/>
          <w:p>
            <w:pPr>
              <w:pStyle w:val="Compact"/>
              <w:jc w:val="left"/>
            </w:pPr>
            <w:r>
              <w:t xml:space="preserve">Peppol e-invoicing rails</w:t>
            </w:r>
          </w:p>
        </w:tc>
        <w:tc>
          <w:tcPr/>
          <w:p>
            <w:pPr>
              <w:pStyle w:val="Compact"/>
              <w:jc w:val="left"/>
            </w:pPr>
            <w:r>
              <w:t xml:space="preserve">To be negotiated</w:t>
            </w:r>
          </w:p>
        </w:tc>
        <w:tc>
          <w:tcPr/>
          <w:p>
            <w:pPr>
              <w:pStyle w:val="Compact"/>
              <w:jc w:val="left"/>
            </w:pPr>
            <w:r>
              <w:t xml:space="preserve">Selected from the FTA-accredited pool (41 vendors)</w:t>
            </w:r>
          </w:p>
        </w:tc>
      </w:tr>
    </w:tbl>
    <w:p>
      <w:pPr>
        <w:pStyle w:val="BodyText"/>
      </w:pPr>
      <w:r>
        <w:t xml:space="preserve">Expectations are set in written agreements; no supplier’s pricing is assumed permanent (cost-change risk is in Section 17).</w:t>
      </w:r>
    </w:p>
    <w:bookmarkEnd w:id="164"/>
    <w:bookmarkStart w:id="165" w:name="complaint-handling-process"/>
    <w:p>
      <w:pPr>
        <w:pStyle w:val="Heading2"/>
      </w:pPr>
      <w:r>
        <w:t xml:space="preserve">Complaint-handling process</w:t>
      </w:r>
    </w:p>
    <w:p>
      <w:pPr>
        <w:pStyle w:val="FirstParagraph"/>
      </w:pPr>
      <w:r>
        <w:t xml:space="preserve">Submission via the in-app form or email → acknowledgement within 1 business day with a reference number → investigation by the classified owner → resolution with a written explanation → escalation to NM (as CEO) if the customer rejects the outcome → appeal recorded with a final response within 10 business days. Complaints about</w:t>
      </w:r>
      <w:r>
        <w:t xml:space="preserve"> </w:t>
      </w:r>
      <w:r>
        <w:rPr>
          <w:bCs/>
          <w:b/>
        </w:rPr>
        <w:t xml:space="preserve">AI answer quality</w:t>
      </w:r>
      <w:r>
        <w:t xml:space="preserve"> </w:t>
      </w:r>
      <w:r>
        <w:t xml:space="preserve">get the dedicated path: QA triage, comparison against sources, correction of corpus/retrieval where warranted, and a personal reply describing what changed. All complaints are logged and retained; negative feedback is never deleted; there is no charge to complain or appeal (see also Section 14).</w:t>
      </w:r>
    </w:p>
    <w:bookmarkEnd w:id="165"/>
    <w:bookmarkStart w:id="166" w:name="X4651b328154dc7027567e031fb884d5e5bfab9e"/>
    <w:p>
      <w:pPr>
        <w:pStyle w:val="Heading2"/>
      </w:pPr>
      <w:r>
        <w:t xml:space="preserve">Division of labour: AI, employees, outsourced, partners</w:t>
      </w:r>
    </w:p>
    <w:p>
      <w:pPr>
        <w:numPr>
          <w:ilvl w:val="0"/>
          <w:numId w:val="1019"/>
        </w:numPr>
        <w:pStyle w:val="Compact"/>
      </w:pPr>
      <w:r>
        <w:rPr>
          <w:bCs/>
          <w:b/>
        </w:rPr>
        <w:t xml:space="preserve">Automated by AI</w:t>
      </w:r>
      <w:r>
        <w:t xml:space="preserve">: retrieval and answer drafting, VAT arithmetic (deterministic), invoice extraction and consistency checks, usage metering, onboarding emails. Boundaries: nothing is filed with any authority, no advice is generated, and every flagged exception routes to a human.</w:t>
      </w:r>
    </w:p>
    <w:p>
      <w:pPr>
        <w:numPr>
          <w:ilvl w:val="0"/>
          <w:numId w:val="1019"/>
        </w:numPr>
        <w:pStyle w:val="Compact"/>
      </w:pPr>
      <w:r>
        <w:rPr>
          <w:bCs/>
          <w:b/>
        </w:rPr>
        <w:t xml:space="preserve">Done by the team</w:t>
      </w:r>
      <w:r>
        <w:t xml:space="preserve">: everything judgment-bearing — QA and golden-set curation, support and complaints, partnerships, compliance liaison, product decisions, content.</w:t>
      </w:r>
    </w:p>
    <w:p>
      <w:pPr>
        <w:numPr>
          <w:ilvl w:val="0"/>
          <w:numId w:val="1019"/>
        </w:numPr>
        <w:pStyle w:val="Compact"/>
      </w:pPr>
      <w:r>
        <w:rPr>
          <w:bCs/>
          <w:b/>
        </w:rPr>
        <w:t xml:space="preserve">Outsourced</w:t>
      </w:r>
      <w:r>
        <w:t xml:space="preserve">: legal drafting (terms, privacy policy), bookkeeping/audit for our own accounts, penetration testing before commercial launch, design assets — each chosen because specialists do it better and cheaper than founder time, each supervised with defined deliverables and confidentiality terms (costs in Section 15).</w:t>
      </w:r>
    </w:p>
    <w:p>
      <w:pPr>
        <w:numPr>
          <w:ilvl w:val="0"/>
          <w:numId w:val="1019"/>
        </w:numPr>
        <w:pStyle w:val="Compact"/>
      </w:pPr>
      <w:r>
        <w:rPr>
          <w:bCs/>
          <w:b/>
        </w:rPr>
        <w:t xml:space="preserve">Managed by external partners</w:t>
      </w:r>
      <w:r>
        <w:t xml:space="preserve">: hosting, payments, the LLM API, and later the ASP rail — under contracts with service levels where available, and with the fallback plans above. Accountability to the customer is never transferred: if a partner fails, the failure is ours to manage and communicate.</w:t>
      </w:r>
    </w:p>
    <w:bookmarkEnd w:id="166"/>
    <w:bookmarkEnd w:id="167"/>
    <w:bookmarkStart w:id="173" w:name="Xe78cb47e029ac3aa191dbcfc64c99aab02bddba"/>
    <w:p>
      <w:pPr>
        <w:pStyle w:val="Heading1"/>
      </w:pPr>
      <w:r>
        <w:t xml:space="preserve">Section 13: Management Team and Group Responsibilities</w:t>
      </w:r>
    </w:p>
    <w:bookmarkStart w:id="168" w:name="management-structure"/>
    <w:p>
      <w:pPr>
        <w:pStyle w:val="Heading2"/>
      </w:pPr>
      <w:r>
        <w:t xml:space="preserve">Management structure</w:t>
      </w:r>
    </w:p>
    <w:p>
      <w:pPr>
        <w:pStyle w:val="FirstParagraph"/>
      </w:pPr>
      <w:r>
        <w:t xml:space="preserve">A deliberately flat three-founder structure: every founder reports to the group; strategic decisions (funding, pricing, roadmap) are taken jointly with the CEO holding the casting vote; each functional area has exactly one accountable owner. As the company grows post-funding, the first structural change is adding specialist hires under existing owners (below), not new management layers.</w:t>
      </w:r>
    </w:p>
    <w:bookmarkEnd w:id="168"/>
    <w:bookmarkStart w:id="169" w:name="roles-and-core-competencies"/>
    <w:p>
      <w:pPr>
        <w:pStyle w:val="Heading2"/>
      </w:pPr>
      <w:r>
        <w:t xml:space="preserve">Roles and core competencies</w:t>
      </w:r>
    </w:p>
    <w:p>
      <w:pPr>
        <w:pStyle w:val="FirstParagraph"/>
      </w:pPr>
      <w:r>
        <w:rPr>
          <w:bCs/>
          <w:b/>
        </w:rPr>
        <w:t xml:space="preserve">Nandita Menon — Chief Executive Officer &amp; AI Lead.</w:t>
      </w:r>
      <w:r>
        <w:t xml:space="preserve"> </w:t>
      </w:r>
      <w:r>
        <w:t xml:space="preserve">Owns strategy, fundraising, partnerships, and the entire AI system: data strategy, model/API selection, retrieval and abstention design, golden-set testing, performance and bias monitoring, and data governance. Evidence of capability: built a production computer-vision grading pipeline as an AI intern at NorthLadder (Dubai); built agentic RAG systems (FinSight); B.Tech in Computer Science, NIT Calicut; currently completing the MAIB at SP Jain, Dubai. She is accountable for company performance overall; she does not carry sole ownership of ethical decisions, which are taken jointly (Section 14).</w:t>
      </w:r>
    </w:p>
    <w:p>
      <w:pPr>
        <w:pStyle w:val="BodyText"/>
      </w:pPr>
      <w:r>
        <w:rPr>
          <w:bCs/>
          <w:b/>
        </w:rPr>
        <w:t xml:space="preserve">Jillian Priscilla — Chief Technology Officer (Frontend &amp; Deployment Lead).</w:t>
      </w:r>
      <w:r>
        <w:t xml:space="preserve"> </w:t>
      </w:r>
      <w:r>
        <w:t xml:space="preserve">Owns the application architecture, React frontend, deployment, security controls, scalability, backups and technical suppliers. [PLACEHOLDER: Teammate B’s specific experience, projects and qualifications.]</w:t>
      </w:r>
    </w:p>
    <w:p>
      <w:pPr>
        <w:pStyle w:val="BodyText"/>
      </w:pPr>
      <w:r>
        <w:rPr>
          <w:bCs/>
          <w:b/>
        </w:rPr>
        <w:t xml:space="preserve">Anushree Ashok — Research, QA &amp; Business Operations Lead</w:t>
      </w:r>
      <w:r>
        <w:t xml:space="preserve"> </w:t>
      </w:r>
      <w:r>
        <w:t xml:space="preserve">(spanning the CMO/CFO/customer-experience duties at our scale). Owns market and customer research, output QA execution, marketing channels and campaign measurement, customer onboarding/support/complaints, billing administration, budgeting and cash-flow tracking, and investor reporting support. Evidence of capability: 2.5 years as a Business Analyst at Decimal Point Analytics — the research and analysis skill set behind the market, competitor and pricing work in Sections 4–6 and the financial model inputs in Section 15; Bachelor of Financial Markets, SIES College of Commerce and Economics; currently completing the MAIB at SP Jain School of Global Management, Dubai.</w:t>
      </w:r>
    </w:p>
    <w:p>
      <w:pPr>
        <w:pStyle w:val="BodyText"/>
      </w:pPr>
      <w:r>
        <w:t xml:space="preserve">Each role has defined deliverables, decision authority and performance indicators (owners and cadences are specified throughout Sections 11, 12, 15 and 19); no responsibility in this plan lacks an owner, and none is duplicated.</w:t>
      </w:r>
    </w:p>
    <w:bookmarkEnd w:id="169"/>
    <w:bookmarkStart w:id="170" w:name="X31507bd26f75aabdc49d257c6f4f75699f91714"/>
    <w:p>
      <w:pPr>
        <w:pStyle w:val="Heading2"/>
      </w:pPr>
      <w:r>
        <w:t xml:space="preserve">Current capability gaps — stated honestly, each with an action plan</w:t>
      </w:r>
    </w:p>
    <w:p>
      <w:pPr>
        <w:numPr>
          <w:ilvl w:val="0"/>
          <w:numId w:val="1020"/>
        </w:numPr>
        <w:pStyle w:val="Compact"/>
      </w:pPr>
      <w:r>
        <w:rPr>
          <w:bCs/>
          <w:b/>
        </w:rPr>
        <w:t xml:space="preserve">No licensed tax professional on the team.</w:t>
      </w:r>
      <w:r>
        <w:t xml:space="preserve"> </w:t>
      </w:r>
      <w:r>
        <w:t xml:space="preserve">Consequence: we cannot validate legal content authoritatively in-house, and our</w:t>
      </w:r>
      <w:r>
        <w:t xml:space="preserve"> </w:t>
      </w:r>
      <w:r>
        <w:t xml:space="preserve">“</w:t>
      </w:r>
      <w:r>
        <w:t xml:space="preserve">assistance, not advice</w:t>
      </w:r>
      <w:r>
        <w:t xml:space="preserve">”</w:t>
      </w:r>
      <w:r>
        <w:t xml:space="preserve"> </w:t>
      </w:r>
      <w:r>
        <w:t xml:space="preserve">boundary needs professional confirmation. Action: a</w:t>
      </w:r>
      <w:r>
        <w:t xml:space="preserve"> </w:t>
      </w:r>
      <w:r>
        <w:rPr>
          <w:bCs/>
          <w:b/>
        </w:rPr>
        <w:t xml:space="preserve">retained compliance/tax advisor</w:t>
      </w:r>
      <w:r>
        <w:t xml:space="preserve"> </w:t>
      </w:r>
      <w:r>
        <w:t xml:space="preserve">is a named, budgeted use of pre-seed funds (Sections 15–16) — reviewing the golden set, corpus updates and scope positioning; an advisory-board seat is offered.</w:t>
      </w:r>
    </w:p>
    <w:p>
      <w:pPr>
        <w:numPr>
          <w:ilvl w:val="0"/>
          <w:numId w:val="1020"/>
        </w:numPr>
        <w:pStyle w:val="Compact"/>
      </w:pPr>
      <w:r>
        <w:rPr>
          <w:bCs/>
          <w:b/>
        </w:rPr>
        <w:t xml:space="preserve">No Arabic speaker on the founding team</w:t>
      </w:r>
      <w:r>
        <w:t xml:space="preserve"> </w:t>
      </w:r>
      <w:r>
        <w:t xml:space="preserve">[adjust if incorrect]. Consequence: Arabic launch (v2) cannot be QA’d internally. Action: contract a native-speaker reviewer for the Arabic release; recruit bilingual support help as an early hire.</w:t>
      </w:r>
    </w:p>
    <w:p>
      <w:pPr>
        <w:numPr>
          <w:ilvl w:val="0"/>
          <w:numId w:val="1020"/>
        </w:numPr>
        <w:pStyle w:val="Compact"/>
      </w:pPr>
      <w:r>
        <w:rPr>
          <w:bCs/>
          <w:b/>
        </w:rPr>
        <w:t xml:space="preserve">First-time founders.</w:t>
      </w:r>
      <w:r>
        <w:t xml:space="preserve"> </w:t>
      </w:r>
      <w:r>
        <w:t xml:space="preserve">Consequence: no prior startup pattern-recognition in fundraising, pricing or hiring. Action: accelerator mentorship (in5 / Hub71 / DIFC FinTech Hive applications — Section 16), SP Jain faculty and alumni advisors, and a discipline of small, reversible bets throughout this plan.</w:t>
      </w:r>
    </w:p>
    <w:p>
      <w:pPr>
        <w:numPr>
          <w:ilvl w:val="0"/>
          <w:numId w:val="1020"/>
        </w:numPr>
        <w:pStyle w:val="Compact"/>
      </w:pPr>
      <w:r>
        <w:rPr>
          <w:bCs/>
          <w:b/>
        </w:rPr>
        <w:t xml:space="preserve">No dedicated finance professional.</w:t>
      </w:r>
      <w:r>
        <w:t xml:space="preserve"> </w:t>
      </w:r>
      <w:r>
        <w:t xml:space="preserve">Action: outsourced bookkeeping from incorporation; CFO-level advice via the accelerator network until a finance hire is justified.</w:t>
      </w:r>
    </w:p>
    <w:bookmarkEnd w:id="170"/>
    <w:bookmarkStart w:id="171" w:name="future-hiring-requirements"/>
    <w:p>
      <w:pPr>
        <w:pStyle w:val="Heading2"/>
      </w:pPr>
      <w:r>
        <w:t xml:space="preserve">Future hiring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Timing</w:t>
            </w:r>
          </w:p>
        </w:tc>
        <w:tc>
          <w:tcPr/>
          <w:p>
            <w:pPr>
              <w:pStyle w:val="Compact"/>
              <w:jc w:val="left"/>
            </w:pPr>
            <w:r>
              <w:t xml:space="preserve">Reason</w:t>
            </w:r>
          </w:p>
        </w:tc>
        <w:tc>
          <w:tcPr/>
          <w:p>
            <w:pPr>
              <w:pStyle w:val="Compact"/>
              <w:jc w:val="left"/>
            </w:pPr>
            <w:r>
              <w:t xml:space="preserve">Arrangement &amp; indicative cost</w:t>
            </w:r>
          </w:p>
        </w:tc>
      </w:tr>
      <w:tr>
        <w:tc>
          <w:tcPr/>
          <w:p>
            <w:pPr>
              <w:pStyle w:val="Compact"/>
              <w:jc w:val="left"/>
            </w:pPr>
            <w:r>
              <w:t xml:space="preserve">Bilingual customer support (part-time)</w:t>
            </w:r>
          </w:p>
        </w:tc>
        <w:tc>
          <w:tcPr/>
          <w:p>
            <w:pPr>
              <w:pStyle w:val="Compact"/>
              <w:jc w:val="left"/>
            </w:pPr>
            <w:r>
              <w:t xml:space="preserve">From ~300 paying customers (est. H2 2027)</w:t>
            </w:r>
          </w:p>
        </w:tc>
        <w:tc>
          <w:tcPr/>
          <w:p>
            <w:pPr>
              <w:pStyle w:val="Compact"/>
              <w:jc w:val="left"/>
            </w:pPr>
            <w:r>
              <w:t xml:space="preserve">Support volume + Arabic coverage</w:t>
            </w:r>
          </w:p>
        </w:tc>
        <w:tc>
          <w:tcPr/>
          <w:p>
            <w:pPr>
              <w:pStyle w:val="Compact"/>
              <w:jc w:val="left"/>
            </w:pPr>
            <w:r>
              <w:t xml:space="preserve">Part-time/contract, ~AED 4–6k/mo</w:t>
            </w:r>
          </w:p>
        </w:tc>
      </w:tr>
      <w:tr>
        <w:tc>
          <w:tcPr/>
          <w:p>
            <w:pPr>
              <w:pStyle w:val="Compact"/>
              <w:jc w:val="left"/>
            </w:pPr>
            <w:r>
              <w:t xml:space="preserve">Full-stack engineer</w:t>
            </w:r>
          </w:p>
        </w:tc>
        <w:tc>
          <w:tcPr/>
          <w:p>
            <w:pPr>
              <w:pStyle w:val="Compact"/>
              <w:jc w:val="left"/>
            </w:pPr>
            <w:r>
              <w:t xml:space="preserve">Post-seed (2028)</w:t>
            </w:r>
          </w:p>
        </w:tc>
        <w:tc>
          <w:tcPr/>
          <w:p>
            <w:pPr>
              <w:pStyle w:val="Compact"/>
              <w:jc w:val="left"/>
            </w:pPr>
            <w:r>
              <w:t xml:space="preserve">Release cadence beyond founder capacity</w:t>
            </w:r>
          </w:p>
        </w:tc>
        <w:tc>
          <w:tcPr/>
          <w:p>
            <w:pPr>
              <w:pStyle w:val="Compact"/>
              <w:jc w:val="left"/>
            </w:pPr>
            <w:r>
              <w:t xml:space="preserve">Full-time, market rate</w:t>
            </w:r>
          </w:p>
        </w:tc>
      </w:tr>
      <w:tr>
        <w:tc>
          <w:tcPr/>
          <w:p>
            <w:pPr>
              <w:pStyle w:val="Compact"/>
              <w:jc w:val="left"/>
            </w:pPr>
            <w:r>
              <w:t xml:space="preserve">Accountant-channel partnerships manager</w:t>
            </w:r>
          </w:p>
        </w:tc>
        <w:tc>
          <w:tcPr/>
          <w:p>
            <w:pPr>
              <w:pStyle w:val="Compact"/>
              <w:jc w:val="left"/>
            </w:pPr>
            <w:r>
              <w:t xml:space="preserve">2028, once channel proven</w:t>
            </w:r>
          </w:p>
        </w:tc>
        <w:tc>
          <w:tcPr/>
          <w:p>
            <w:pPr>
              <w:pStyle w:val="Compact"/>
              <w:jc w:val="left"/>
            </w:pPr>
            <w:r>
              <w:t xml:space="preserve">Scale the referral engine</w:t>
            </w:r>
          </w:p>
        </w:tc>
        <w:tc>
          <w:tcPr/>
          <w:p>
            <w:pPr>
              <w:pStyle w:val="Compact"/>
              <w:jc w:val="left"/>
            </w:pPr>
            <w:r>
              <w:t xml:space="preserve">Full-time</w:t>
            </w:r>
          </w:p>
        </w:tc>
      </w:tr>
    </w:tbl>
    <w:p>
      <w:pPr>
        <w:pStyle w:val="BodyText"/>
      </w:pPr>
      <w:r>
        <w:t xml:space="preserve">No hire precedes the revenue or funding that supports it; functions are outsourced until a full-time need is proven.</w:t>
      </w:r>
    </w:p>
    <w:bookmarkEnd w:id="171"/>
    <w:bookmarkStart w:id="172" w:name="Xe98ea0f51f09ac0003a94b2953b9177c766f46b"/>
    <w:p>
      <w:pPr>
        <w:pStyle w:val="Heading2"/>
      </w:pPr>
      <w:r>
        <w:t xml:space="preserve">Group-member contribution table (course requirement)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Member</w:t>
            </w:r>
          </w:p>
        </w:tc>
        <w:tc>
          <w:tcPr/>
          <w:p>
            <w:pPr>
              <w:pStyle w:val="Compact"/>
              <w:jc w:val="left"/>
            </w:pPr>
            <w:r>
              <w:t xml:space="preserve">Assigned role</w:t>
            </w:r>
          </w:p>
        </w:tc>
        <w:tc>
          <w:tcPr/>
          <w:p>
            <w:pPr>
              <w:pStyle w:val="Compact"/>
              <w:jc w:val="left"/>
            </w:pPr>
            <w:r>
              <w:t xml:space="preserve">Report sections completed</w:t>
            </w:r>
          </w:p>
        </w:tc>
        <w:tc>
          <w:tcPr/>
          <w:p>
            <w:pPr>
              <w:pStyle w:val="Compact"/>
              <w:jc w:val="left"/>
            </w:pPr>
            <w:r>
              <w:t xml:space="preserve">Prototype contribution</w:t>
            </w:r>
          </w:p>
        </w:tc>
        <w:tc>
          <w:tcPr/>
          <w:p>
            <w:pPr>
              <w:pStyle w:val="Compact"/>
              <w:jc w:val="left"/>
            </w:pPr>
            <w:r>
              <w:t xml:space="preserve">Research contribution</w:t>
            </w:r>
          </w:p>
        </w:tc>
        <w:tc>
          <w:tcPr/>
          <w:p>
            <w:pPr>
              <w:pStyle w:val="Compact"/>
              <w:jc w:val="left"/>
            </w:pPr>
            <w:r>
              <w:t xml:space="preserve">Presentation responsibility</w:t>
            </w:r>
          </w:p>
        </w:tc>
      </w:tr>
      <w:tr>
        <w:tc>
          <w:tcPr/>
          <w:p>
            <w:pPr>
              <w:pStyle w:val="Compact"/>
              <w:jc w:val="left"/>
            </w:pPr>
            <w:r>
              <w:t xml:space="preserve">Nandita Menon</w:t>
            </w:r>
          </w:p>
        </w:tc>
        <w:tc>
          <w:tcPr/>
          <w:p>
            <w:pPr>
              <w:pStyle w:val="Compact"/>
              <w:jc w:val="left"/>
            </w:pPr>
            <w:r>
              <w:t xml:space="preserve">CEO &amp; AI Lead</w:t>
            </w:r>
          </w:p>
        </w:tc>
        <w:tc>
          <w:tcPr/>
          <w:p>
            <w:pPr>
              <w:pStyle w:val="Compact"/>
              <w:jc w:val="left"/>
            </w:pPr>
            <w:r>
              <w:t xml:space="preserve">1, 2, 3, 8, 9, 14, 17, 20</w:t>
            </w:r>
          </w:p>
        </w:tc>
        <w:tc>
          <w:tcPr/>
          <w:p>
            <w:pPr>
              <w:pStyle w:val="Compact"/>
              <w:jc w:val="left"/>
            </w:pPr>
            <w:r>
              <w:t xml:space="preserve">Agentic loop, retrieval pipeline, VAT calculator, vision extraction, abstention &amp; audit-trail design</w:t>
            </w:r>
          </w:p>
        </w:tc>
        <w:tc>
          <w:tcPr/>
          <w:p>
            <w:pPr>
              <w:pStyle w:val="Compact"/>
              <w:jc w:val="left"/>
            </w:pPr>
            <w:r>
              <w:t xml:space="preserve">AI accuracy research (Stanford study), technical competitor verification</w:t>
            </w:r>
          </w:p>
        </w:tc>
        <w:tc>
          <w:tcPr/>
          <w:p>
            <w:pPr>
              <w:pStyle w:val="Compact"/>
              <w:jc w:val="left"/>
            </w:pPr>
            <w:r>
              <w:t xml:space="preserve">Live demo; AI solution &amp; technology sections</w:t>
            </w:r>
          </w:p>
        </w:tc>
      </w:tr>
      <w:tr>
        <w:tc>
          <w:tcPr/>
          <w:p>
            <w:pPr>
              <w:pStyle w:val="Compact"/>
              <w:jc w:val="left"/>
            </w:pPr>
            <w:r>
              <w:t xml:space="preserve">Jillian Priscilla</w:t>
            </w:r>
          </w:p>
        </w:tc>
        <w:tc>
          <w:tcPr/>
          <w:p>
            <w:pPr>
              <w:pStyle w:val="Compact"/>
              <w:jc w:val="left"/>
            </w:pPr>
            <w:r>
              <w:t xml:space="preserve">CTO</w:t>
            </w:r>
          </w:p>
        </w:tc>
        <w:tc>
          <w:tcPr/>
          <w:p>
            <w:pPr>
              <w:pStyle w:val="Compact"/>
              <w:jc w:val="left"/>
            </w:pPr>
            <w:r>
              <w:t xml:space="preserve">10, 12</w:t>
            </w:r>
          </w:p>
        </w:tc>
        <w:tc>
          <w:tcPr/>
          <w:p>
            <w:pPr>
              <w:pStyle w:val="Compact"/>
              <w:jc w:val="left"/>
            </w:pPr>
            <w:r>
              <w:t xml:space="preserve">React frontend, deployment, UI for citations/audit trail</w:t>
            </w:r>
          </w:p>
        </w:tc>
        <w:tc>
          <w:tcPr/>
          <w:p>
            <w:pPr>
              <w:pStyle w:val="Compact"/>
              <w:jc w:val="left"/>
            </w:pPr>
            <w:r>
              <w:t xml:space="preserve">Deployment and hosting comparison; frontend accessibility and mobile testing</w:t>
            </w:r>
          </w:p>
        </w:tc>
        <w:tc>
          <w:tcPr/>
          <w:p>
            <w:pPr>
              <w:pStyle w:val="Compact"/>
              <w:jc w:val="left"/>
            </w:pPr>
            <w:r>
              <w:t xml:space="preserve">Prototype walkthrough; deployment and reliability</w:t>
            </w:r>
          </w:p>
        </w:tc>
      </w:tr>
      <w:tr>
        <w:tc>
          <w:tcPr/>
          <w:p>
            <w:pPr>
              <w:pStyle w:val="Compact"/>
              <w:jc w:val="left"/>
            </w:pPr>
            <w:r>
              <w:t xml:space="preserve">Anushree Ashok</w:t>
            </w:r>
          </w:p>
        </w:tc>
        <w:tc>
          <w:tcPr/>
          <w:p>
            <w:pPr>
              <w:pStyle w:val="Compact"/>
              <w:jc w:val="left"/>
            </w:pPr>
            <w:r>
              <w:t xml:space="preserve">Research, QA &amp; Business Ops Lead</w:t>
            </w:r>
          </w:p>
        </w:tc>
        <w:tc>
          <w:tcPr/>
          <w:p>
            <w:pPr>
              <w:pStyle w:val="Compact"/>
              <w:jc w:val="left"/>
            </w:pPr>
            <w:r>
              <w:t xml:space="preserve">4, 5, 6, 7, 11, 13, 15, 16, 18, 19</w:t>
            </w:r>
          </w:p>
        </w:tc>
        <w:tc>
          <w:tcPr/>
          <w:p>
            <w:pPr>
              <w:pStyle w:val="Compact"/>
              <w:jc w:val="left"/>
            </w:pPr>
            <w:r>
              <w:t xml:space="preserve">User testing coordination, QA of outputs</w:t>
            </w:r>
          </w:p>
        </w:tc>
        <w:tc>
          <w:tcPr/>
          <w:p>
            <w:pPr>
              <w:pStyle w:val="Compact"/>
              <w:jc w:val="left"/>
            </w:pPr>
            <w:r>
              <w:t xml:space="preserve">Market, competitor and pricing research; financial model inputs</w:t>
            </w:r>
          </w:p>
        </w:tc>
        <w:tc>
          <w:tcPr/>
          <w:p>
            <w:pPr>
              <w:pStyle w:val="Compact"/>
              <w:jc w:val="left"/>
            </w:pPr>
            <w:r>
              <w:t xml:space="preserve">Market, business model and financials; QA evidence</w:t>
            </w:r>
          </w:p>
        </w:tc>
      </w:tr>
    </w:tbl>
    <w:p>
      <w:pPr>
        <w:pStyle w:val="BodyText"/>
      </w:pPr>
      <w:r>
        <w:t xml:space="preserve"/>
      </w:r>
    </w:p>
    <w:bookmarkEnd w:id="172"/>
    <w:bookmarkEnd w:id="173"/>
    <w:bookmarkStart w:id="184" w:name="X73181aa0586f63269d8d30c278b95efd6a874cf"/>
    <w:p>
      <w:pPr>
        <w:pStyle w:val="Heading1"/>
      </w:pPr>
      <w:r>
        <w:t xml:space="preserve">Section 14: Ethical, Legal and Social Considerations</w:t>
      </w:r>
    </w:p>
    <w:p>
      <w:pPr>
        <w:pStyle w:val="FirstParagraph"/>
      </w:pPr>
      <w:r>
        <w:t xml:space="preserve">Ethics is not a defensive section of this plan; it is the product strategy. Mizan’s differentiator — cited, abstaining, auditable answers — exists because the ethical risks of AI in tax compliance are real and measured. This section sets out the commitments and the safeguards behind each.</w:t>
      </w:r>
    </w:p>
    <w:bookmarkStart w:id="174" w:name="user-privacy-and-data-protection"/>
    <w:p>
      <w:pPr>
        <w:pStyle w:val="Heading2"/>
      </w:pPr>
      <w:r>
        <w:t xml:space="preserve">User privacy and data protection</w:t>
      </w:r>
    </w:p>
    <w:p>
      <w:pPr>
        <w:pStyle w:val="FirstParagraph"/>
      </w:pPr>
      <w:r>
        <w:rPr>
          <w:bCs/>
          <w:b/>
        </w:rPr>
        <w:t xml:space="preserve">What we collect and why</w:t>
      </w:r>
      <w:r>
        <w:t xml:space="preserve">: account details (service delivery), questions and audit trails (the product itself), invoice images (extraction feature), payment records via the gateway (billing), minimal analytics (product improvement).</w:t>
      </w:r>
      <w:r>
        <w:t xml:space="preserve"> </w:t>
      </w:r>
      <w:r>
        <w:rPr>
          <w:bCs/>
          <w:b/>
        </w:rPr>
        <w:t xml:space="preserve">What we deliberately do not collect in the MVP: accounting ledgers, bank data, Emirates ID or other identity documents</w:t>
      </w:r>
      <w:r>
        <w:t xml:space="preserve"> </w:t>
      </w:r>
      <w:r>
        <w:t xml:space="preserve">— data minimisation is an architectural choice, not a policy footnote. Consent is obtained at signup in plain language, with separate consent for optional uses (e.g., using anonymised questions to improve retrieval); no pre-ticked boxes; consent is recorded and withdrawable in-app. Storage, retention and deletion follow the schedule in Section 9; users can delete their account and data at any time.</w:t>
      </w:r>
    </w:p>
    <w:p>
      <w:pPr>
        <w:pStyle w:val="BodyText"/>
      </w:pPr>
      <w:r>
        <w:t xml:space="preserve">The applicable regime is the</w:t>
      </w:r>
      <w:r>
        <w:t xml:space="preserve"> </w:t>
      </w:r>
      <w:r>
        <w:rPr>
          <w:bCs/>
          <w:b/>
        </w:rPr>
        <w:t xml:space="preserve">UAE Personal Data Protection Law (Federal Decree-Law 45/2021)</w:t>
      </w:r>
      <w:r>
        <w:t xml:space="preserve">. Our approach: lawful basis of contract performance and consent; honouring access, correction and deletion rights; security controls below; a preference for UAE/nearby data residency and review of any cross-border transfer; and breach response including notification consistent with PDPL requirements. We state this as our compliance approach, designed with our retained advisor — not as a self-issued legal clearance, and our privacy policy is drafted for Mizan specifically, not copied.</w:t>
      </w:r>
    </w:p>
    <w:bookmarkEnd w:id="174"/>
    <w:bookmarkStart w:id="175" w:name="cybersecurity"/>
    <w:p>
      <w:pPr>
        <w:pStyle w:val="Heading2"/>
      </w:pPr>
      <w:r>
        <w:t xml:space="preserve">Cybersecurity</w:t>
      </w:r>
    </w:p>
    <w:p>
      <w:pPr>
        <w:pStyle w:val="FirstParagraph"/>
      </w:pPr>
      <w:r>
        <w:t xml:space="preserve">Threats we plan for: credential theft, data exfiltration, payment fraud, and abuse of the AI endpoints. Controls (detailed in Section 9): authentication with MFA, TLS in transit and encryption at rest, role-based least-privilege access with reviews and offboarding, monitoring and alerts, monthly patching, tested backups, an incident-response runbook with user notification, and a pre-launch penetration test (budgeted, Section 15). We give no guarantee against breaches; we commit to controls proportionate to the data we hold — which we have deliberately kept small.</w:t>
      </w:r>
    </w:p>
    <w:bookmarkEnd w:id="175"/>
    <w:bookmarkStart w:id="176" w:name="ai-bias-discrimination-and-fairness"/>
    <w:p>
      <w:pPr>
        <w:pStyle w:val="Heading2"/>
      </w:pPr>
      <w:r>
        <w:t xml:space="preserve">AI bias, discrimination and fairness</w:t>
      </w:r>
    </w:p>
    <w:p>
      <w:pPr>
        <w:pStyle w:val="FirstParagraph"/>
      </w:pPr>
      <w:r>
        <w:t xml:space="preserve">Potential bias sources: the underlying LLM’s training data; English-only launch disadvantaging Arabic-first users; retrieval performing worse on question phrasings typical of non-native English speakers; extraction performing worse on some invoice formats. Affected groups are therefore defined by language and business type rather than protected personal characteristics — Mizan makes no decisions</w:t>
      </w:r>
      <w:r>
        <w:t xml:space="preserve"> </w:t>
      </w:r>
      <w:r>
        <w:rPr>
          <w:iCs/>
          <w:i/>
        </w:rPr>
        <w:t xml:space="preserve">about</w:t>
      </w:r>
      <w:r>
        <w:t xml:space="preserve"> </w:t>
      </w:r>
      <w:r>
        <w:t xml:space="preserve">individuals (no credit, hiring or eligibility scoring), which structurally limits discrimination risk. Our controls: quarterly fairness checks comparing answer quality across question phrasings and industries (Section 9); Arabic support as a funded roadmap priority (an inclusion measure, not just a market one); extraction testing across invoice formats; and a correction path when disparities appear. We do not claim the AI is neutral; we claim we measure and correct.</w:t>
      </w:r>
    </w:p>
    <w:bookmarkEnd w:id="176"/>
    <w:bookmarkStart w:id="177" w:name="X52074d944bce0f8f97436d03d229c0174eb5893"/>
    <w:p>
      <w:pPr>
        <w:pStyle w:val="Heading2"/>
      </w:pPr>
      <w:r>
        <w:t xml:space="preserve">Incorrect outputs — the central ethical risk</w:t>
      </w:r>
    </w:p>
    <w:p>
      <w:pPr>
        <w:pStyle w:val="FirstParagraph"/>
      </w:pPr>
      <w:r>
        <w:t xml:space="preserve">The evidence says errors will happen: Stanford RegLab/HAI (2025) found 17–33% hallucination rates in purpose-built legal AI tools. A wrong tax answer can cost a small business real money. Our layered response (Sections 3, 9): grounding in the actual law text;</w:t>
      </w:r>
      <w:r>
        <w:t xml:space="preserve"> </w:t>
      </w:r>
      <w:r>
        <w:rPr>
          <w:bCs/>
          <w:b/>
        </w:rPr>
        <w:t xml:space="preserve">abstention as a first-class outcome</w:t>
      </w:r>
      <w:r>
        <w:t xml:space="preserve"> </w:t>
      </w:r>
      <w:r>
        <w:t xml:space="preserve">(</w:t>
      </w:r>
      <w:r>
        <w:t xml:space="preserve">“</w:t>
      </w:r>
      <w:r>
        <w:t xml:space="preserve">Declined to guess</w:t>
      </w:r>
      <w:r>
        <w:t xml:space="preserve">”</w:t>
      </w:r>
      <w:r>
        <w:t xml:space="preserve">); citations so every answer is checkable; deterministic tools for all arithmetic; visible scope warnings; user feedback flags triaged within two business days; corrections fed back into the corpus and verified against the golden set; and escalation guidance toward registered tax agents for material matters. Disclaimers exist but are explicitly</w:t>
      </w:r>
      <w:r>
        <w:t xml:space="preserve"> </w:t>
      </w:r>
      <w:r>
        <w:rPr>
          <w:bCs/>
          <w:b/>
        </w:rPr>
        <w:t xml:space="preserve">not</w:t>
      </w:r>
      <w:r>
        <w:t xml:space="preserve"> </w:t>
      </w:r>
      <w:r>
        <w:t xml:space="preserve">our primary control — design and process are. Responsibility is shared honestly: we are accountable for the system’s quality processes; the user remains the decision-maker; and professional advice remains the domain of professionals.</w:t>
      </w:r>
    </w:p>
    <w:bookmarkEnd w:id="177"/>
    <w:bookmarkStart w:id="178" w:name="transparency"/>
    <w:p>
      <w:pPr>
        <w:pStyle w:val="Heading2"/>
      </w:pPr>
      <w:r>
        <w:t xml:space="preserve">Transparency</w:t>
      </w:r>
    </w:p>
    <w:p>
      <w:pPr>
        <w:pStyle w:val="FirstParagraph"/>
      </w:pPr>
      <w:r>
        <w:t xml:space="preserve">Users are told, plainly: that they are talking to an AI (never disguised as a human); what the system consulted (the audit trail and citations); what it cannot do (the scope note on every answer screen); and when it doesn’t know (the abstention badge). There are no secret criteria affecting users; the general basis of every output is inspectable. We avoid the opposite failure too — the audit trail is written in plain language, not engineering jargon.</w:t>
      </w:r>
    </w:p>
    <w:bookmarkEnd w:id="178"/>
    <w:bookmarkStart w:id="179" w:name="X34636e42fe87653c1e2128c42e9f54bcf236bfb"/>
    <w:p>
      <w:pPr>
        <w:pStyle w:val="Heading2"/>
      </w:pPr>
      <w:r>
        <w:t xml:space="preserve">Intellectual property, copyright and content rights</w:t>
      </w:r>
    </w:p>
    <w:p>
      <w:pPr>
        <w:pStyle w:val="FirstParagraph"/>
      </w:pPr>
      <w:r>
        <w:t xml:space="preserve">The software is the founders’ work, assigned to the company at incorporation; contractor agreements will include IP assignment (we do not assume payment alone transfers rights). The corpus consists of official UAE legislation and FTA guidance — public government publications, indexed with source attribution; we claim no ownership over the law, and we hold no patents or registered trademarks yet (trademark filing is scheduled at incorporation, Section 19). We claim no ownership of the underlying LLM. Customer content (questions, invoices) remains the customer’s; we take only the licence needed to operate the service, and any use for improvement is aggregate, consented and anonymised. Marketing assets are original or licensed; a takedown process handles any rights complaint.</w:t>
      </w:r>
    </w:p>
    <w:bookmarkEnd w:id="179"/>
    <w:bookmarkStart w:id="180" w:name="responsible-use-misuse-and-boundaries"/>
    <w:p>
      <w:pPr>
        <w:pStyle w:val="Heading2"/>
      </w:pPr>
      <w:r>
        <w:t xml:space="preserve">Responsible use, misuse and boundaries</w:t>
      </w:r>
    </w:p>
    <w:p>
      <w:pPr>
        <w:pStyle w:val="FirstParagraph"/>
      </w:pPr>
      <w:r>
        <w:t xml:space="preserve">Intended use: compliance assistance for a user’s own business.</w:t>
      </w:r>
      <w:r>
        <w:t xml:space="preserve"> </w:t>
      </w:r>
      <w:r>
        <w:rPr>
          <w:bCs/>
          <w:b/>
        </w:rPr>
        <w:t xml:space="preserve">Positioning is explicit throughout the product:</w:t>
      </w:r>
      <w:r>
        <w:rPr>
          <w:bCs/>
          <w:b/>
        </w:rPr>
        <w:t xml:space="preserve"> </w:t>
      </w:r>
      <w:r>
        <w:rPr>
          <w:bCs/>
          <w:b/>
        </w:rPr>
        <w:t xml:space="preserve">“</w:t>
      </w:r>
      <w:r>
        <w:rPr>
          <w:bCs/>
          <w:b/>
        </w:rPr>
        <w:t xml:space="preserve">compliance assistance, not tax advice.</w:t>
      </w:r>
      <w:r>
        <w:rPr>
          <w:bCs/>
          <w:b/>
        </w:rPr>
        <w:t xml:space="preserve">”</w:t>
      </w:r>
      <w:r>
        <w:t xml:space="preserve"> </w:t>
      </w:r>
      <w:r>
        <w:t xml:space="preserve">Prohibited uses (in terms, with enforcement): presenting Mizan output as professional advice to third parties, attempting to extract answers for evasion strategies, uploading documents one has no right to, and automated scraping. Controls: scope-refusal behaviour for evasion-seeking prompts, rate limits, monitoring for abuse patterns, a reporting channel and account suspension with appeal. We do not assume good behaviour; we design for its absence within privacy limits.</w:t>
      </w:r>
    </w:p>
    <w:bookmarkEnd w:id="180"/>
    <w:bookmarkStart w:id="181" w:name="potential-job-displacement"/>
    <w:p>
      <w:pPr>
        <w:pStyle w:val="Heading2"/>
      </w:pPr>
      <w:r>
        <w:t xml:space="preserve">Potential job displacement</w:t>
      </w:r>
    </w:p>
    <w:p>
      <w:pPr>
        <w:pStyle w:val="FirstParagraph"/>
      </w:pPr>
      <w:r>
        <w:t xml:space="preserve">Honest assessment: Mizan automates</w:t>
      </w:r>
      <w:r>
        <w:t xml:space="preserve"> </w:t>
      </w:r>
      <w:r>
        <w:rPr>
          <w:iCs/>
          <w:i/>
        </w:rPr>
        <w:t xml:space="preserve">routine question-answering and invoice checking</w:t>
      </w:r>
      <w:r>
        <w:t xml:space="preserve">, tasks currently done by accountants’ junior staff or not done at all. The realistic effect in this market is augmentation: 806 registered tax agents serve 651,000 CT registrants — an ~800:1 ratio — so the binding constraint is professional scarcity, not job surplus. Mizan’s accountant-channel strategy (Sections 6, 11, 18) is built on extending professionals’ capacity, and abstentions actively route work</w:t>
      </w:r>
      <w:r>
        <w:t xml:space="preserve"> </w:t>
      </w:r>
      <w:r>
        <w:rPr>
          <w:iCs/>
          <w:i/>
        </w:rPr>
        <w:t xml:space="preserve">to</w:t>
      </w:r>
      <w:r>
        <w:t xml:space="preserve"> </w:t>
      </w:r>
      <w:r>
        <w:t xml:space="preserve">them. Some data-entry work will shrink; new work (AI-assisted review, e-invoicing operations) grows alongside. We neither celebrate nor ignore the shift; we design our channel around the professionals affected.</w:t>
      </w:r>
    </w:p>
    <w:bookmarkEnd w:id="181"/>
    <w:bookmarkStart w:id="182" w:name="safeguards-summary"/>
    <w:p>
      <w:pPr>
        <w:pStyle w:val="Heading2"/>
      </w:pPr>
      <w:r>
        <w:t xml:space="preserve">Safeguards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Safeguard</w:t>
            </w:r>
          </w:p>
        </w:tc>
        <w:tc>
          <w:tcPr/>
          <w:p>
            <w:pPr>
              <w:pStyle w:val="Compact"/>
              <w:jc w:val="left"/>
            </w:pPr>
            <w:r>
              <w:t xml:space="preserve">Implementation</w:t>
            </w:r>
          </w:p>
        </w:tc>
      </w:tr>
      <w:tr>
        <w:tc>
          <w:tcPr/>
          <w:p>
            <w:pPr>
              <w:pStyle w:val="Compact"/>
              <w:jc w:val="left"/>
            </w:pPr>
            <w:r>
              <w:t xml:space="preserve">User consent</w:t>
            </w:r>
          </w:p>
        </w:tc>
        <w:tc>
          <w:tcPr/>
          <w:p>
            <w:pPr>
              <w:pStyle w:val="Compact"/>
              <w:jc w:val="left"/>
            </w:pPr>
            <w:r>
              <w:t xml:space="preserve">Plain-language, purpose-specific, recorded, withdrawable; no forced tracking</w:t>
            </w:r>
          </w:p>
        </w:tc>
      </w:tr>
      <w:tr>
        <w:tc>
          <w:tcPr/>
          <w:p>
            <w:pPr>
              <w:pStyle w:val="Compact"/>
              <w:jc w:val="left"/>
            </w:pPr>
            <w:r>
              <w:t xml:space="preserve">Data encryption</w:t>
            </w:r>
          </w:p>
        </w:tc>
        <w:tc>
          <w:tcPr/>
          <w:p>
            <w:pPr>
              <w:pStyle w:val="Compact"/>
              <w:jc w:val="left"/>
            </w:pPr>
            <w:r>
              <w:t xml:space="preserve">In transit (TLS) and at rest; keys managed by the cloud KMS with restricted access</w:t>
            </w:r>
          </w:p>
        </w:tc>
      </w:tr>
      <w:tr>
        <w:tc>
          <w:tcPr/>
          <w:p>
            <w:pPr>
              <w:pStyle w:val="Compact"/>
              <w:jc w:val="left"/>
            </w:pPr>
            <w:r>
              <w:t xml:space="preserve">Human review</w:t>
            </w:r>
          </w:p>
        </w:tc>
        <w:tc>
          <w:tcPr/>
          <w:p>
            <w:pPr>
              <w:pStyle w:val="Compact"/>
              <w:jc w:val="left"/>
            </w:pPr>
            <w:r>
              <w:t xml:space="preserve">User reviews every output by design; team samples weekly + triages all flags; advisor reviews golden set (scope and staffing per Sections 9, 12)</w:t>
            </w:r>
          </w:p>
        </w:tc>
      </w:tr>
      <w:tr>
        <w:tc>
          <w:tcPr/>
          <w:p>
            <w:pPr>
              <w:pStyle w:val="Compact"/>
              <w:jc w:val="left"/>
            </w:pPr>
            <w:r>
              <w:t xml:space="preserve">Output disclaimers</w:t>
            </w:r>
          </w:p>
        </w:tc>
        <w:tc>
          <w:tcPr/>
          <w:p>
            <w:pPr>
              <w:pStyle w:val="Compact"/>
              <w:jc w:val="left"/>
            </w:pPr>
            <w:r>
              <w:t xml:space="preserve">Short, plain-language scope notes at the point of action; professional-consultation prompts on abstention</w:t>
            </w:r>
          </w:p>
        </w:tc>
      </w:tr>
      <w:tr>
        <w:tc>
          <w:tcPr/>
          <w:p>
            <w:pPr>
              <w:pStyle w:val="Compact"/>
              <w:jc w:val="left"/>
            </w:pPr>
            <w:r>
              <w:t xml:space="preserve">Bias testing</w:t>
            </w:r>
          </w:p>
        </w:tc>
        <w:tc>
          <w:tcPr/>
          <w:p>
            <w:pPr>
              <w:pStyle w:val="Compact"/>
              <w:jc w:val="left"/>
            </w:pPr>
            <w:r>
              <w:t xml:space="preserve">Quarterly phrasing/industry fairness checks; corrective actions logged</w:t>
            </w:r>
          </w:p>
        </w:tc>
      </w:tr>
      <w:tr>
        <w:tc>
          <w:tcPr/>
          <w:p>
            <w:pPr>
              <w:pStyle w:val="Compact"/>
              <w:jc w:val="left"/>
            </w:pPr>
            <w:r>
              <w:t xml:space="preserve">Audit trails</w:t>
            </w:r>
          </w:p>
        </w:tc>
        <w:tc>
          <w:tcPr/>
          <w:p>
            <w:pPr>
              <w:pStyle w:val="Compact"/>
              <w:jc w:val="left"/>
            </w:pPr>
            <w:r>
              <w:t xml:space="preserve">Inputs, retrieved sources, model/tool calls, output, timestamps, user actions — retained 24 months, access-controlled</w:t>
            </w:r>
          </w:p>
        </w:tc>
      </w:tr>
      <w:tr>
        <w:tc>
          <w:tcPr/>
          <w:p>
            <w:pPr>
              <w:pStyle w:val="Compact"/>
              <w:jc w:val="left"/>
            </w:pPr>
            <w:r>
              <w:t xml:space="preserve">Restricted data access</w:t>
            </w:r>
          </w:p>
        </w:tc>
        <w:tc>
          <w:tcPr/>
          <w:p>
            <w:pPr>
              <w:pStyle w:val="Compact"/>
              <w:jc w:val="left"/>
            </w:pPr>
            <w:r>
              <w:t xml:space="preserve">Role-based, least-privilege, monthly review, immediate revocation on departure</w:t>
            </w:r>
          </w:p>
        </w:tc>
      </w:tr>
      <w:tr>
        <w:tc>
          <w:tcPr/>
          <w:p>
            <w:pPr>
              <w:pStyle w:val="Compact"/>
              <w:jc w:val="left"/>
            </w:pPr>
            <w:r>
              <w:t xml:space="preserve">Model monitoring</w:t>
            </w:r>
          </w:p>
        </w:tc>
        <w:tc>
          <w:tcPr/>
          <w:p>
            <w:pPr>
              <w:pStyle w:val="Compact"/>
              <w:jc w:val="left"/>
            </w:pPr>
            <w:r>
              <w:t xml:space="preserve">Accuracy (golden set), abstention/flag rates, drift after provider updates, cost, latency, complaints — with action thresholds</w:t>
            </w:r>
          </w:p>
        </w:tc>
      </w:tr>
      <w:tr>
        <w:tc>
          <w:tcPr/>
          <w:p>
            <w:pPr>
              <w:pStyle w:val="Compact"/>
              <w:jc w:val="left"/>
            </w:pPr>
            <w:r>
              <w:t xml:space="preserve">Complaints &amp; appeals</w:t>
            </w:r>
          </w:p>
        </w:tc>
        <w:tc>
          <w:tcPr/>
          <w:p>
            <w:pPr>
              <w:pStyle w:val="Compact"/>
              <w:jc w:val="left"/>
            </w:pPr>
            <w:r>
              <w:t xml:space="preserve">Free to use; acknowledged in 1 business day; human-reviewed; explained outcomes; appeal to CEO within 10 business days (Section 12)</w:t>
            </w:r>
          </w:p>
        </w:tc>
      </w:tr>
    </w:tbl>
    <w:bookmarkEnd w:id="182"/>
    <w:bookmarkStart w:id="183" w:name="terms-and-conditions"/>
    <w:p>
      <w:pPr>
        <w:pStyle w:val="Heading2"/>
      </w:pPr>
      <w:r>
        <w:t xml:space="preserve">Terms and conditions</w:t>
      </w:r>
    </w:p>
    <w:p>
      <w:pPr>
        <w:pStyle w:val="FirstParagraph"/>
      </w:pPr>
      <w:r>
        <w:t xml:space="preserve">The terms (professionally drafted — a budgeted legal cost, Section 15) will cover: service scope and the assistance-not-advice boundary; user responsibilities (accurate inputs, professional consultation for material decisions); subscription payments, renewal and cancellation (no hidden renewal); data use consistent with the privacy policy; IP ownership as above; prohibited uses; and liability limitations consistent with UAE consumer-protection law. Terms are written to be readable; nothing in them contradicts what this section promises.</w:t>
      </w:r>
    </w:p>
    <w:bookmarkEnd w:id="183"/>
    <w:bookmarkEnd w:id="184"/>
    <w:bookmarkStart w:id="193" w:name="section-15-financial-plan"/>
    <w:p>
      <w:pPr>
        <w:pStyle w:val="Heading1"/>
      </w:pPr>
      <w:r>
        <w:t xml:space="preserve">Section 15: Financial Plan</w:t>
      </w:r>
    </w:p>
    <w:p>
      <w:pPr>
        <w:pStyle w:val="FirstParagraph"/>
      </w:pPr>
      <w:r>
        <w:t xml:space="preserve">Every figure below is an estimate built from stated assumptions; nothing is a guarantee, and precision is deliberately limited (rounded to the nearest AED 1,000) because false precision would misrepresent the uncertainty of a pre-revenue venture. The plan covers the bootstrap phase (Aug–Dec 2026), the first commercial year in quarterly detail (2027), and annual estimates for 2028–2029. A monthly Year-1 model underlies the quarterly figures. [Appendix placeholder: monthly model spreadsheet.]</w:t>
      </w:r>
    </w:p>
    <w:bookmarkStart w:id="185" w:name="X311487845d1c122c4b61ecb91260cc3db0b8f21"/>
    <w:p>
      <w:pPr>
        <w:pStyle w:val="Heading2"/>
      </w:pPr>
      <w:r>
        <w:t xml:space="preserve">Financial assumptions (used identically in every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Assumption</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Pricing</w:t>
            </w:r>
          </w:p>
        </w:tc>
        <w:tc>
          <w:tcPr/>
          <w:p>
            <w:pPr>
              <w:pStyle w:val="Compact"/>
              <w:jc w:val="left"/>
            </w:pPr>
            <w:r>
              <w:t xml:space="preserve">Free / Pro AED 149/mo / Business AED 399/mo; annual = 2 months free</w:t>
            </w:r>
          </w:p>
        </w:tc>
        <w:tc>
          <w:tcPr/>
          <w:p>
            <w:pPr>
              <w:pStyle w:val="Compact"/>
              <w:jc w:val="left"/>
            </w:pPr>
            <w:r>
              <w:t xml:space="preserve">Sections 8, 11; researched white space</w:t>
            </w:r>
          </w:p>
        </w:tc>
      </w:tr>
      <w:tr>
        <w:tc>
          <w:tcPr/>
          <w:p>
            <w:pPr>
              <w:pStyle w:val="Compact"/>
              <w:jc w:val="left"/>
            </w:pPr>
            <w:r>
              <w:t xml:space="preserve">Customer mix</w:t>
            </w:r>
          </w:p>
        </w:tc>
        <w:tc>
          <w:tcPr/>
          <w:p>
            <w:pPr>
              <w:pStyle w:val="Compact"/>
              <w:jc w:val="left"/>
            </w:pPr>
            <w:r>
              <w:t xml:space="preserve">85% Pro / 15% Business</w:t>
            </w:r>
          </w:p>
        </w:tc>
        <w:tc>
          <w:tcPr/>
          <w:p>
            <w:pPr>
              <w:pStyle w:val="Compact"/>
              <w:jc w:val="left"/>
            </w:pPr>
            <w:r>
              <w:t xml:space="preserve">Assumption; SME-heavy targeting</w:t>
            </w:r>
          </w:p>
        </w:tc>
      </w:tr>
      <w:tr>
        <w:tc>
          <w:tcPr/>
          <w:p>
            <w:pPr>
              <w:pStyle w:val="Compact"/>
              <w:jc w:val="left"/>
            </w:pPr>
            <w:r>
              <w:t xml:space="preserve">Blended ARPU</w:t>
            </w:r>
          </w:p>
        </w:tc>
        <w:tc>
          <w:tcPr/>
          <w:p>
            <w:pPr>
              <w:pStyle w:val="Compact"/>
              <w:jc w:val="left"/>
            </w:pPr>
            <w:r>
              <w:t xml:space="preserve">AED 187 list;</w:t>
            </w:r>
            <w:r>
              <w:t xml:space="preserve"> </w:t>
            </w:r>
            <w:r>
              <w:rPr>
                <w:bCs/>
                <w:b/>
              </w:rPr>
              <w:t xml:space="preserve">AED 178 effective</w:t>
            </w:r>
            <w:r>
              <w:t xml:space="preserve"> </w:t>
            </w:r>
            <w:r>
              <w:t xml:space="preserve">(30% annual uptake at 16.7% discount)</w:t>
            </w:r>
          </w:p>
        </w:tc>
        <w:tc>
          <w:tcPr/>
          <w:p>
            <w:pPr>
              <w:pStyle w:val="Compact"/>
              <w:jc w:val="left"/>
            </w:pPr>
            <w:r>
              <w:t xml:space="preserve">Calculation from mix</w:t>
            </w:r>
          </w:p>
        </w:tc>
      </w:tr>
      <w:tr>
        <w:tc>
          <w:tcPr/>
          <w:p>
            <w:pPr>
              <w:pStyle w:val="Compact"/>
              <w:jc w:val="left"/>
            </w:pPr>
            <w:r>
              <w:t xml:space="preserve">Paying customers, end-2027</w:t>
            </w:r>
          </w:p>
        </w:tc>
        <w:tc>
          <w:tcPr/>
          <w:p>
            <w:pPr>
              <w:pStyle w:val="Compact"/>
              <w:jc w:val="left"/>
            </w:pPr>
            <w:r>
              <w:t xml:space="preserve">Conservative 250 /</w:t>
            </w:r>
            <w:r>
              <w:t xml:space="preserve"> </w:t>
            </w:r>
            <w:r>
              <w:rPr>
                <w:bCs/>
                <w:b/>
              </w:rPr>
              <w:t xml:space="preserve">Base 500</w:t>
            </w:r>
            <w:r>
              <w:t xml:space="preserve"> </w:t>
            </w:r>
            <w:r>
              <w:t xml:space="preserve">/ Optimistic 900</w:t>
            </w:r>
          </w:p>
        </w:tc>
        <w:tc>
          <w:tcPr/>
          <w:p>
            <w:pPr>
              <w:pStyle w:val="Compact"/>
              <w:jc w:val="left"/>
            </w:pPr>
            <w:r>
              <w:t xml:space="preserve">Section 5 SOM; funnel in Section 11</w:t>
            </w:r>
          </w:p>
        </w:tc>
      </w:tr>
      <w:tr>
        <w:tc>
          <w:tcPr/>
          <w:p>
            <w:pPr>
              <w:pStyle w:val="Compact"/>
              <w:jc w:val="left"/>
            </w:pPr>
            <w:r>
              <w:t xml:space="preserve">Free-to-paid conversion</w:t>
            </w:r>
          </w:p>
        </w:tc>
        <w:tc>
          <w:tcPr/>
          <w:p>
            <w:pPr>
              <w:pStyle w:val="Compact"/>
              <w:jc w:val="left"/>
            </w:pPr>
            <w:r>
              <w:t xml:space="preserve">4% (range 3–5%)</w:t>
            </w:r>
          </w:p>
        </w:tc>
        <w:tc>
          <w:tcPr/>
          <w:p>
            <w:pPr>
              <w:pStyle w:val="Compact"/>
              <w:jc w:val="left"/>
            </w:pPr>
            <w:r>
              <w:t xml:space="preserve">Assumption, to be pilot-tested</w:t>
            </w:r>
          </w:p>
        </w:tc>
      </w:tr>
      <w:tr>
        <w:tc>
          <w:tcPr/>
          <w:p>
            <w:pPr>
              <w:pStyle w:val="Compact"/>
              <w:jc w:val="left"/>
            </w:pPr>
            <w:r>
              <w:t xml:space="preserve">Monthly churn (paying)</w:t>
            </w:r>
          </w:p>
        </w:tc>
        <w:tc>
          <w:tcPr/>
          <w:p>
            <w:pPr>
              <w:pStyle w:val="Compact"/>
              <w:jc w:val="left"/>
            </w:pPr>
            <w:r>
              <w:t xml:space="preserve">3%</w:t>
            </w:r>
          </w:p>
        </w:tc>
        <w:tc>
          <w:tcPr/>
          <w:p>
            <w:pPr>
              <w:pStyle w:val="Compact"/>
              <w:jc w:val="left"/>
            </w:pPr>
            <w:r>
              <w:t xml:space="preserve">Assumption</w:t>
            </w:r>
          </w:p>
        </w:tc>
      </w:tr>
      <w:tr>
        <w:tc>
          <w:tcPr/>
          <w:p>
            <w:pPr>
              <w:pStyle w:val="Compact"/>
              <w:jc w:val="left"/>
            </w:pPr>
            <w:r>
              <w:t xml:space="preserve">LLM API cost</w:t>
            </w:r>
          </w:p>
        </w:tc>
        <w:tc>
          <w:tcPr/>
          <w:p>
            <w:pPr>
              <w:pStyle w:val="Compact"/>
              <w:jc w:val="left"/>
            </w:pPr>
            <w:r>
              <w:t xml:space="preserve">AED 1–3 per active user/month at current prices (we model AED 3 — the cautious end)</w:t>
            </w:r>
          </w:p>
        </w:tc>
        <w:tc>
          <w:tcPr/>
          <w:p>
            <w:pPr>
              <w:pStyle w:val="Compact"/>
              <w:jc w:val="left"/>
            </w:pPr>
            <w:r>
              <w:t xml:space="preserve">Provider pricing, July 2026; usage-capped tiers</w:t>
            </w:r>
          </w:p>
        </w:tc>
      </w:tr>
      <w:tr>
        <w:tc>
          <w:tcPr/>
          <w:p>
            <w:pPr>
              <w:pStyle w:val="Compact"/>
              <w:jc w:val="left"/>
            </w:pPr>
            <w:r>
              <w:t xml:space="preserve">Variable cost per paying customer</w:t>
            </w:r>
          </w:p>
        </w:tc>
        <w:tc>
          <w:tcPr/>
          <w:p>
            <w:pPr>
              <w:pStyle w:val="Compact"/>
              <w:jc w:val="left"/>
            </w:pPr>
            <w:r>
              <w:rPr>
                <w:bCs/>
                <w:b/>
              </w:rPr>
              <w:t xml:space="preserve">~AED 10/month</w:t>
            </w:r>
            <w:r>
              <w:t xml:space="preserve"> </w:t>
            </w:r>
            <w:r>
              <w:t xml:space="preserve">(LLM AED 3 + payment fees ~AED 5 + incremental hosting AED 2)</w:t>
            </w:r>
          </w:p>
        </w:tc>
        <w:tc>
          <w:tcPr/>
          <w:p>
            <w:pPr>
              <w:pStyle w:val="Compact"/>
              <w:jc w:val="left"/>
            </w:pPr>
            <w:r>
              <w:t xml:space="preserve">Calculation</w:t>
            </w:r>
          </w:p>
        </w:tc>
      </w:tr>
      <w:tr>
        <w:tc>
          <w:tcPr/>
          <w:p>
            <w:pPr>
              <w:pStyle w:val="Compact"/>
              <w:jc w:val="left"/>
            </w:pPr>
            <w:r>
              <w:t xml:space="preserve">Free-tier cost</w:t>
            </w:r>
          </w:p>
        </w:tc>
        <w:tc>
          <w:tcPr/>
          <w:p>
            <w:pPr>
              <w:pStyle w:val="Compact"/>
              <w:jc w:val="left"/>
            </w:pPr>
            <w:r>
              <w:t xml:space="preserve">~AED 500/month average, capped by tier limits</w:t>
            </w:r>
          </w:p>
        </w:tc>
        <w:tc>
          <w:tcPr/>
          <w:p>
            <w:pPr>
              <w:pStyle w:val="Compact"/>
              <w:jc w:val="left"/>
            </w:pPr>
            <w:r>
              <w:t xml:space="preserve">Design control</w:t>
            </w:r>
          </w:p>
        </w:tc>
      </w:tr>
      <w:tr>
        <w:tc>
          <w:tcPr/>
          <w:p>
            <w:pPr>
              <w:pStyle w:val="Compact"/>
              <w:jc w:val="left"/>
            </w:pPr>
            <w:r>
              <w:t xml:space="preserve">Hosting (fixed base)</w:t>
            </w:r>
          </w:p>
        </w:tc>
        <w:tc>
          <w:tcPr/>
          <w:p>
            <w:pPr>
              <w:pStyle w:val="Compact"/>
              <w:jc w:val="left"/>
            </w:pPr>
            <w:r>
              <w:t xml:space="preserve">AED 500/month initially, rising to ~AED 1,000 by end-2027</w:t>
            </w:r>
          </w:p>
        </w:tc>
        <w:tc>
          <w:tcPr/>
          <w:p>
            <w:pPr>
              <w:pStyle w:val="Compact"/>
              <w:jc w:val="left"/>
            </w:pPr>
            <w:r>
              <w:t xml:space="preserve">Section 9</w:t>
            </w:r>
          </w:p>
        </w:tc>
      </w:tr>
      <w:tr>
        <w:tc>
          <w:tcPr/>
          <w:p>
            <w:pPr>
              <w:pStyle w:val="Compact"/>
              <w:jc w:val="left"/>
            </w:pPr>
            <w:r>
              <w:t xml:space="preserve">Marketing</w:t>
            </w:r>
          </w:p>
        </w:tc>
        <w:tc>
          <w:tcPr/>
          <w:p>
            <w:pPr>
              <w:pStyle w:val="Compact"/>
              <w:jc w:val="left"/>
            </w:pPr>
            <w:r>
              <w:t xml:space="preserve">AED 3,000/month (2027)</w:t>
            </w:r>
          </w:p>
        </w:tc>
        <w:tc>
          <w:tcPr/>
          <w:p>
            <w:pPr>
              <w:pStyle w:val="Compact"/>
              <w:jc w:val="left"/>
            </w:pPr>
            <w:r>
              <w:t xml:space="preserve">Section 11</w:t>
            </w:r>
          </w:p>
        </w:tc>
      </w:tr>
      <w:tr>
        <w:tc>
          <w:tcPr/>
          <w:p>
            <w:pPr>
              <w:pStyle w:val="Compact"/>
              <w:jc w:val="left"/>
            </w:pPr>
            <w:r>
              <w:t xml:space="preserve">Founders</w:t>
            </w:r>
          </w:p>
        </w:tc>
        <w:tc>
          <w:tcPr/>
          <w:p>
            <w:pPr>
              <w:pStyle w:val="Compact"/>
              <w:jc w:val="left"/>
            </w:pPr>
            <w:r>
              <w:rPr>
                <w:bCs/>
                <w:b/>
              </w:rPr>
              <w:t xml:space="preserve">Unpaid through 2026</w:t>
            </w:r>
            <w:r>
              <w:t xml:space="preserve">; minimal stipends of AED 5,000/month each from pre-seed close (Jan 2027)</w:t>
            </w:r>
          </w:p>
        </w:tc>
        <w:tc>
          <w:tcPr/>
          <w:p>
            <w:pPr>
              <w:pStyle w:val="Compact"/>
              <w:jc w:val="left"/>
            </w:pPr>
            <w:r>
              <w:t xml:space="preserve">Section 16</w:t>
            </w:r>
          </w:p>
        </w:tc>
      </w:tr>
      <w:tr>
        <w:tc>
          <w:tcPr/>
          <w:p>
            <w:pPr>
              <w:pStyle w:val="Compact"/>
              <w:jc w:val="left"/>
            </w:pPr>
            <w:r>
              <w:t xml:space="preserve">Compliance advisor retainer</w:t>
            </w:r>
          </w:p>
        </w:tc>
        <w:tc>
          <w:tcPr/>
          <w:p>
            <w:pPr>
              <w:pStyle w:val="Compact"/>
              <w:jc w:val="left"/>
            </w:pPr>
            <w:r>
              <w:t xml:space="preserve">AED 3,500/month</w:t>
            </w:r>
          </w:p>
        </w:tc>
        <w:tc>
          <w:tcPr/>
          <w:p>
            <w:pPr>
              <w:pStyle w:val="Compact"/>
              <w:jc w:val="left"/>
            </w:pPr>
            <w:r>
              <w:t xml:space="preserve">Section 16 use of funds</w:t>
            </w:r>
          </w:p>
        </w:tc>
      </w:tr>
      <w:tr>
        <w:tc>
          <w:tcPr/>
          <w:p>
            <w:pPr>
              <w:pStyle w:val="Compact"/>
              <w:jc w:val="left"/>
            </w:pPr>
            <w:r>
              <w:t xml:space="preserve">Trade licence &amp; incorporation</w:t>
            </w:r>
          </w:p>
        </w:tc>
        <w:tc>
          <w:tcPr/>
          <w:p>
            <w:pPr>
              <w:pStyle w:val="Compact"/>
              <w:jc w:val="left"/>
            </w:pPr>
            <w:r>
              <w:t xml:space="preserve">AED 15,000–25,000 one-off (assumption — free-zone tech licence; to be confirmed at incorporation)</w:t>
            </w:r>
          </w:p>
        </w:tc>
        <w:tc>
          <w:tcPr/>
          <w:p>
            <w:pPr>
              <w:pStyle w:val="Compact"/>
              <w:jc w:val="left"/>
            </w:pPr>
            <w:r>
              <w:t xml:space="preserve">Estimate</w:t>
            </w:r>
          </w:p>
        </w:tc>
      </w:tr>
      <w:tr>
        <w:tc>
          <w:tcPr/>
          <w:p>
            <w:pPr>
              <w:pStyle w:val="Compact"/>
              <w:jc w:val="left"/>
            </w:pPr>
            <w:r>
              <w:t xml:space="preserve">Corporate tax on our own profits</w:t>
            </w:r>
          </w:p>
        </w:tc>
        <w:tc>
          <w:tcPr/>
          <w:p>
            <w:pPr>
              <w:pStyle w:val="Compact"/>
              <w:jc w:val="left"/>
            </w:pPr>
            <w:r>
              <w:t xml:space="preserve">0% below AED 375,000 profit; 9% above; small business relief evaluated with advisor</w:t>
            </w:r>
          </w:p>
        </w:tc>
        <w:tc>
          <w:tcPr/>
          <w:p>
            <w:pPr>
              <w:pStyle w:val="Compact"/>
              <w:jc w:val="left"/>
            </w:pPr>
            <w:r>
              <w:t xml:space="preserve">Federal Decree-Law 47/2022 (regime facts)</w:t>
            </w:r>
          </w:p>
        </w:tc>
      </w:tr>
      <w:tr>
        <w:tc>
          <w:tcPr/>
          <w:p>
            <w:pPr>
              <w:pStyle w:val="Compact"/>
              <w:jc w:val="left"/>
            </w:pPr>
            <w:r>
              <w:t xml:space="preserve">Funding</w:t>
            </w:r>
          </w:p>
        </w:tc>
        <w:tc>
          <w:tcPr/>
          <w:p>
            <w:pPr>
              <w:pStyle w:val="Compact"/>
              <w:jc w:val="left"/>
            </w:pPr>
            <w:r>
              <w:t xml:space="preserve">AED 350,000 pre-seed received Jan 2027</w:t>
            </w:r>
          </w:p>
        </w:tc>
        <w:tc>
          <w:tcPr/>
          <w:p>
            <w:pPr>
              <w:pStyle w:val="Compact"/>
              <w:jc w:val="left"/>
            </w:pPr>
            <w:r>
              <w:t xml:space="preserve">Section 16</w:t>
            </w:r>
          </w:p>
        </w:tc>
      </w:tr>
      <w:tr>
        <w:tc>
          <w:tcPr/>
          <w:p>
            <w:pPr>
              <w:pStyle w:val="Compact"/>
              <w:jc w:val="left"/>
            </w:pPr>
            <w:r>
              <w:t xml:space="preserve">Payment timing</w:t>
            </w:r>
          </w:p>
        </w:tc>
        <w:tc>
          <w:tcPr/>
          <w:p>
            <w:pPr>
              <w:pStyle w:val="Compact"/>
              <w:jc w:val="left"/>
            </w:pPr>
            <w:r>
              <w:t xml:space="preserve">Card receipts near-immediate; no receivables risk modelled</w:t>
            </w:r>
          </w:p>
        </w:tc>
        <w:tc>
          <w:tcPr/>
          <w:p>
            <w:pPr>
              <w:pStyle w:val="Compact"/>
              <w:jc w:val="left"/>
            </w:pPr>
            <w:r>
              <w:t xml:space="preserve">SaaS billing</w:t>
            </w:r>
          </w:p>
        </w:tc>
      </w:tr>
    </w:tbl>
    <w:bookmarkEnd w:id="185"/>
    <w:bookmarkStart w:id="186" w:name="development-cost-honestly-stated"/>
    <w:p>
      <w:pPr>
        <w:pStyle w:val="Heading2"/>
      </w:pPr>
      <w:r>
        <w:t xml:space="preserve">Development cost — honestly stated</w:t>
      </w:r>
    </w:p>
    <w:p>
      <w:pPr>
        <w:pStyle w:val="FirstParagraph"/>
      </w:pPr>
      <w:r>
        <w:t xml:space="preserve">The MVP was founder-built. We do not record it as zero: at ~700 founder hours and a market contractor rate of ~AED 100/hour, the</w:t>
      </w:r>
      <w:r>
        <w:t xml:space="preserve"> </w:t>
      </w:r>
      <w:r>
        <w:rPr>
          <w:bCs/>
          <w:b/>
        </w:rPr>
        <w:t xml:space="preserve">imputed development value is ~AED 70,000</w:t>
      </w:r>
      <w:r>
        <w:t xml:space="preserve"> </w:t>
      </w:r>
      <w:r>
        <w:t xml:space="preserve">of sweat equity, disclosed here rather than hidden. Out-of-pocket 2026 costs (hosting, API usage for development and testing, tools, domain) are ~AED 1,500–2,000/month, founder-funded (~AED 10–15k total Aug–Dec 2026). Ongoing maintenance is a continuing cost (founder time plus the hosting/tools lines below), not a one-time item.</w:t>
      </w:r>
    </w:p>
    <w:bookmarkEnd w:id="186"/>
    <w:bookmarkStart w:id="187" w:name="X1ebfe662c934eb77d9140b083e7e5bd11a60527"/>
    <w:p>
      <w:pPr>
        <w:pStyle w:val="Heading2"/>
      </w:pPr>
      <w:r>
        <w:t xml:space="preserve">Phase 0 — Aug–Dec 2026 (bootstrap, pre-revenue)</w:t>
      </w:r>
    </w:p>
    <w:p>
      <w:pPr>
        <w:pStyle w:val="FirstParagraph"/>
      </w:pPr>
      <w:r>
        <w:t xml:space="preserve">Activities: pilot with early users, incorporation, accelerator applications, billing build. Costs: ~AED 12,000 total (infrastructure and tools) + incorporation if completed in 2026 (see one-offs). Revenue: none budgeted (pilot may include discounted founding subscriptions; not counted). Funded by founders.</w:t>
      </w:r>
    </w:p>
    <w:bookmarkEnd w:id="187"/>
    <w:bookmarkStart w:id="188" w:name="year-1-2027-quarterly-base-case"/>
    <w:p>
      <w:pPr>
        <w:pStyle w:val="Heading2"/>
      </w:pPr>
      <w:r>
        <w:t xml:space="preserve">Year 1 (2027) — quarterly, base case</w:t>
      </w:r>
    </w:p>
    <w:p>
      <w:pPr>
        <w:pStyle w:val="FirstParagraph"/>
      </w:pPr>
      <w:r>
        <w:t xml:space="preserve">Customer build-up (paying, end of quarter): Q1 60 → Q2 150 → Q3 300 → Q4 500 (average within quarter: 30 / 105 / 225 / 400; growth net of 3% monthly churn).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AED ’000</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FY2027</w:t>
            </w:r>
          </w:p>
        </w:tc>
      </w:tr>
      <w:tr>
        <w:tc>
          <w:tcPr/>
          <w:p>
            <w:pPr>
              <w:pStyle w:val="Compact"/>
              <w:jc w:val="left"/>
            </w:pPr>
            <w:r>
              <w:t xml:space="preserve">Subscription revenue</w:t>
            </w:r>
          </w:p>
        </w:tc>
        <w:tc>
          <w:tcPr/>
          <w:p>
            <w:pPr>
              <w:pStyle w:val="Compact"/>
              <w:jc w:val="left"/>
            </w:pPr>
            <w:r>
              <w:t xml:space="preserve">16</w:t>
            </w:r>
          </w:p>
        </w:tc>
        <w:tc>
          <w:tcPr/>
          <w:p>
            <w:pPr>
              <w:pStyle w:val="Compact"/>
              <w:jc w:val="left"/>
            </w:pPr>
            <w:r>
              <w:t xml:space="preserve">56</w:t>
            </w:r>
          </w:p>
        </w:tc>
        <w:tc>
          <w:tcPr/>
          <w:p>
            <w:pPr>
              <w:pStyle w:val="Compact"/>
              <w:jc w:val="left"/>
            </w:pPr>
            <w:r>
              <w:t xml:space="preserve">120</w:t>
            </w:r>
          </w:p>
        </w:tc>
        <w:tc>
          <w:tcPr/>
          <w:p>
            <w:pPr>
              <w:pStyle w:val="Compact"/>
              <w:jc w:val="left"/>
            </w:pPr>
            <w:r>
              <w:t xml:space="preserve">214</w:t>
            </w:r>
          </w:p>
        </w:tc>
        <w:tc>
          <w:tcPr/>
          <w:p>
            <w:pPr>
              <w:pStyle w:val="Compact"/>
              <w:jc w:val="left"/>
            </w:pPr>
            <w:r>
              <w:rPr>
                <w:bCs/>
                <w:b/>
              </w:rPr>
              <w:t xml:space="preserve">406</w:t>
            </w:r>
          </w:p>
        </w:tc>
      </w:tr>
      <w:tr>
        <w:tc>
          <w:tcPr/>
          <w:p>
            <w:pPr>
              <w:pStyle w:val="Compact"/>
              <w:jc w:val="left"/>
            </w:pPr>
            <w:r>
              <w:t xml:space="preserve">Cost of service (variable + free tier)</w:t>
            </w:r>
          </w:p>
        </w:tc>
        <w:tc>
          <w:tcPr/>
          <w:p>
            <w:pPr>
              <w:pStyle w:val="Compact"/>
              <w:jc w:val="left"/>
            </w:pPr>
            <w:r>
              <w:t xml:space="preserve">4</w:t>
            </w:r>
          </w:p>
        </w:tc>
        <w:tc>
          <w:tcPr/>
          <w:p>
            <w:pPr>
              <w:pStyle w:val="Compact"/>
              <w:jc w:val="left"/>
            </w:pPr>
            <w:r>
              <w:t xml:space="preserve">6</w:t>
            </w:r>
          </w:p>
        </w:tc>
        <w:tc>
          <w:tcPr/>
          <w:p>
            <w:pPr>
              <w:pStyle w:val="Compact"/>
              <w:jc w:val="left"/>
            </w:pPr>
            <w:r>
              <w:t xml:space="preserve">8</w:t>
            </w:r>
          </w:p>
        </w:tc>
        <w:tc>
          <w:tcPr/>
          <w:p>
            <w:pPr>
              <w:pStyle w:val="Compact"/>
              <w:jc w:val="left"/>
            </w:pPr>
            <w:r>
              <w:t xml:space="preserve">11</w:t>
            </w:r>
          </w:p>
        </w:tc>
        <w:tc>
          <w:tcPr/>
          <w:p>
            <w:pPr>
              <w:pStyle w:val="Compact"/>
              <w:jc w:val="left"/>
            </w:pPr>
            <w:r>
              <w:rPr>
                <w:bCs/>
                <w:b/>
              </w:rPr>
              <w:t xml:space="preserve">29</w:t>
            </w:r>
          </w:p>
        </w:tc>
      </w:tr>
      <w:tr>
        <w:tc>
          <w:tcPr/>
          <w:p>
            <w:pPr>
              <w:pStyle w:val="Compact"/>
              <w:jc w:val="left"/>
            </w:pPr>
            <w:r>
              <w:rPr>
                <w:bCs/>
                <w:b/>
              </w:rPr>
              <w:t xml:space="preserve">Gross profit</w:t>
            </w:r>
          </w:p>
        </w:tc>
        <w:tc>
          <w:tcPr/>
          <w:p>
            <w:pPr>
              <w:pStyle w:val="Compact"/>
              <w:jc w:val="left"/>
            </w:pPr>
            <w:r>
              <w:t xml:space="preserve">12</w:t>
            </w:r>
          </w:p>
        </w:tc>
        <w:tc>
          <w:tcPr/>
          <w:p>
            <w:pPr>
              <w:pStyle w:val="Compact"/>
              <w:jc w:val="left"/>
            </w:pPr>
            <w:r>
              <w:t xml:space="preserve">50</w:t>
            </w:r>
          </w:p>
        </w:tc>
        <w:tc>
          <w:tcPr/>
          <w:p>
            <w:pPr>
              <w:pStyle w:val="Compact"/>
              <w:jc w:val="left"/>
            </w:pPr>
            <w:r>
              <w:t xml:space="preserve">112</w:t>
            </w:r>
          </w:p>
        </w:tc>
        <w:tc>
          <w:tcPr/>
          <w:p>
            <w:pPr>
              <w:pStyle w:val="Compact"/>
              <w:jc w:val="left"/>
            </w:pPr>
            <w:r>
              <w:t xml:space="preserve">203</w:t>
            </w:r>
          </w:p>
        </w:tc>
        <w:tc>
          <w:tcPr/>
          <w:p>
            <w:pPr>
              <w:pStyle w:val="Compact"/>
              <w:jc w:val="left"/>
            </w:pPr>
            <w:r>
              <w:rPr>
                <w:bCs/>
                <w:b/>
              </w:rPr>
              <w:t xml:space="preserve">377 (93%)</w:t>
            </w:r>
          </w:p>
        </w:tc>
      </w:tr>
      <w:tr>
        <w:tc>
          <w:tcPr/>
          <w:p>
            <w:pPr>
              <w:pStyle w:val="Compact"/>
              <w:jc w:val="left"/>
            </w:pPr>
            <w:r>
              <w:t xml:space="preserve">Founder stipends</w:t>
            </w:r>
          </w:p>
        </w:tc>
        <w:tc>
          <w:tcPr/>
          <w:p>
            <w:pPr>
              <w:pStyle w:val="Compact"/>
              <w:jc w:val="left"/>
            </w:pPr>
            <w:r>
              <w:t xml:space="preserve">45</w:t>
            </w:r>
          </w:p>
        </w:tc>
        <w:tc>
          <w:tcPr/>
          <w:p>
            <w:pPr>
              <w:pStyle w:val="Compact"/>
              <w:jc w:val="left"/>
            </w:pPr>
            <w:r>
              <w:t xml:space="preserve">45</w:t>
            </w:r>
          </w:p>
        </w:tc>
        <w:tc>
          <w:tcPr/>
          <w:p>
            <w:pPr>
              <w:pStyle w:val="Compact"/>
              <w:jc w:val="left"/>
            </w:pPr>
            <w:r>
              <w:t xml:space="preserve">45</w:t>
            </w:r>
          </w:p>
        </w:tc>
        <w:tc>
          <w:tcPr/>
          <w:p>
            <w:pPr>
              <w:pStyle w:val="Compact"/>
              <w:jc w:val="left"/>
            </w:pPr>
            <w:r>
              <w:t xml:space="preserve">45</w:t>
            </w:r>
          </w:p>
        </w:tc>
        <w:tc>
          <w:tcPr/>
          <w:p>
            <w:pPr>
              <w:pStyle w:val="Compact"/>
              <w:jc w:val="left"/>
            </w:pPr>
            <w:r>
              <w:t xml:space="preserve">180</w:t>
            </w:r>
          </w:p>
        </w:tc>
      </w:tr>
      <w:tr>
        <w:tc>
          <w:tcPr/>
          <w:p>
            <w:pPr>
              <w:pStyle w:val="Compact"/>
              <w:jc w:val="left"/>
            </w:pPr>
            <w:r>
              <w:t xml:space="preserve">Marketing</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c>
          <w:tcPr/>
          <w:p>
            <w:pPr>
              <w:pStyle w:val="Compact"/>
              <w:jc w:val="left"/>
            </w:pPr>
            <w:r>
              <w:t xml:space="preserve">36</w:t>
            </w:r>
          </w:p>
        </w:tc>
      </w:tr>
      <w:tr>
        <w:tc>
          <w:tcPr/>
          <w:p>
            <w:pPr>
              <w:pStyle w:val="Compact"/>
              <w:jc w:val="left"/>
            </w:pPr>
            <w:r>
              <w:t xml:space="preserve">Compliance advisor</w:t>
            </w:r>
          </w:p>
        </w:tc>
        <w:tc>
          <w:tcPr/>
          <w:p>
            <w:pPr>
              <w:pStyle w:val="Compact"/>
              <w:jc w:val="left"/>
            </w:pPr>
            <w:r>
              <w:t xml:space="preserve">10.5</w:t>
            </w:r>
          </w:p>
        </w:tc>
        <w:tc>
          <w:tcPr/>
          <w:p>
            <w:pPr>
              <w:pStyle w:val="Compact"/>
              <w:jc w:val="left"/>
            </w:pPr>
            <w:r>
              <w:t xml:space="preserve">10.5</w:t>
            </w:r>
          </w:p>
        </w:tc>
        <w:tc>
          <w:tcPr/>
          <w:p>
            <w:pPr>
              <w:pStyle w:val="Compact"/>
              <w:jc w:val="left"/>
            </w:pPr>
            <w:r>
              <w:t xml:space="preserve">10.5</w:t>
            </w:r>
          </w:p>
        </w:tc>
        <w:tc>
          <w:tcPr/>
          <w:p>
            <w:pPr>
              <w:pStyle w:val="Compact"/>
              <w:jc w:val="left"/>
            </w:pPr>
            <w:r>
              <w:t xml:space="preserve">10.5</w:t>
            </w:r>
          </w:p>
        </w:tc>
        <w:tc>
          <w:tcPr/>
          <w:p>
            <w:pPr>
              <w:pStyle w:val="Compact"/>
              <w:jc w:val="left"/>
            </w:pPr>
            <w:r>
              <w:t xml:space="preserve">42</w:t>
            </w:r>
          </w:p>
        </w:tc>
      </w:tr>
      <w:tr>
        <w:tc>
          <w:tcPr/>
          <w:p>
            <w:pPr>
              <w:pStyle w:val="Compact"/>
              <w:jc w:val="left"/>
            </w:pPr>
            <w:r>
              <w:t xml:space="preserve">Contracted product work (Arabic QA, evals, pen-test, design)</w:t>
            </w:r>
          </w:p>
        </w:tc>
        <w:tc>
          <w:tcPr/>
          <w:p>
            <w:pPr>
              <w:pStyle w:val="Compact"/>
              <w:jc w:val="left"/>
            </w:pPr>
            <w:r>
              <w:t xml:space="preserve">6</w:t>
            </w:r>
          </w:p>
        </w:tc>
        <w:tc>
          <w:tcPr/>
          <w:p>
            <w:pPr>
              <w:pStyle w:val="Compact"/>
              <w:jc w:val="left"/>
            </w:pPr>
            <w:r>
              <w:t xml:space="preserve">12</w:t>
            </w:r>
          </w:p>
        </w:tc>
        <w:tc>
          <w:tcPr/>
          <w:p>
            <w:pPr>
              <w:pStyle w:val="Compact"/>
              <w:jc w:val="left"/>
            </w:pPr>
            <w:r>
              <w:t xml:space="preserve">12</w:t>
            </w:r>
          </w:p>
        </w:tc>
        <w:tc>
          <w:tcPr/>
          <w:p>
            <w:pPr>
              <w:pStyle w:val="Compact"/>
              <w:jc w:val="left"/>
            </w:pPr>
            <w:r>
              <w:t xml:space="preserve">6</w:t>
            </w:r>
          </w:p>
        </w:tc>
        <w:tc>
          <w:tcPr/>
          <w:p>
            <w:pPr>
              <w:pStyle w:val="Compact"/>
              <w:jc w:val="left"/>
            </w:pPr>
            <w:r>
              <w:t xml:space="preserve">36</w:t>
            </w:r>
          </w:p>
        </w:tc>
      </w:tr>
      <w:tr>
        <w:tc>
          <w:tcPr/>
          <w:p>
            <w:pPr>
              <w:pStyle w:val="Compact"/>
              <w:jc w:val="left"/>
            </w:pPr>
            <w:r>
              <w:t xml:space="preserve">Hosting (base) &amp; software tools</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6</w:t>
            </w:r>
          </w:p>
        </w:tc>
        <w:tc>
          <w:tcPr/>
          <w:p>
            <w:pPr>
              <w:pStyle w:val="Compact"/>
              <w:jc w:val="left"/>
            </w:pPr>
            <w:r>
              <w:t xml:space="preserve">21</w:t>
            </w:r>
          </w:p>
        </w:tc>
      </w:tr>
      <w:tr>
        <w:tc>
          <w:tcPr/>
          <w:p>
            <w:pPr>
              <w:pStyle w:val="Compact"/>
              <w:jc w:val="left"/>
            </w:pPr>
            <w:r>
              <w:t xml:space="preserve">Incorporation, licence &amp; legal (one-off)</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20</w:t>
            </w:r>
          </w:p>
        </w:tc>
      </w:tr>
      <w:tr>
        <w:tc>
          <w:tcPr/>
          <w:p>
            <w:pPr>
              <w:pStyle w:val="Compact"/>
              <w:jc w:val="left"/>
            </w:pPr>
            <w:r>
              <w:t xml:space="preserve">Admin (bookkeeping, insurance, misc.)</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12</w:t>
            </w:r>
          </w:p>
        </w:tc>
      </w:tr>
      <w:tr>
        <w:tc>
          <w:tcPr/>
          <w:p>
            <w:pPr>
              <w:pStyle w:val="Compact"/>
              <w:jc w:val="left"/>
            </w:pPr>
            <w:r>
              <w:rPr>
                <w:bCs/>
                <w:b/>
              </w:rPr>
              <w:t xml:space="preserve">Operating expenses</w:t>
            </w:r>
          </w:p>
        </w:tc>
        <w:tc>
          <w:tcPr/>
          <w:p>
            <w:pPr>
              <w:pStyle w:val="Compact"/>
              <w:jc w:val="left"/>
            </w:pPr>
            <w:r>
              <w:t xml:space="preserve">98.5</w:t>
            </w:r>
          </w:p>
        </w:tc>
        <w:tc>
          <w:tcPr/>
          <w:p>
            <w:pPr>
              <w:pStyle w:val="Compact"/>
              <w:jc w:val="left"/>
            </w:pPr>
            <w:r>
              <w:t xml:space="preserve">84.5</w:t>
            </w:r>
          </w:p>
        </w:tc>
        <w:tc>
          <w:tcPr/>
          <w:p>
            <w:pPr>
              <w:pStyle w:val="Compact"/>
              <w:jc w:val="left"/>
            </w:pPr>
            <w:r>
              <w:t xml:space="preserve">84.5</w:t>
            </w:r>
          </w:p>
        </w:tc>
        <w:tc>
          <w:tcPr/>
          <w:p>
            <w:pPr>
              <w:pStyle w:val="Compact"/>
              <w:jc w:val="left"/>
            </w:pPr>
            <w:r>
              <w:t xml:space="preserve">79.5</w:t>
            </w:r>
          </w:p>
        </w:tc>
        <w:tc>
          <w:tcPr/>
          <w:p>
            <w:pPr>
              <w:pStyle w:val="Compact"/>
              <w:jc w:val="left"/>
            </w:pPr>
            <w:r>
              <w:rPr>
                <w:bCs/>
                <w:b/>
              </w:rPr>
              <w:t xml:space="preserve">347</w:t>
            </w:r>
          </w:p>
        </w:tc>
      </w:tr>
      <w:tr>
        <w:tc>
          <w:tcPr/>
          <w:p>
            <w:pPr>
              <w:pStyle w:val="Compact"/>
              <w:jc w:val="left"/>
            </w:pPr>
            <w:r>
              <w:rPr>
                <w:bCs/>
                <w:b/>
              </w:rPr>
              <w:t xml:space="preserve">Net profit / (loss)</w:t>
            </w:r>
          </w:p>
        </w:tc>
        <w:tc>
          <w:tcPr/>
          <w:p>
            <w:pPr>
              <w:pStyle w:val="Compact"/>
              <w:jc w:val="left"/>
            </w:pPr>
            <w:r>
              <w:rPr>
                <w:bCs/>
                <w:b/>
              </w:rPr>
              <w:t xml:space="preserve">(86)</w:t>
            </w:r>
          </w:p>
        </w:tc>
        <w:tc>
          <w:tcPr/>
          <w:p>
            <w:pPr>
              <w:pStyle w:val="Compact"/>
              <w:jc w:val="left"/>
            </w:pPr>
            <w:r>
              <w:rPr>
                <w:bCs/>
                <w:b/>
              </w:rPr>
              <w:t xml:space="preserve">(35)</w:t>
            </w:r>
          </w:p>
        </w:tc>
        <w:tc>
          <w:tcPr/>
          <w:p>
            <w:pPr>
              <w:pStyle w:val="Compact"/>
              <w:jc w:val="left"/>
            </w:pPr>
            <w:r>
              <w:rPr>
                <w:bCs/>
                <w:b/>
              </w:rPr>
              <w:t xml:space="preserve">28</w:t>
            </w:r>
          </w:p>
        </w:tc>
        <w:tc>
          <w:tcPr/>
          <w:p>
            <w:pPr>
              <w:pStyle w:val="Compact"/>
              <w:jc w:val="left"/>
            </w:pPr>
            <w:r>
              <w:rPr>
                <w:bCs/>
                <w:b/>
              </w:rPr>
              <w:t xml:space="preserve">123</w:t>
            </w:r>
          </w:p>
        </w:tc>
        <w:tc>
          <w:tcPr/>
          <w:p>
            <w:pPr>
              <w:pStyle w:val="Compact"/>
              <w:jc w:val="left"/>
            </w:pPr>
            <w:r>
              <w:rPr>
                <w:bCs/>
                <w:b/>
              </w:rPr>
              <w:t xml:space="preserve">+30</w:t>
            </w:r>
          </w:p>
        </w:tc>
      </w:tr>
    </w:tbl>
    <w:p>
      <w:pPr>
        <w:pStyle w:val="BodyText"/>
      </w:pPr>
      <w:r>
        <w:t xml:space="preserve">Losses in H1 2027 are expected and funded: they are the cost of building the customer base before contribution covers fixed costs. Revenue is computed from average paying customers × AED 178 × months — never from year-end customers × 12. No funding or loans appear as revenue anywhere.</w:t>
      </w:r>
    </w:p>
    <w:bookmarkEnd w:id="188"/>
    <w:bookmarkStart w:id="189" w:name="scenarios-fy2027"/>
    <w:p>
      <w:pPr>
        <w:pStyle w:val="Heading2"/>
      </w:pPr>
      <w:r>
        <w:t xml:space="preserve">Scenarios (FY2027)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AED ’000</w:t>
            </w:r>
          </w:p>
        </w:tc>
        <w:tc>
          <w:tcPr/>
          <w:p>
            <w:pPr>
              <w:pStyle w:val="Compact"/>
              <w:jc w:val="left"/>
            </w:pPr>
            <w:r>
              <w:t xml:space="preserve">Conservative (250 end)</w:t>
            </w:r>
          </w:p>
        </w:tc>
        <w:tc>
          <w:tcPr/>
          <w:p>
            <w:pPr>
              <w:pStyle w:val="Compact"/>
              <w:jc w:val="left"/>
            </w:pPr>
            <w:r>
              <w:t xml:space="preserve">Base (500 end)</w:t>
            </w:r>
          </w:p>
        </w:tc>
        <w:tc>
          <w:tcPr/>
          <w:p>
            <w:pPr>
              <w:pStyle w:val="Compact"/>
              <w:jc w:val="left"/>
            </w:pPr>
            <w:r>
              <w:t xml:space="preserve">Optimistic (900 end)</w:t>
            </w:r>
          </w:p>
        </w:tc>
      </w:tr>
      <w:tr>
        <w:tc>
          <w:tcPr/>
          <w:p>
            <w:pPr>
              <w:pStyle w:val="Compact"/>
              <w:jc w:val="left"/>
            </w:pPr>
            <w:r>
              <w:t xml:space="preserve">Revenue</w:t>
            </w:r>
          </w:p>
        </w:tc>
        <w:tc>
          <w:tcPr/>
          <w:p>
            <w:pPr>
              <w:pStyle w:val="Compact"/>
              <w:jc w:val="left"/>
            </w:pPr>
            <w:r>
              <w:t xml:space="preserve">206</w:t>
            </w:r>
          </w:p>
        </w:tc>
        <w:tc>
          <w:tcPr/>
          <w:p>
            <w:pPr>
              <w:pStyle w:val="Compact"/>
              <w:jc w:val="left"/>
            </w:pPr>
            <w:r>
              <w:t xml:space="preserve">406</w:t>
            </w:r>
          </w:p>
        </w:tc>
        <w:tc>
          <w:tcPr/>
          <w:p>
            <w:pPr>
              <w:pStyle w:val="Compact"/>
              <w:jc w:val="left"/>
            </w:pPr>
            <w:r>
              <w:t xml:space="preserve">737</w:t>
            </w:r>
          </w:p>
        </w:tc>
      </w:tr>
      <w:tr>
        <w:tc>
          <w:tcPr/>
          <w:p>
            <w:pPr>
              <w:pStyle w:val="Compact"/>
              <w:jc w:val="left"/>
            </w:pPr>
            <w:r>
              <w:t xml:space="preserve">Cost of service</w:t>
            </w:r>
          </w:p>
        </w:tc>
        <w:tc>
          <w:tcPr/>
          <w:p>
            <w:pPr>
              <w:pStyle w:val="Compact"/>
              <w:jc w:val="left"/>
            </w:pPr>
            <w:r>
              <w:t xml:space="preserve">18</w:t>
            </w:r>
          </w:p>
        </w:tc>
        <w:tc>
          <w:tcPr/>
          <w:p>
            <w:pPr>
              <w:pStyle w:val="Compact"/>
              <w:jc w:val="left"/>
            </w:pPr>
            <w:r>
              <w:t xml:space="preserve">29</w:t>
            </w:r>
          </w:p>
        </w:tc>
        <w:tc>
          <w:tcPr/>
          <w:p>
            <w:pPr>
              <w:pStyle w:val="Compact"/>
              <w:jc w:val="left"/>
            </w:pPr>
            <w:r>
              <w:t xml:space="preserve">49</w:t>
            </w:r>
          </w:p>
        </w:tc>
      </w:tr>
      <w:tr>
        <w:tc>
          <w:tcPr/>
          <w:p>
            <w:pPr>
              <w:pStyle w:val="Compact"/>
              <w:jc w:val="left"/>
            </w:pPr>
            <w:r>
              <w:t xml:space="preserve">Operating expenses</w:t>
            </w:r>
          </w:p>
        </w:tc>
        <w:tc>
          <w:tcPr/>
          <w:p>
            <w:pPr>
              <w:pStyle w:val="Compact"/>
              <w:jc w:val="left"/>
            </w:pPr>
            <w:r>
              <w:t xml:space="preserve">347</w:t>
            </w:r>
          </w:p>
        </w:tc>
        <w:tc>
          <w:tcPr/>
          <w:p>
            <w:pPr>
              <w:pStyle w:val="Compact"/>
              <w:jc w:val="left"/>
            </w:pPr>
            <w:r>
              <w:t xml:space="preserve">347</w:t>
            </w:r>
          </w:p>
        </w:tc>
        <w:tc>
          <w:tcPr/>
          <w:p>
            <w:pPr>
              <w:pStyle w:val="Compact"/>
              <w:jc w:val="left"/>
            </w:pPr>
            <w:r>
              <w:t xml:space="preserve">347*</w:t>
            </w:r>
          </w:p>
        </w:tc>
      </w:tr>
      <w:tr>
        <w:tc>
          <w:tcPr/>
          <w:p>
            <w:pPr>
              <w:pStyle w:val="Compact"/>
              <w:jc w:val="left"/>
            </w:pPr>
            <w:r>
              <w:rPr>
                <w:bCs/>
                <w:b/>
              </w:rPr>
              <w:t xml:space="preserve">Net profit / (loss)</w:t>
            </w:r>
          </w:p>
        </w:tc>
        <w:tc>
          <w:tcPr/>
          <w:p>
            <w:pPr>
              <w:pStyle w:val="Compact"/>
              <w:jc w:val="left"/>
            </w:pPr>
            <w:r>
              <w:rPr>
                <w:bCs/>
                <w:b/>
              </w:rPr>
              <w:t xml:space="preserve">(159)</w:t>
            </w:r>
          </w:p>
        </w:tc>
        <w:tc>
          <w:tcPr/>
          <w:p>
            <w:pPr>
              <w:pStyle w:val="Compact"/>
              <w:jc w:val="left"/>
            </w:pPr>
            <w:r>
              <w:rPr>
                <w:bCs/>
                <w:b/>
              </w:rPr>
              <w:t xml:space="preserve">+30</w:t>
            </w:r>
          </w:p>
        </w:tc>
        <w:tc>
          <w:tcPr/>
          <w:p>
            <w:pPr>
              <w:pStyle w:val="Compact"/>
              <w:jc w:val="left"/>
            </w:pPr>
            <w:r>
              <w:rPr>
                <w:bCs/>
                <w:b/>
              </w:rPr>
              <w:t xml:space="preserve">+341</w:t>
            </w:r>
            <w:r>
              <w:t xml:space="preserve">*</w:t>
            </w:r>
          </w:p>
        </w:tc>
      </w:tr>
      <w:tr>
        <w:tc>
          <w:tcPr/>
          <w:p>
            <w:pPr>
              <w:pStyle w:val="Compact"/>
              <w:jc w:val="left"/>
            </w:pPr>
            <w:r>
              <w:t xml:space="preserve">End-2027 cash (incl. AED 350k pre-seed)</w:t>
            </w:r>
          </w:p>
        </w:tc>
        <w:tc>
          <w:tcPr/>
          <w:p>
            <w:pPr>
              <w:pStyle w:val="Compact"/>
              <w:jc w:val="left"/>
            </w:pPr>
            <w:r>
              <w:t xml:space="preserve">~191</w:t>
            </w:r>
          </w:p>
        </w:tc>
        <w:tc>
          <w:tcPr/>
          <w:p>
            <w:pPr>
              <w:pStyle w:val="Compact"/>
              <w:jc w:val="left"/>
            </w:pPr>
            <w:r>
              <w:t xml:space="preserve">~380</w:t>
            </w:r>
          </w:p>
        </w:tc>
        <w:tc>
          <w:tcPr/>
          <w:p>
            <w:pPr>
              <w:pStyle w:val="Compact"/>
              <w:jc w:val="left"/>
            </w:pPr>
            <w:r>
              <w:t xml:space="preserve">~690*</w:t>
            </w:r>
          </w:p>
        </w:tc>
      </w:tr>
    </w:tbl>
    <w:p>
      <w:pPr>
        <w:pStyle w:val="BodyText"/>
      </w:pPr>
      <w:r>
        <w:t xml:space="preserve">*In the optimistic case we would raise spending (support hire, marketing) rather than bank the surplus; the table holds spending constant only for comparability. In the conservative case the pre-seed still leaves ~AED 191k — roughly a further year of runway at the reduced net burn — because even that scenario crosses monthly break-even in Q4 (200 average paying &gt; the ~150 break-even threshold below).</w:t>
      </w:r>
    </w:p>
    <w:bookmarkEnd w:id="189"/>
    <w:bookmarkStart w:id="190" w:name="years-23-20282029-base-case-annual"/>
    <w:p>
      <w:pPr>
        <w:pStyle w:val="Heading2"/>
      </w:pPr>
      <w:r>
        <w:t xml:space="preserve">Years 2–3 (2028–2029), base case, annual</w:t>
      </w:r>
    </w:p>
    <w:p>
      <w:pPr>
        <w:pStyle w:val="FirstParagraph"/>
      </w:pPr>
      <w:r>
        <w:t xml:space="preserve">Assumptions: 2028 ends at 1,200 paying (avg ~850) with marketing stepped up to ~AED 300k (blended CAC ~AED 300 on ~1,000 gross adds), founder stipends raised to modest salaries (AED 10k/month each), one support hire (H2) and one engineer (post-seed, H2); 2029 ends at 2,500 paying (avg ~1,800), team of ~8, accountant-channel revenue beginning but</w:t>
      </w:r>
      <w:r>
        <w:t xml:space="preserve"> </w:t>
      </w:r>
      <w:r>
        <w:rPr>
          <w:bCs/>
          <w:b/>
        </w:rPr>
        <w:t xml:space="preserve">not</w:t>
      </w:r>
      <w:r>
        <w:t xml:space="preserve"> </w:t>
      </w:r>
      <w:r>
        <w:t xml:space="preserve">counted.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AED ’000</w:t>
            </w:r>
          </w:p>
        </w:tc>
        <w:tc>
          <w:tcPr/>
          <w:p>
            <w:pPr>
              <w:pStyle w:val="Compact"/>
              <w:jc w:val="left"/>
            </w:pPr>
            <w:r>
              <w:t xml:space="preserve">2027</w:t>
            </w:r>
          </w:p>
        </w:tc>
        <w:tc>
          <w:tcPr/>
          <w:p>
            <w:pPr>
              <w:pStyle w:val="Compact"/>
              <w:jc w:val="left"/>
            </w:pPr>
            <w:r>
              <w:t xml:space="preserve">2028</w:t>
            </w:r>
          </w:p>
        </w:tc>
        <w:tc>
          <w:tcPr/>
          <w:p>
            <w:pPr>
              <w:pStyle w:val="Compact"/>
              <w:jc w:val="left"/>
            </w:pPr>
            <w:r>
              <w:t xml:space="preserve">2029</w:t>
            </w:r>
          </w:p>
        </w:tc>
      </w:tr>
      <w:tr>
        <w:tc>
          <w:tcPr/>
          <w:p>
            <w:pPr>
              <w:pStyle w:val="Compact"/>
              <w:jc w:val="left"/>
            </w:pPr>
            <w:r>
              <w:t xml:space="preserve">Revenue</w:t>
            </w:r>
          </w:p>
        </w:tc>
        <w:tc>
          <w:tcPr/>
          <w:p>
            <w:pPr>
              <w:pStyle w:val="Compact"/>
              <w:jc w:val="left"/>
            </w:pPr>
            <w:r>
              <w:t xml:space="preserve">406</w:t>
            </w:r>
          </w:p>
        </w:tc>
        <w:tc>
          <w:tcPr/>
          <w:p>
            <w:pPr>
              <w:pStyle w:val="Compact"/>
              <w:jc w:val="left"/>
            </w:pPr>
            <w:r>
              <w:t xml:space="preserve">~1,820</w:t>
            </w:r>
          </w:p>
        </w:tc>
        <w:tc>
          <w:tcPr/>
          <w:p>
            <w:pPr>
              <w:pStyle w:val="Compact"/>
              <w:jc w:val="left"/>
            </w:pPr>
            <w:r>
              <w:t xml:space="preserve">~3,850</w:t>
            </w:r>
          </w:p>
        </w:tc>
      </w:tr>
      <w:tr>
        <w:tc>
          <w:tcPr/>
          <w:p>
            <w:pPr>
              <w:pStyle w:val="Compact"/>
              <w:jc w:val="left"/>
            </w:pPr>
            <w:r>
              <w:t xml:space="preserve">Cost of service</w:t>
            </w:r>
          </w:p>
        </w:tc>
        <w:tc>
          <w:tcPr/>
          <w:p>
            <w:pPr>
              <w:pStyle w:val="Compact"/>
              <w:jc w:val="left"/>
            </w:pPr>
            <w:r>
              <w:t xml:space="preserve">29</w:t>
            </w:r>
          </w:p>
        </w:tc>
        <w:tc>
          <w:tcPr/>
          <w:p>
            <w:pPr>
              <w:pStyle w:val="Compact"/>
              <w:jc w:val="left"/>
            </w:pPr>
            <w:r>
              <w:t xml:space="preserve">~120</w:t>
            </w:r>
          </w:p>
        </w:tc>
        <w:tc>
          <w:tcPr/>
          <w:p>
            <w:pPr>
              <w:pStyle w:val="Compact"/>
              <w:jc w:val="left"/>
            </w:pPr>
            <w:r>
              <w:t xml:space="preserve">~250</w:t>
            </w:r>
          </w:p>
        </w:tc>
      </w:tr>
      <w:tr>
        <w:tc>
          <w:tcPr/>
          <w:p>
            <w:pPr>
              <w:pStyle w:val="Compact"/>
              <w:jc w:val="left"/>
            </w:pPr>
            <w:r>
              <w:t xml:space="preserve">Gross profit (margin)</w:t>
            </w:r>
          </w:p>
        </w:tc>
        <w:tc>
          <w:tcPr/>
          <w:p>
            <w:pPr>
              <w:pStyle w:val="Compact"/>
              <w:jc w:val="left"/>
            </w:pPr>
            <w:r>
              <w:t xml:space="preserve">377 (93%)</w:t>
            </w:r>
          </w:p>
        </w:tc>
        <w:tc>
          <w:tcPr/>
          <w:p>
            <w:pPr>
              <w:pStyle w:val="Compact"/>
              <w:jc w:val="left"/>
            </w:pPr>
            <w:r>
              <w:t xml:space="preserve">~1,700 (93%)</w:t>
            </w:r>
          </w:p>
        </w:tc>
        <w:tc>
          <w:tcPr/>
          <w:p>
            <w:pPr>
              <w:pStyle w:val="Compact"/>
              <w:jc w:val="left"/>
            </w:pPr>
            <w:r>
              <w:t xml:space="preserve">~3,600 (94%)</w:t>
            </w:r>
          </w:p>
        </w:tc>
      </w:tr>
      <w:tr>
        <w:tc>
          <w:tcPr/>
          <w:p>
            <w:pPr>
              <w:pStyle w:val="Compact"/>
              <w:jc w:val="left"/>
            </w:pPr>
            <w:r>
              <w:t xml:space="preserve">Operating expenses</w:t>
            </w:r>
          </w:p>
        </w:tc>
        <w:tc>
          <w:tcPr/>
          <w:p>
            <w:pPr>
              <w:pStyle w:val="Compact"/>
              <w:jc w:val="left"/>
            </w:pPr>
            <w:r>
              <w:t xml:space="preserve">347</w:t>
            </w:r>
          </w:p>
        </w:tc>
        <w:tc>
          <w:tcPr/>
          <w:p>
            <w:pPr>
              <w:pStyle w:val="Compact"/>
              <w:jc w:val="left"/>
            </w:pPr>
            <w:r>
              <w:t xml:space="preserve">~1,100</w:t>
            </w:r>
          </w:p>
        </w:tc>
        <w:tc>
          <w:tcPr/>
          <w:p>
            <w:pPr>
              <w:pStyle w:val="Compact"/>
              <w:jc w:val="left"/>
            </w:pPr>
            <w:r>
              <w:t xml:space="preserve">~2,600</w:t>
            </w:r>
          </w:p>
        </w:tc>
      </w:tr>
      <w:tr>
        <w:tc>
          <w:tcPr/>
          <w:p>
            <w:pPr>
              <w:pStyle w:val="Compact"/>
              <w:jc w:val="left"/>
            </w:pPr>
            <w:r>
              <w:rPr>
                <w:bCs/>
                <w:b/>
              </w:rPr>
              <w:t xml:space="preserve">Net profit / (loss)</w:t>
            </w:r>
          </w:p>
        </w:tc>
        <w:tc>
          <w:tcPr/>
          <w:p>
            <w:pPr>
              <w:pStyle w:val="Compact"/>
              <w:jc w:val="left"/>
            </w:pPr>
            <w:r>
              <w:rPr>
                <w:bCs/>
                <w:b/>
              </w:rPr>
              <w:t xml:space="preserve">+30</w:t>
            </w:r>
          </w:p>
        </w:tc>
        <w:tc>
          <w:tcPr/>
          <w:p>
            <w:pPr>
              <w:pStyle w:val="Compact"/>
              <w:jc w:val="left"/>
            </w:pPr>
            <w:r>
              <w:rPr>
                <w:bCs/>
                <w:b/>
              </w:rPr>
              <w:t xml:space="preserve">~+600</w:t>
            </w:r>
          </w:p>
        </w:tc>
        <w:tc>
          <w:tcPr/>
          <w:p>
            <w:pPr>
              <w:pStyle w:val="Compact"/>
              <w:jc w:val="left"/>
            </w:pPr>
            <w:r>
              <w:rPr>
                <w:bCs/>
                <w:b/>
              </w:rPr>
              <w:t xml:space="preserve">~+1,000</w:t>
            </w:r>
          </w:p>
        </w:tc>
      </w:tr>
    </w:tbl>
    <w:p>
      <w:pPr>
        <w:pStyle w:val="BodyText"/>
      </w:pPr>
      <w:r>
        <w:t xml:space="preserve">Growth drivers are named (customer adds via the funnel and accountant channel; no price increases assumed); costs grow with the operating plan (hiring, marketing) rather than staying flat. Corporate tax: at these profit levels the 9% rate above AED 375k applies from 2028; the 2028–2029 net figures are pre-tax, with tax and small-business-relief treatment to be finalised with our advisor — flagged, not ignored.</w:t>
      </w:r>
    </w:p>
    <w:bookmarkEnd w:id="190"/>
    <w:bookmarkStart w:id="191" w:name="break-even-analysis"/>
    <w:p>
      <w:pPr>
        <w:pStyle w:val="Heading2"/>
      </w:pPr>
      <w:r>
        <w:t xml:space="preserve">Break-even analysis</w:t>
      </w:r>
    </w:p>
    <w:p>
      <w:pPr>
        <w:numPr>
          <w:ilvl w:val="0"/>
          <w:numId w:val="1021"/>
        </w:numPr>
        <w:pStyle w:val="Compact"/>
      </w:pPr>
      <w:r>
        <w:t xml:space="preserve">Effective price per paying customer: AED 178/month.</w:t>
      </w:r>
    </w:p>
    <w:p>
      <w:pPr>
        <w:numPr>
          <w:ilvl w:val="0"/>
          <w:numId w:val="1021"/>
        </w:numPr>
        <w:pStyle w:val="Compact"/>
      </w:pPr>
      <w:r>
        <w:t xml:space="preserve">Variable cost per paying customer: AED 10/month.</w:t>
      </w:r>
    </w:p>
    <w:p>
      <w:pPr>
        <w:numPr>
          <w:ilvl w:val="0"/>
          <w:numId w:val="1021"/>
        </w:numPr>
        <w:pStyle w:val="Compact"/>
      </w:pPr>
      <w:r>
        <w:rPr>
          <w:bCs/>
          <w:b/>
        </w:rPr>
        <w:t xml:space="preserve">Contribution per customer: AED 168/month (94%).</w:t>
      </w:r>
    </w:p>
    <w:p>
      <w:pPr>
        <w:numPr>
          <w:ilvl w:val="0"/>
          <w:numId w:val="1021"/>
        </w:numPr>
        <w:pStyle w:val="Compact"/>
      </w:pPr>
      <w:r>
        <w:t xml:space="preserve">Recurring fixed costs (2027 run-rate, excluding one-offs): stipends 15.0 + marketing 3.0 + advisor 3.5 + hosting/tools 1.75 + admin 1.0 ≈</w:t>
      </w:r>
      <w:r>
        <w:t xml:space="preserve"> </w:t>
      </w:r>
      <w:r>
        <w:rPr>
          <w:bCs/>
          <w:b/>
        </w:rPr>
        <w:t xml:space="preserve">AED 24,250/month</w:t>
      </w:r>
      <w:r>
        <w:t xml:space="preserve">.</w:t>
      </w:r>
    </w:p>
    <w:p>
      <w:pPr>
        <w:numPr>
          <w:ilvl w:val="0"/>
          <w:numId w:val="1021"/>
        </w:numPr>
        <w:pStyle w:val="Compact"/>
      </w:pPr>
      <w:r>
        <w:rPr>
          <w:bCs/>
          <w:b/>
        </w:rPr>
        <w:t xml:space="preserve">Break-even volume: 24,250 ÷ 168 ≈ 145 paying customers ≈ AED 25,800 MRR.</w:t>
      </w:r>
    </w:p>
    <w:p>
      <w:pPr>
        <w:numPr>
          <w:ilvl w:val="0"/>
          <w:numId w:val="1021"/>
        </w:numPr>
        <w:pStyle w:val="Compact"/>
      </w:pPr>
      <w:r>
        <w:t xml:space="preserve">Expected timing: month 7–8 of 2027 (base case reaches ~150 paying in Q3 2027); conservative case reaches it in Q4 2027; already reached in the base P&amp;L above (Q3 turns positive).</w:t>
      </w:r>
    </w:p>
    <w:p>
      <w:pPr>
        <w:pStyle w:val="FirstParagraph"/>
      </w:pPr>
      <w:r>
        <w:t xml:space="preserve">The break-even calculation uses exactly the forecast’s own price, cost and customer figures, counts paying customers only, and adjusts for the Pro/Business mix through the blended ARPU.</w:t>
      </w:r>
    </w:p>
    <w:bookmarkEnd w:id="191"/>
    <w:bookmarkStart w:id="192" w:name="cost-behaviour-and-sensitivities"/>
    <w:p>
      <w:pPr>
        <w:pStyle w:val="Heading2"/>
      </w:pPr>
      <w:r>
        <w:t xml:space="preserve">Cost behaviour and sensitivities</w:t>
      </w:r>
    </w:p>
    <w:p>
      <w:pPr>
        <w:pStyle w:val="FirstParagraph"/>
      </w:pPr>
      <w:r>
        <w:t xml:space="preserve">The model’s three most dangerous assumptions, each with its monitoring threshold: (1)</w:t>
      </w:r>
      <w:r>
        <w:t xml:space="preserve"> </w:t>
      </w:r>
      <w:r>
        <w:rPr>
          <w:bCs/>
          <w:b/>
        </w:rPr>
        <w:t xml:space="preserve">conversion 4%</w:t>
      </w:r>
      <w:r>
        <w:t xml:space="preserve"> </w:t>
      </w:r>
      <w:r>
        <w:t xml:space="preserve">— if pilot data shows &lt;2.5%, Year-1 revenue roughly halves (the conservative case) and we re-plan channels before scaling spend; (2)</w:t>
      </w:r>
      <w:r>
        <w:t xml:space="preserve"> </w:t>
      </w:r>
      <w:r>
        <w:rPr>
          <w:bCs/>
          <w:b/>
        </w:rPr>
        <w:t xml:space="preserve">churn 3%/month</w:t>
      </w:r>
      <w:r>
        <w:t xml:space="preserve"> </w:t>
      </w:r>
      <w:r>
        <w:t xml:space="preserve">— at 6%, LTV halves to ~AED 2,800, still &gt;5× target CAC, but growth targets slip by ~a quarter; (3)</w:t>
      </w:r>
      <w:r>
        <w:t xml:space="preserve"> </w:t>
      </w:r>
      <w:r>
        <w:rPr>
          <w:bCs/>
          <w:b/>
        </w:rPr>
        <w:t xml:space="preserve">LLM API pricing</w:t>
      </w:r>
      <w:r>
        <w:t xml:space="preserve"> </w:t>
      </w:r>
      <w:r>
        <w:t xml:space="preserve">— a 3× price rise moves variable cost to ~AED 16 and contribution to AED 162 (91%), material only in combination with other misses; mitigations in Section 17. All assumptions are restated wherever used; no table in this report uses different assumptions from this one.</w:t>
      </w:r>
    </w:p>
    <w:bookmarkEnd w:id="192"/>
    <w:bookmarkEnd w:id="193"/>
    <w:bookmarkStart w:id="200" w:name="section-16-funding-plan"/>
    <w:p>
      <w:pPr>
        <w:pStyle w:val="Heading1"/>
      </w:pPr>
      <w:r>
        <w:t xml:space="preserve">Section 16: Funding Plan</w:t>
      </w:r>
    </w:p>
    <w:bookmarkStart w:id="194" w:name="is-external-funding-required"/>
    <w:p>
      <w:pPr>
        <w:pStyle w:val="Heading2"/>
      </w:pPr>
      <w:r>
        <w:t xml:space="preserve">Is external funding required?</w:t>
      </w:r>
    </w:p>
    <w:p>
      <w:pPr>
        <w:pStyle w:val="FirstParagraph"/>
      </w:pPr>
      <w:r>
        <w:t xml:space="preserve">Yes — modestly, and the need is calculated rather than assumed. The cash-flow forecast (Section 15) shows: total 2027 operating outflow of ~AED 376k against phased revenue of ~AED 406k (base case), with the loss concentrated in H1 2027 (cumulative ~AED 121k deficit before Q3 turns positive) plus one-off incorporation/legal costs and a prudent buffer for the conservative scenario (full-year loss ~AED 159k). Founder resources cover the 2026 bootstrap (~AED 10–15k) but not a year of stipends and market entry. The shortfall arrives at commercial launch (Jan 2027). We therefore seek</w:t>
      </w:r>
      <w:r>
        <w:t xml:space="preserve"> </w:t>
      </w:r>
      <w:r>
        <w:rPr>
          <w:bCs/>
          <w:b/>
        </w:rPr>
        <w:t xml:space="preserve">~AED 350,000 of pre-seed funding to close in January 2027, covering 12 months post-graduation</w:t>
      </w:r>
      <w:r>
        <w:t xml:space="preserve">, with contingency included below.</w:t>
      </w:r>
    </w:p>
    <w:bookmarkEnd w:id="194"/>
    <w:bookmarkStart w:id="195" w:name="funding-route-bootstrap-acceleratorangel"/>
    <w:p>
      <w:pPr>
        <w:pStyle w:val="Heading2"/>
      </w:pPr>
      <w:r>
        <w:t xml:space="preserve">Funding route: bootstrap + accelerator/angel</w:t>
      </w:r>
    </w:p>
    <w:p>
      <w:pPr>
        <w:pStyle w:val="FirstParagraph"/>
      </w:pPr>
      <w:r>
        <w:t xml:space="preserve">Our chosen path, in order:</w:t>
      </w:r>
    </w:p>
    <w:p>
      <w:pPr>
        <w:numPr>
          <w:ilvl w:val="0"/>
          <w:numId w:val="1022"/>
        </w:numPr>
        <w:pStyle w:val="Compact"/>
      </w:pPr>
      <w:r>
        <w:rPr>
          <w:bCs/>
          <w:b/>
        </w:rPr>
        <w:t xml:space="preserve">Founder investment (committed)</w:t>
      </w:r>
      <w:r>
        <w:t xml:space="preserve">: ~AED 10–15k cash for the 2026 bootstrap plus ~AED 70k of imputed development sweat equity (Section 15) — real commitment already demonstrated; founders retain 100% until the pre-seed.</w:t>
      </w:r>
    </w:p>
    <w:p>
      <w:pPr>
        <w:numPr>
          <w:ilvl w:val="0"/>
          <w:numId w:val="1022"/>
        </w:numPr>
        <w:pStyle w:val="Compact"/>
      </w:pPr>
      <w:r>
        <w:rPr>
          <w:bCs/>
          <w:b/>
        </w:rPr>
        <w:t xml:space="preserve">University and accelerator route (primary)</w:t>
      </w:r>
      <w:r>
        <w:t xml:space="preserve">: applications to</w:t>
      </w:r>
      <w:r>
        <w:t xml:space="preserve"> </w:t>
      </w:r>
      <w:r>
        <w:rPr>
          <w:bCs/>
          <w:b/>
        </w:rPr>
        <w:t xml:space="preserve">in5 (Dubai)</w:t>
      </w:r>
      <w:r>
        <w:t xml:space="preserve">,</w:t>
      </w:r>
      <w:r>
        <w:t xml:space="preserve"> </w:t>
      </w:r>
      <w:r>
        <w:rPr>
          <w:bCs/>
          <w:b/>
        </w:rPr>
        <w:t xml:space="preserve">Hub71 (Abu Dhabi)</w:t>
      </w:r>
      <w:r>
        <w:t xml:space="preserve"> </w:t>
      </w:r>
      <w:r>
        <w:t xml:space="preserve">and</w:t>
      </w:r>
      <w:r>
        <w:t xml:space="preserve"> </w:t>
      </w:r>
      <w:r>
        <w:rPr>
          <w:bCs/>
          <w:b/>
        </w:rPr>
        <w:t xml:space="preserve">DIFC FinTech Hive</w:t>
      </w:r>
      <w:r>
        <w:t xml:space="preserve"> </w:t>
      </w:r>
      <w:r>
        <w:t xml:space="preserve">— named as</w:t>
      </w:r>
      <w:r>
        <w:t xml:space="preserve"> </w:t>
      </w:r>
      <w:r>
        <w:rPr>
          <w:iCs/>
          <w:i/>
        </w:rPr>
        <w:t xml:space="preserve">target programmes we will apply to, not confirmed partners</w:t>
      </w:r>
      <w:r>
        <w:t xml:space="preserve">. Value beyond money: mentorship (our first-time-founder gap, Section 13), subsidised licensing/space, investor networks, and credibility. Costs considered: programme time commitments and, in some cases, equity — evaluated per offer.</w:t>
      </w:r>
    </w:p>
    <w:p>
      <w:pPr>
        <w:numPr>
          <w:ilvl w:val="0"/>
          <w:numId w:val="1022"/>
        </w:numPr>
        <w:pStyle w:val="Compact"/>
      </w:pPr>
      <w:r>
        <w:rPr>
          <w:bCs/>
          <w:b/>
        </w:rPr>
        <w:t xml:space="preserve">Angel investors (parallel)</w:t>
      </w:r>
      <w:r>
        <w:t xml:space="preserve">: UAE angels with fintech/SME-SaaS exposure, chosen for domain value (tax/accounting networks) and not capital alone. The funding climate is favourable — UAE ventures raised $1.2B in H1 2026, 70% of MENA venture capital, with fintech the top sector (MAGNiTT/Wamda) — but we treat climate as context, never as a guarantee of our own raise.</w:t>
      </w:r>
    </w:p>
    <w:p>
      <w:pPr>
        <w:pStyle w:val="FirstParagraph"/>
      </w:pPr>
      <w:r>
        <w:rPr>
          <w:bCs/>
          <w:b/>
        </w:rPr>
        <w:t xml:space="preserve">Routes considered and not pursued now</w:t>
      </w:r>
      <w:r>
        <w:t xml:space="preserve">: family-and-friends money (avoids relationship risk; would only be accepted on the same written terms as angels), bank debt (no revenue history or security; repayment burden misfits a pre-revenue SaaS), crowdfunding (no audience yet; campaign effort exceeds value), government grants (monitored opportunistically; nothing assumed), and</w:t>
      </w:r>
      <w:r>
        <w:t xml:space="preserve"> </w:t>
      </w:r>
      <w:r>
        <w:rPr>
          <w:bCs/>
          <w:b/>
        </w:rPr>
        <w:t xml:space="preserve">venture capital</w:t>
      </w:r>
      <w:r>
        <w:t xml:space="preserve"> </w:t>
      </w:r>
      <w:r>
        <w:t xml:space="preserve">(premature — VC fits after the pilot proves conversion and retention; our Section 18 growth path is VC-compatible then, with the dilution and exit-pressure trade-offs understood).</w:t>
      </w:r>
    </w:p>
    <w:bookmarkEnd w:id="195"/>
    <w:bookmarkStart w:id="196" w:name="amount-contingency-and-runway"/>
    <w:p>
      <w:pPr>
        <w:pStyle w:val="Heading2"/>
      </w:pPr>
      <w:r>
        <w:t xml:space="preserve">Amount, contingency and runway</w:t>
      </w:r>
    </w:p>
    <w:p>
      <w:pPr>
        <w:pStyle w:val="FirstParagraph"/>
      </w:pPr>
      <w:r>
        <w:t xml:space="preserve">AED 350,000 derives from the cash-flow forecast: ~AED 291k of recurring 2027 fixed costs (stipends, marketing, advisor, hosting/tools, admin) + AED 20k one-off incorporation/legal + AED 36k contracted product work, less expected base-case gross profit contribution, with the remainder functioning as contingency sized to the conservative scenario (~AED 12k explicit contingency plus the base-case surplus buffer). Runway:</w:t>
      </w:r>
      <w:r>
        <w:t xml:space="preserve"> </w:t>
      </w:r>
      <w:r>
        <w:rPr>
          <w:bCs/>
          <w:b/>
        </w:rPr>
        <w:t xml:space="preserve">12 months even at conservative revenue</w:t>
      </w:r>
      <w:r>
        <w:t xml:space="preserve">; in the base case, monthly break-even in Q3 2027 extends runway indefinitely.</w:t>
      </w:r>
    </w:p>
    <w:bookmarkEnd w:id="196"/>
    <w:bookmarkStart w:id="197" w:name="use-of-funds"/>
    <w:p>
      <w:pPr>
        <w:pStyle w:val="Heading2"/>
      </w:pPr>
      <w:r>
        <w:t xml:space="preserve">Use of funds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Amount (AED)</w:t>
            </w:r>
          </w:p>
        </w:tc>
        <w:tc>
          <w:tcPr/>
          <w:p>
            <w:pPr>
              <w:pStyle w:val="Compact"/>
              <w:jc w:val="left"/>
            </w:pPr>
            <w:r>
              <w:t xml:space="preserve">%</w:t>
            </w:r>
          </w:p>
        </w:tc>
        <w:tc>
          <w:tcPr/>
          <w:p>
            <w:pPr>
              <w:pStyle w:val="Compact"/>
              <w:jc w:val="left"/>
            </w:pPr>
            <w:r>
              <w:t xml:space="preserve">Timing</w:t>
            </w:r>
          </w:p>
        </w:tc>
        <w:tc>
          <w:tcPr/>
          <w:p>
            <w:pPr>
              <w:pStyle w:val="Compact"/>
              <w:jc w:val="left"/>
            </w:pPr>
            <w:r>
              <w:t xml:space="preserve">Milestone it buys</w:t>
            </w:r>
          </w:p>
        </w:tc>
      </w:tr>
      <w:tr>
        <w:tc>
          <w:tcPr/>
          <w:p>
            <w:pPr>
              <w:pStyle w:val="Compact"/>
              <w:jc w:val="left"/>
            </w:pPr>
            <w:r>
              <w:t xml:space="preserve">Founder stipends (3 × AED 5,000 × 12 mo)</w:t>
            </w:r>
          </w:p>
        </w:tc>
        <w:tc>
          <w:tcPr/>
          <w:p>
            <w:pPr>
              <w:pStyle w:val="Compact"/>
              <w:jc w:val="left"/>
            </w:pPr>
            <w:r>
              <w:t xml:space="preserve">180,000</w:t>
            </w:r>
          </w:p>
        </w:tc>
        <w:tc>
          <w:tcPr/>
          <w:p>
            <w:pPr>
              <w:pStyle w:val="Compact"/>
              <w:jc w:val="left"/>
            </w:pPr>
            <w:r>
              <w:t xml:space="preserve">51%</w:t>
            </w:r>
          </w:p>
        </w:tc>
        <w:tc>
          <w:tcPr/>
          <w:p>
            <w:pPr>
              <w:pStyle w:val="Compact"/>
              <w:jc w:val="left"/>
            </w:pPr>
            <w:r>
              <w:t xml:space="preserve">Monthly 2027</w:t>
            </w:r>
          </w:p>
        </w:tc>
        <w:tc>
          <w:tcPr/>
          <w:p>
            <w:pPr>
              <w:pStyle w:val="Compact"/>
              <w:jc w:val="left"/>
            </w:pPr>
            <w:r>
              <w:t xml:space="preserve">Full-time founder focus for the launch year</w:t>
            </w:r>
          </w:p>
        </w:tc>
      </w:tr>
      <w:tr>
        <w:tc>
          <w:tcPr/>
          <w:p>
            <w:pPr>
              <w:pStyle w:val="Compact"/>
              <w:jc w:val="left"/>
            </w:pPr>
            <w:r>
              <w:t xml:space="preserve">Compliance advisor retainer</w:t>
            </w:r>
          </w:p>
        </w:tc>
        <w:tc>
          <w:tcPr/>
          <w:p>
            <w:pPr>
              <w:pStyle w:val="Compact"/>
              <w:jc w:val="left"/>
            </w:pPr>
            <w:r>
              <w:t xml:space="preserve">42,000</w:t>
            </w:r>
          </w:p>
        </w:tc>
        <w:tc>
          <w:tcPr/>
          <w:p>
            <w:pPr>
              <w:pStyle w:val="Compact"/>
              <w:jc w:val="left"/>
            </w:pPr>
            <w:r>
              <w:t xml:space="preserve">12%</w:t>
            </w:r>
          </w:p>
        </w:tc>
        <w:tc>
          <w:tcPr/>
          <w:p>
            <w:pPr>
              <w:pStyle w:val="Compact"/>
              <w:jc w:val="left"/>
            </w:pPr>
            <w:r>
              <w:t xml:space="preserve">Monthly</w:t>
            </w:r>
          </w:p>
        </w:tc>
        <w:tc>
          <w:tcPr/>
          <w:p>
            <w:pPr>
              <w:pStyle w:val="Compact"/>
              <w:jc w:val="left"/>
            </w:pPr>
            <w:r>
              <w:t xml:space="preserve">Golden-set validation; scope/PDPL guidance</w:t>
            </w:r>
          </w:p>
        </w:tc>
      </w:tr>
      <w:tr>
        <w:tc>
          <w:tcPr/>
          <w:p>
            <w:pPr>
              <w:pStyle w:val="Compact"/>
              <w:jc w:val="left"/>
            </w:pPr>
            <w:r>
              <w:t xml:space="preserve">Contracted product work: Arabic QA, published evals, pen-test, design</w:t>
            </w:r>
          </w:p>
        </w:tc>
        <w:tc>
          <w:tcPr/>
          <w:p>
            <w:pPr>
              <w:pStyle w:val="Compact"/>
              <w:jc w:val="left"/>
            </w:pPr>
            <w:r>
              <w:t xml:space="preserve">36,000</w:t>
            </w:r>
          </w:p>
        </w:tc>
        <w:tc>
          <w:tcPr/>
          <w:p>
            <w:pPr>
              <w:pStyle w:val="Compact"/>
              <w:jc w:val="left"/>
            </w:pPr>
            <w:r>
              <w:t xml:space="preserve">10%</w:t>
            </w:r>
          </w:p>
        </w:tc>
        <w:tc>
          <w:tcPr/>
          <w:p>
            <w:pPr>
              <w:pStyle w:val="Compact"/>
              <w:jc w:val="left"/>
            </w:pPr>
            <w:r>
              <w:t xml:space="preserve">Q1–Q4 2027</w:t>
            </w:r>
          </w:p>
        </w:tc>
        <w:tc>
          <w:tcPr/>
          <w:p>
            <w:pPr>
              <w:pStyle w:val="Compact"/>
              <w:jc w:val="left"/>
            </w:pPr>
            <w:r>
              <w:t xml:space="preserve">v2 trust deliverables (Sections 7, 9)</w:t>
            </w:r>
          </w:p>
        </w:tc>
      </w:tr>
      <w:tr>
        <w:tc>
          <w:tcPr/>
          <w:p>
            <w:pPr>
              <w:pStyle w:val="Compact"/>
              <w:jc w:val="left"/>
            </w:pPr>
            <w:r>
              <w:t xml:space="preserve">Marketing &amp; customer acquisition</w:t>
            </w:r>
          </w:p>
        </w:tc>
        <w:tc>
          <w:tcPr/>
          <w:p>
            <w:pPr>
              <w:pStyle w:val="Compact"/>
              <w:jc w:val="left"/>
            </w:pPr>
            <w:r>
              <w:t xml:space="preserve">36,000</w:t>
            </w:r>
          </w:p>
        </w:tc>
        <w:tc>
          <w:tcPr/>
          <w:p>
            <w:pPr>
              <w:pStyle w:val="Compact"/>
              <w:jc w:val="left"/>
            </w:pPr>
            <w:r>
              <w:t xml:space="preserve">10%</w:t>
            </w:r>
          </w:p>
        </w:tc>
        <w:tc>
          <w:tcPr/>
          <w:p>
            <w:pPr>
              <w:pStyle w:val="Compact"/>
              <w:jc w:val="left"/>
            </w:pPr>
            <w:r>
              <w:t xml:space="preserve">AED 3k/month</w:t>
            </w:r>
          </w:p>
        </w:tc>
        <w:tc>
          <w:tcPr/>
          <w:p>
            <w:pPr>
              <w:pStyle w:val="Compact"/>
              <w:jc w:val="left"/>
            </w:pPr>
            <w:r>
              <w:t xml:space="preserve">500 paying customers (base case)</w:t>
            </w:r>
          </w:p>
        </w:tc>
      </w:tr>
      <w:tr>
        <w:tc>
          <w:tcPr/>
          <w:p>
            <w:pPr>
              <w:pStyle w:val="Compact"/>
              <w:jc w:val="left"/>
            </w:pPr>
            <w:r>
              <w:t xml:space="preserve">Infrastructure &amp; software</w:t>
            </w:r>
          </w:p>
        </w:tc>
        <w:tc>
          <w:tcPr/>
          <w:p>
            <w:pPr>
              <w:pStyle w:val="Compact"/>
              <w:jc w:val="left"/>
            </w:pPr>
            <w:r>
              <w:t xml:space="preserve">24,000</w:t>
            </w:r>
          </w:p>
        </w:tc>
        <w:tc>
          <w:tcPr/>
          <w:p>
            <w:pPr>
              <w:pStyle w:val="Compact"/>
              <w:jc w:val="left"/>
            </w:pPr>
            <w:r>
              <w:t xml:space="preserve">7%</w:t>
            </w:r>
          </w:p>
        </w:tc>
        <w:tc>
          <w:tcPr/>
          <w:p>
            <w:pPr>
              <w:pStyle w:val="Compact"/>
              <w:jc w:val="left"/>
            </w:pPr>
            <w:r>
              <w:t xml:space="preserve">Monthly</w:t>
            </w:r>
          </w:p>
        </w:tc>
        <w:tc>
          <w:tcPr/>
          <w:p>
            <w:pPr>
              <w:pStyle w:val="Compact"/>
              <w:jc w:val="left"/>
            </w:pPr>
            <w:r>
              <w:t xml:space="preserve">Hosting, LLM API, tools at scale</w:t>
            </w:r>
          </w:p>
        </w:tc>
      </w:tr>
      <w:tr>
        <w:tc>
          <w:tcPr/>
          <w:p>
            <w:pPr>
              <w:pStyle w:val="Compact"/>
              <w:jc w:val="left"/>
            </w:pPr>
            <w:r>
              <w:t xml:space="preserve">Incorporation, trade licence &amp; legal</w:t>
            </w:r>
          </w:p>
        </w:tc>
        <w:tc>
          <w:tcPr/>
          <w:p>
            <w:pPr>
              <w:pStyle w:val="Compact"/>
              <w:jc w:val="left"/>
            </w:pPr>
            <w:r>
              <w:t xml:space="preserve">20,000</w:t>
            </w:r>
          </w:p>
        </w:tc>
        <w:tc>
          <w:tcPr/>
          <w:p>
            <w:pPr>
              <w:pStyle w:val="Compact"/>
              <w:jc w:val="left"/>
            </w:pPr>
            <w:r>
              <w:t xml:space="preserve">6%</w:t>
            </w:r>
          </w:p>
        </w:tc>
        <w:tc>
          <w:tcPr/>
          <w:p>
            <w:pPr>
              <w:pStyle w:val="Compact"/>
              <w:jc w:val="left"/>
            </w:pPr>
            <w:r>
              <w:t xml:space="preserve">Q1 2027</w:t>
            </w:r>
          </w:p>
        </w:tc>
        <w:tc>
          <w:tcPr/>
          <w:p>
            <w:pPr>
              <w:pStyle w:val="Compact"/>
              <w:jc w:val="left"/>
            </w:pPr>
            <w:r>
              <w:t xml:space="preserve">Legal existence; terms &amp; privacy drafting</w:t>
            </w:r>
          </w:p>
        </w:tc>
      </w:tr>
      <w:tr>
        <w:tc>
          <w:tcPr/>
          <w:p>
            <w:pPr>
              <w:pStyle w:val="Compact"/>
              <w:jc w:val="left"/>
            </w:pPr>
            <w:r>
              <w:t xml:space="preserve">Contingency</w:t>
            </w:r>
          </w:p>
        </w:tc>
        <w:tc>
          <w:tcPr/>
          <w:p>
            <w:pPr>
              <w:pStyle w:val="Compact"/>
              <w:jc w:val="left"/>
            </w:pPr>
            <w:r>
              <w:t xml:space="preserve">12,000</w:t>
            </w:r>
          </w:p>
        </w:tc>
        <w:tc>
          <w:tcPr/>
          <w:p>
            <w:pPr>
              <w:pStyle w:val="Compact"/>
              <w:jc w:val="left"/>
            </w:pPr>
            <w:r>
              <w:t xml:space="preserve">3%</w:t>
            </w:r>
          </w:p>
        </w:tc>
        <w:tc>
          <w:tcPr/>
          <w:p>
            <w:pPr>
              <w:pStyle w:val="Compact"/>
              <w:jc w:val="left"/>
            </w:pPr>
            <w:r>
              <w:t xml:space="preserve">Held</w:t>
            </w:r>
          </w:p>
        </w:tc>
        <w:tc>
          <w:tcPr/>
          <w:p>
            <w:pPr>
              <w:pStyle w:val="Compact"/>
              <w:jc w:val="left"/>
            </w:pPr>
            <w:r>
              <w:t xml:space="preserve">Buffer against assumption misses</w:t>
            </w:r>
          </w:p>
        </w:tc>
      </w:tr>
      <w:tr>
        <w:tc>
          <w:tcPr/>
          <w:p>
            <w:pPr>
              <w:pStyle w:val="Compact"/>
              <w:jc w:val="left"/>
            </w:pPr>
            <w:r>
              <w:rPr>
                <w:bCs/>
                <w:b/>
              </w:rPr>
              <w:t xml:space="preserve">Total</w:t>
            </w:r>
          </w:p>
        </w:tc>
        <w:tc>
          <w:tcPr/>
          <w:p>
            <w:pPr>
              <w:pStyle w:val="Compact"/>
              <w:jc w:val="left"/>
            </w:pPr>
            <w:r>
              <w:rPr>
                <w:bCs/>
                <w:b/>
              </w:rPr>
              <w:t xml:space="preserve">350,000</w:t>
            </w:r>
          </w:p>
        </w:tc>
        <w:tc>
          <w:tcPr/>
          <w:p>
            <w:pPr>
              <w:pStyle w:val="Compact"/>
              <w:jc w:val="left"/>
            </w:pPr>
            <w:r>
              <w:rPr>
                <w:bCs/>
                <w:b/>
              </w:rPr>
              <w:t xml:space="preserve">100%</w:t>
            </w:r>
          </w:p>
        </w:tc>
        <w:tc>
          <w:tcPr/>
          <w:p>
            <w:pPr>
              <w:pStyle w:val="Compact"/>
            </w:pPr>
          </w:p>
        </w:tc>
        <w:tc>
          <w:tcPr/>
          <w:p>
            <w:pPr>
              <w:pStyle w:val="Compact"/>
            </w:pPr>
          </w:p>
        </w:tc>
      </w:tr>
    </w:tbl>
    <w:p>
      <w:pPr>
        <w:pStyle w:val="BodyText"/>
      </w:pPr>
      <w:r>
        <w:t xml:space="preserve">Every category maps to a line in the financial plan; there is no</w:t>
      </w:r>
      <w:r>
        <w:t xml:space="preserve"> </w:t>
      </w:r>
      <w:r>
        <w:t xml:space="preserve">“</w:t>
      </w:r>
      <w:r>
        <w:t xml:space="preserve">general growth</w:t>
      </w:r>
      <w:r>
        <w:t xml:space="preserve">”</w:t>
      </w:r>
      <w:r>
        <w:t xml:space="preserve"> </w:t>
      </w:r>
      <w:r>
        <w:t xml:space="preserve">spending and no outsized founder compensation (stipends are AED 5k/month — below market — precisely to maximise runway).</w:t>
      </w:r>
    </w:p>
    <w:bookmarkEnd w:id="197"/>
    <w:bookmarkStart w:id="198" w:name="ownership-offered"/>
    <w:p>
      <w:pPr>
        <w:pStyle w:val="Heading2"/>
      </w:pPr>
      <w:r>
        <w:t xml:space="preserve">Ownership offered</w:t>
      </w:r>
    </w:p>
    <w:p>
      <w:pPr>
        <w:pStyle w:val="FirstParagraph"/>
      </w:pPr>
      <w:r>
        <w:t xml:space="preserve">We propose</w:t>
      </w:r>
      <w:r>
        <w:t xml:space="preserve"> </w:t>
      </w:r>
      <w:r>
        <w:rPr>
          <w:bCs/>
          <w:b/>
        </w:rPr>
        <w:t xml:space="preserve">10–15% equity for AED 350,000, implying a pre-money valuation of roughly AED 2.0–3.2M</w:t>
      </w:r>
      <w:r>
        <w:t xml:space="preserve"> </w:t>
      </w:r>
      <w:r>
        <w:t xml:space="preserve">— presented as a negotiable range, not a precise claim, and grounded in comparables logic (a working product in a verified white space, pre-revenue, first-time team) rather than a discounted-cash-flow fiction. Accelerator standard terms, where applicable, would be accepted within this dilution envelope. Founders retain full control at this level; no board seat is offered at pre-seed, though an advisor seat is. We promise no investor returns; the Section 15 scenarios are the honest range of outcomes.</w:t>
      </w:r>
    </w:p>
    <w:bookmarkEnd w:id="198"/>
    <w:bookmarkStart w:id="199" w:name="Xdfda7fbba6b92a9ca6be7665f17c40a82547a43"/>
    <w:p>
      <w:pPr>
        <w:pStyle w:val="Heading2"/>
      </w:pPr>
      <w:r>
        <w:t xml:space="preserve">Advantages and disadvantages of the chosen 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t xml:space="preserve">Founder capital</w:t>
            </w:r>
          </w:p>
        </w:tc>
        <w:tc>
          <w:tcPr/>
          <w:p>
            <w:pPr>
              <w:pStyle w:val="Compact"/>
              <w:jc w:val="left"/>
            </w:pPr>
            <w:r>
              <w:t xml:space="preserve">Full control; zero cost of capital; signals commitment</w:t>
            </w:r>
          </w:p>
        </w:tc>
        <w:tc>
          <w:tcPr/>
          <w:p>
            <w:pPr>
              <w:pStyle w:val="Compact"/>
              <w:jc w:val="left"/>
            </w:pPr>
            <w:r>
              <w:t xml:space="preserve">Small; personal risk concentration</w:t>
            </w:r>
          </w:p>
        </w:tc>
      </w:tr>
      <w:tr>
        <w:tc>
          <w:tcPr/>
          <w:p>
            <w:pPr>
              <w:pStyle w:val="Compact"/>
              <w:jc w:val="left"/>
            </w:pPr>
            <w:r>
              <w:t xml:space="preserve">Accelerator</w:t>
            </w:r>
          </w:p>
        </w:tc>
        <w:tc>
          <w:tcPr/>
          <w:p>
            <w:pPr>
              <w:pStyle w:val="Compact"/>
              <w:jc w:val="left"/>
            </w:pPr>
            <w:r>
              <w:t xml:space="preserve">Mentorship for first-time founders; network; credibility; some fund without heavy dilution</w:t>
            </w:r>
          </w:p>
        </w:tc>
        <w:tc>
          <w:tcPr/>
          <w:p>
            <w:pPr>
              <w:pStyle w:val="Compact"/>
              <w:jc w:val="left"/>
            </w:pPr>
            <w:r>
              <w:t xml:space="preserve">Competitive entry (not guaranteed); time commitment; possible equity cost; cohort timing may not match our calendar</w:t>
            </w:r>
          </w:p>
        </w:tc>
      </w:tr>
      <w:tr>
        <w:tc>
          <w:tcPr/>
          <w:p>
            <w:pPr>
              <w:pStyle w:val="Compact"/>
              <w:jc w:val="left"/>
            </w:pPr>
            <w:r>
              <w:t xml:space="preserve">Angel</w:t>
            </w:r>
          </w:p>
        </w:tc>
        <w:tc>
          <w:tcPr/>
          <w:p>
            <w:pPr>
              <w:pStyle w:val="Compact"/>
              <w:jc w:val="left"/>
            </w:pPr>
            <w:r>
              <w:t xml:space="preserve">Domain expertise and doors opened; faster than institutions; flexible terms</w:t>
            </w:r>
          </w:p>
        </w:tc>
        <w:tc>
          <w:tcPr/>
          <w:p>
            <w:pPr>
              <w:pStyle w:val="Compact"/>
              <w:jc w:val="left"/>
            </w:pPr>
            <w:r>
              <w:t xml:space="preserve">Dilution; investor-relations workload; wrong angel adds noise; expectations of follow-on progress</w:t>
            </w:r>
          </w:p>
        </w:tc>
      </w:tr>
      <w:tr>
        <w:tc>
          <w:tcPr/>
          <w:p>
            <w:pPr>
              <w:pStyle w:val="Compact"/>
              <w:jc w:val="left"/>
            </w:pPr>
            <w:r>
              <w:t xml:space="preserve">(Deferred) VC</w:t>
            </w:r>
          </w:p>
        </w:tc>
        <w:tc>
          <w:tcPr/>
          <w:p>
            <w:pPr>
              <w:pStyle w:val="Compact"/>
              <w:jc w:val="left"/>
            </w:pPr>
            <w:r>
              <w:t xml:space="preserve">Scale capital for Section 18 growth</w:t>
            </w:r>
          </w:p>
        </w:tc>
        <w:tc>
          <w:tcPr/>
          <w:p>
            <w:pPr>
              <w:pStyle w:val="Compact"/>
              <w:jc w:val="left"/>
            </w:pPr>
            <w:r>
              <w:t xml:space="preserve">Premature dilution; control and exit pressure before product-market fit is proven</w:t>
            </w:r>
          </w:p>
        </w:tc>
      </w:tr>
    </w:tbl>
    <w:p>
      <w:pPr>
        <w:pStyle w:val="BodyText"/>
      </w:pPr>
      <w:r>
        <w:t xml:space="preserve">The plan does not depend on any single source: the conservative fallback is a smaller raise (accelerator-only, ~AED 150–200k) with stipends cut and the Arabic/evals work stretched into 2028 — slower, but alive. That trade-off, like everything in this section, is priced from the forecast rather than hoped into existence.</w:t>
      </w:r>
    </w:p>
    <w:bookmarkEnd w:id="199"/>
    <w:bookmarkEnd w:id="200"/>
    <w:bookmarkStart w:id="204" w:name="section-17-risk-analysis"/>
    <w:p>
      <w:pPr>
        <w:pStyle w:val="Heading1"/>
      </w:pPr>
      <w:r>
        <w:t xml:space="preserve">Section 17: Risk Analysis</w:t>
      </w:r>
    </w:p>
    <w:bookmarkStart w:id="201" w:name="approach-and-rating-definitions"/>
    <w:p>
      <w:pPr>
        <w:pStyle w:val="Heading2"/>
      </w:pPr>
      <w:r>
        <w:t xml:space="preserve">Approach and rating definitions</w:t>
      </w:r>
    </w:p>
    <w:p>
      <w:pPr>
        <w:pStyle w:val="FirstParagraph"/>
      </w:pPr>
      <w:r>
        <w:t xml:space="preserve">We scanned eight risk families — strategic, market, financial, operational, technological, legal, ethical and cybersecurity — and prioritised the nine risks with the highest combined probability and impact. One scale is used throughout.</w:t>
      </w:r>
      <w:r>
        <w:t xml:space="preserve"> </w:t>
      </w:r>
      <w:r>
        <w:rPr>
          <w:bCs/>
          <w:b/>
        </w:rPr>
        <w:t xml:space="preserve">Probability</w:t>
      </w:r>
      <w:r>
        <w:t xml:space="preserve">: Low = unlikely within 24 months (&lt;20%); Medium = plausible (20–50%); High = more likely than not (&gt;50%).</w:t>
      </w:r>
      <w:r>
        <w:t xml:space="preserve"> </w:t>
      </w:r>
      <w:r>
        <w:rPr>
          <w:bCs/>
          <w:b/>
        </w:rPr>
        <w:t xml:space="preserve">Impact</w:t>
      </w:r>
      <w:r>
        <w:t xml:space="preserve">: Low = absorbed within normal operations; Medium = material damage to growth, cash or trust, recoverable within two quarters; High = threatens survival, legal standing or the trust position. Each rating is justified by evidence, and every risk has a named response type (avoid / reduce / transfer / accept) and owner (NM = Nandita Menon, JP/AA = teammates B/C).</w:t>
      </w:r>
    </w:p>
    <w:bookmarkEnd w:id="201"/>
    <w:bookmarkStart w:id="202" w:name="risk-register"/>
    <w:p>
      <w:pPr>
        <w:pStyle w:val="Heading2"/>
      </w:pPr>
      <w:r>
        <w:t xml:space="preserve">Risk register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Risk (event → cause → consequence)</w:t>
            </w:r>
          </w:p>
        </w:tc>
        <w:tc>
          <w:tcPr/>
          <w:p>
            <w:pPr>
              <w:pStyle w:val="Compact"/>
              <w:jc w:val="left"/>
            </w:pPr>
            <w:r>
              <w:t xml:space="preserve">Prob.</w:t>
            </w:r>
          </w:p>
        </w:tc>
        <w:tc>
          <w:tcPr/>
          <w:p>
            <w:pPr>
              <w:pStyle w:val="Compact"/>
              <w:jc w:val="left"/>
            </w:pPr>
            <w:r>
              <w:t xml:space="preserve">Impact</w:t>
            </w:r>
          </w:p>
        </w:tc>
        <w:tc>
          <w:tcPr/>
          <w:p>
            <w:pPr>
              <w:pStyle w:val="Compact"/>
              <w:jc w:val="left"/>
            </w:pPr>
            <w:r>
              <w:t xml:space="preserve">Response and contingency</w:t>
            </w:r>
          </w:p>
        </w:tc>
        <w:tc>
          <w:tcPr/>
          <w:p>
            <w:pPr>
              <w:pStyle w:val="Compact"/>
              <w:jc w:val="left"/>
            </w:pPr>
            <w:r>
              <w:t xml:space="preserve">Owner</w:t>
            </w:r>
          </w:p>
        </w:tc>
      </w:tr>
      <w:tr>
        <w:tc>
          <w:tcPr/>
          <w:p>
            <w:pPr>
              <w:pStyle w:val="Compact"/>
              <w:jc w:val="left"/>
            </w:pPr>
            <w:r>
              <w:t xml:space="preserve">1</w:t>
            </w:r>
          </w:p>
        </w:tc>
        <w:tc>
          <w:tcPr/>
          <w:p>
            <w:pPr>
              <w:pStyle w:val="Compact"/>
              <w:jc w:val="left"/>
            </w:pPr>
            <w:r>
              <w:rPr>
                <w:bCs/>
                <w:b/>
              </w:rPr>
              <w:t xml:space="preserve">Incumbent bolt-on</w:t>
            </w:r>
            <w:r>
              <w:t xml:space="preserve">: Wafeq or Zoho ships cited legal Q&amp;A → they own filing rails and AI teams → our headline differentiator commoditised</w:t>
            </w:r>
          </w:p>
        </w:tc>
        <w:tc>
          <w:tcPr/>
          <w:p>
            <w:pPr>
              <w:pStyle w:val="Compact"/>
              <w:jc w:val="left"/>
            </w:pPr>
            <w:r>
              <w:t xml:space="preserve">High — both already ship AI; Tax Star–Wafeq partnership shows fast bundling</w:t>
            </w:r>
          </w:p>
        </w:tc>
        <w:tc>
          <w:tcPr/>
          <w:p>
            <w:pPr>
              <w:pStyle w:val="Compact"/>
              <w:jc w:val="left"/>
            </w:pPr>
            <w:r>
              <w:t xml:space="preserve">High</w:t>
            </w:r>
          </w:p>
        </w:tc>
        <w:tc>
          <w:tcPr/>
          <w:p>
            <w:pPr>
              <w:pStyle w:val="Compact"/>
              <w:jc w:val="left"/>
            </w:pPr>
            <w:r>
              <w:rPr>
                <w:iCs/>
                <w:i/>
              </w:rPr>
              <w:t xml:space="preserve">Reduce</w:t>
            </w:r>
            <w:r>
              <w:t xml:space="preserve">: win the trust position first (published evals, abstention brand); embed via workflow depth (invoice checks, e-invoicing) and accountant channel.</w:t>
            </w:r>
            <w:r>
              <w:t xml:space="preserve"> </w:t>
            </w:r>
            <w:r>
              <w:rPr>
                <w:iCs/>
                <w:i/>
              </w:rPr>
              <w:t xml:space="preserve">Contingency</w:t>
            </w:r>
            <w:r>
              <w:t xml:space="preserve">: reposition as the accuracy layer/partner to an incumbent rather than fight on breadth</w:t>
            </w:r>
          </w:p>
        </w:tc>
        <w:tc>
          <w:tcPr/>
          <w:p>
            <w:pPr>
              <w:pStyle w:val="Compact"/>
              <w:jc w:val="left"/>
            </w:pPr>
            <w:r>
              <w:t xml:space="preserve">NM</w:t>
            </w:r>
          </w:p>
        </w:tc>
      </w:tr>
      <w:tr>
        <w:tc>
          <w:tcPr/>
          <w:p>
            <w:pPr>
              <w:pStyle w:val="Compact"/>
              <w:jc w:val="left"/>
            </w:pPr>
            <w:r>
              <w:t xml:space="preserve">2</w:t>
            </w:r>
          </w:p>
        </w:tc>
        <w:tc>
          <w:tcPr/>
          <w:p>
            <w:pPr>
              <w:pStyle w:val="Compact"/>
              <w:jc w:val="left"/>
            </w:pPr>
            <w:r>
              <w:rPr>
                <w:bCs/>
                <w:b/>
              </w:rPr>
              <w:t xml:space="preserve">Hallucination/trust incident</w:t>
            </w:r>
            <w:r>
              <w:t xml:space="preserve">: a publicised wrong answer causes customer loss → LLM error or retrieval miss → reputational and possibly financial harm</w:t>
            </w:r>
          </w:p>
        </w:tc>
        <w:tc>
          <w:tcPr/>
          <w:p>
            <w:pPr>
              <w:pStyle w:val="Compact"/>
              <w:jc w:val="left"/>
            </w:pPr>
            <w:r>
              <w:t xml:space="preserve">Medium — Stanford (2025) documents 17–33% error rates even in purpose-built legal AI; our abstention design reduces but cannot eliminate</w:t>
            </w:r>
          </w:p>
        </w:tc>
        <w:tc>
          <w:tcPr/>
          <w:p>
            <w:pPr>
              <w:pStyle w:val="Compact"/>
              <w:jc w:val="left"/>
            </w:pPr>
            <w:r>
              <w:t xml:space="preserve">High</w:t>
            </w:r>
          </w:p>
        </w:tc>
        <w:tc>
          <w:tcPr/>
          <w:p>
            <w:pPr>
              <w:pStyle w:val="Compact"/>
              <w:jc w:val="left"/>
            </w:pPr>
            <w:r>
              <w:rPr>
                <w:iCs/>
                <w:i/>
              </w:rPr>
              <w:t xml:space="preserve">Reduce</w:t>
            </w:r>
            <w:r>
              <w:t xml:space="preserve">: abstention thresholds, citations, deterministic tools, golden-set release gate, flag triage in 2 business days.</w:t>
            </w:r>
            <w:r>
              <w:t xml:space="preserve"> </w:t>
            </w:r>
            <w:r>
              <w:rPr>
                <w:iCs/>
                <w:i/>
              </w:rPr>
              <w:t xml:space="preserve">Transfer/accept</w:t>
            </w:r>
            <w:r>
              <w:t xml:space="preserve">: professional-indemnity-style insurance investigated with advisor; public correction protocol prepared. This is our most critical risk — controls are already built, not planned</w:t>
            </w:r>
          </w:p>
        </w:tc>
        <w:tc>
          <w:tcPr/>
          <w:p>
            <w:pPr>
              <w:pStyle w:val="Compact"/>
              <w:jc w:val="left"/>
            </w:pPr>
            <w:r>
              <w:t xml:space="preserve">NM</w:t>
            </w:r>
          </w:p>
        </w:tc>
      </w:tr>
      <w:tr>
        <w:tc>
          <w:tcPr/>
          <w:p>
            <w:pPr>
              <w:pStyle w:val="Compact"/>
              <w:jc w:val="left"/>
            </w:pPr>
            <w:r>
              <w:t xml:space="preserve">3</w:t>
            </w:r>
          </w:p>
        </w:tc>
        <w:tc>
          <w:tcPr/>
          <w:p>
            <w:pPr>
              <w:pStyle w:val="Compact"/>
              <w:jc w:val="left"/>
            </w:pPr>
            <w:r>
              <w:rPr>
                <w:bCs/>
                <w:b/>
              </w:rPr>
              <w:t xml:space="preserve">FTA free AI services</w:t>
            </w:r>
            <w:r>
              <w:t xml:space="preserve"> </w:t>
            </w:r>
            <w:r>
              <w:t xml:space="preserve">(launched Oct 2025) improve → government offers</w:t>
            </w:r>
            <w:r>
              <w:t xml:space="preserve"> </w:t>
            </w:r>
            <w:r>
              <w:t xml:space="preserve">“</w:t>
            </w:r>
            <w:r>
              <w:t xml:space="preserve">good-enough</w:t>
            </w:r>
            <w:r>
              <w:t xml:space="preserve">”</w:t>
            </w:r>
            <w:r>
              <w:t xml:space="preserve"> </w:t>
            </w:r>
            <w:r>
              <w:t xml:space="preserve">free Q&amp;A → willingness to pay for pure chat collapses</w:t>
            </w:r>
          </w:p>
        </w:tc>
        <w:tc>
          <w:tcPr/>
          <w:p>
            <w:pPr>
              <w:pStyle w:val="Compact"/>
              <w:jc w:val="left"/>
            </w:pPr>
            <w:r>
              <w:t xml:space="preserve">Medium</w:t>
            </w:r>
          </w:p>
        </w:tc>
        <w:tc>
          <w:tcPr/>
          <w:p>
            <w:pPr>
              <w:pStyle w:val="Compact"/>
              <w:jc w:val="left"/>
            </w:pPr>
            <w:r>
              <w:t xml:space="preserve">Medium</w:t>
            </w:r>
          </w:p>
        </w:tc>
        <w:tc>
          <w:tcPr/>
          <w:p>
            <w:pPr>
              <w:pStyle w:val="Compact"/>
              <w:jc w:val="left"/>
            </w:pPr>
            <w:r>
              <w:rPr>
                <w:iCs/>
                <w:i/>
              </w:rPr>
              <w:t xml:space="preserve">Reduce</w:t>
            </w:r>
            <w:r>
              <w:t xml:space="preserve">: position on what a government chatbot won’t do — company-specific workflows, invoice checking, audit-trail exports, accountant collaboration. FTA quality actually legitimises the category</w:t>
            </w:r>
          </w:p>
        </w:tc>
        <w:tc>
          <w:tcPr/>
          <w:p>
            <w:pPr>
              <w:pStyle w:val="Compact"/>
              <w:jc w:val="left"/>
            </w:pPr>
            <w:r>
              <w:t xml:space="preserve">AA</w:t>
            </w:r>
          </w:p>
        </w:tc>
      </w:tr>
      <w:tr>
        <w:tc>
          <w:tcPr/>
          <w:p>
            <w:pPr>
              <w:pStyle w:val="Compact"/>
              <w:jc w:val="left"/>
            </w:pPr>
            <w:r>
              <w:t xml:space="preserve">4</w:t>
            </w:r>
          </w:p>
        </w:tc>
        <w:tc>
          <w:tcPr/>
          <w:p>
            <w:pPr>
              <w:pStyle w:val="Compact"/>
              <w:jc w:val="left"/>
            </w:pPr>
            <w:r>
              <w:rPr>
                <w:bCs/>
                <w:b/>
              </w:rPr>
              <w:t xml:space="preserve">Slow customer adoption</w:t>
            </w:r>
            <w:r>
              <w:t xml:space="preserve">: conversion &lt;2.5% vs 4% assumed → trust barrier or weak channel fit → conservative revenue case or worse</w:t>
            </w:r>
          </w:p>
        </w:tc>
        <w:tc>
          <w:tcPr/>
          <w:p>
            <w:pPr>
              <w:pStyle w:val="Compact"/>
              <w:jc w:val="left"/>
            </w:pPr>
            <w:r>
              <w:t xml:space="preserve">Medium — assumption is untested</w:t>
            </w:r>
          </w:p>
        </w:tc>
        <w:tc>
          <w:tcPr/>
          <w:p>
            <w:pPr>
              <w:pStyle w:val="Compact"/>
              <w:jc w:val="left"/>
            </w:pPr>
            <w:r>
              <w:t xml:space="preserve">High (cash)</w:t>
            </w:r>
          </w:p>
        </w:tc>
        <w:tc>
          <w:tcPr/>
          <w:p>
            <w:pPr>
              <w:pStyle w:val="Compact"/>
              <w:jc w:val="left"/>
            </w:pPr>
            <w:r>
              <w:rPr>
                <w:iCs/>
                <w:i/>
              </w:rPr>
              <w:t xml:space="preserve">Reduce</w:t>
            </w:r>
            <w:r>
              <w:t xml:space="preserve">: pilot before scale-up; diagnose before spending (interviews, funnel analytics); channel pivot to accountant-led distribution; spending controls (marketing is the flexed line).</w:t>
            </w:r>
            <w:r>
              <w:t xml:space="preserve"> </w:t>
            </w:r>
            <w:r>
              <w:rPr>
                <w:iCs/>
                <w:i/>
              </w:rPr>
              <w:t xml:space="preserve">Accept</w:t>
            </w:r>
            <w:r>
              <w:t xml:space="preserve">: 12-month runway is sized to the conservative case</w:t>
            </w:r>
          </w:p>
        </w:tc>
        <w:tc>
          <w:tcPr/>
          <w:p>
            <w:pPr>
              <w:pStyle w:val="Compact"/>
              <w:jc w:val="left"/>
            </w:pPr>
            <w:r>
              <w:t xml:space="preserve">AA</w:t>
            </w:r>
          </w:p>
        </w:tc>
      </w:tr>
      <w:tr>
        <w:tc>
          <w:tcPr/>
          <w:p>
            <w:pPr>
              <w:pStyle w:val="Compact"/>
              <w:jc w:val="left"/>
            </w:pPr>
            <w:r>
              <w:t xml:space="preserve">5</w:t>
            </w:r>
          </w:p>
        </w:tc>
        <w:tc>
          <w:tcPr/>
          <w:p>
            <w:pPr>
              <w:pStyle w:val="Compact"/>
              <w:jc w:val="left"/>
            </w:pPr>
            <w:r>
              <w:rPr>
                <w:bCs/>
                <w:b/>
              </w:rPr>
              <w:t xml:space="preserve">LLM API dependency</w:t>
            </w:r>
            <w:r>
              <w:t xml:space="preserve">: Gemini pricing/terms/behaviour change → single-provider reliance → cost spike or quality drift</w:t>
            </w:r>
          </w:p>
        </w:tc>
        <w:tc>
          <w:tcPr/>
          <w:p>
            <w:pPr>
              <w:pStyle w:val="Compact"/>
              <w:jc w:val="left"/>
            </w:pPr>
            <w:r>
              <w:t xml:space="preserve">Medium</w:t>
            </w:r>
          </w:p>
        </w:tc>
        <w:tc>
          <w:tcPr/>
          <w:p>
            <w:pPr>
              <w:pStyle w:val="Compact"/>
              <w:jc w:val="left"/>
            </w:pPr>
            <w:r>
              <w:t xml:space="preserve">Medium</w:t>
            </w:r>
          </w:p>
        </w:tc>
        <w:tc>
          <w:tcPr/>
          <w:p>
            <w:pPr>
              <w:pStyle w:val="Compact"/>
              <w:jc w:val="left"/>
            </w:pPr>
            <w:r>
              <w:rPr>
                <w:iCs/>
                <w:i/>
              </w:rPr>
              <w:t xml:space="preserve">Reduce</w:t>
            </w:r>
            <w:r>
              <w:t xml:space="preserve">: provider-agnostic interface, tested fallback provider, per-answer cost monitoring with alerts, usage caps in every tier; golden-set regression run after provider model updates to catch drift</w:t>
            </w:r>
          </w:p>
        </w:tc>
        <w:tc>
          <w:tcPr/>
          <w:p>
            <w:pPr>
              <w:pStyle w:val="Compact"/>
              <w:jc w:val="left"/>
            </w:pPr>
            <w:r>
              <w:t xml:space="preserve">JP</w:t>
            </w:r>
          </w:p>
        </w:tc>
      </w:tr>
      <w:tr>
        <w:tc>
          <w:tcPr/>
          <w:p>
            <w:pPr>
              <w:pStyle w:val="Compact"/>
              <w:jc w:val="left"/>
            </w:pPr>
            <w:r>
              <w:t xml:space="preserve">6</w:t>
            </w:r>
          </w:p>
        </w:tc>
        <w:tc>
          <w:tcPr/>
          <w:p>
            <w:pPr>
              <w:pStyle w:val="Compact"/>
              <w:jc w:val="left"/>
            </w:pPr>
            <w:r>
              <w:rPr>
                <w:bCs/>
                <w:b/>
              </w:rPr>
              <w:t xml:space="preserve">Regulatory change</w:t>
            </w:r>
            <w:r>
              <w:t xml:space="preserve">: tax law or e-invoicing rules change (or AI-specific rules arrive) → young regime evolves quickly → stale corpus gives wrong answers; compliance obligations shift</w:t>
            </w:r>
          </w:p>
        </w:tc>
        <w:tc>
          <w:tcPr/>
          <w:p>
            <w:pPr>
              <w:pStyle w:val="Compact"/>
              <w:jc w:val="left"/>
            </w:pPr>
            <w:r>
              <w:t xml:space="preserve">High (change is certain; adverse form uncertain)</w:t>
            </w:r>
          </w:p>
        </w:tc>
        <w:tc>
          <w:tcPr/>
          <w:p>
            <w:pPr>
              <w:pStyle w:val="Compact"/>
              <w:jc w:val="left"/>
            </w:pPr>
            <w:r>
              <w:t xml:space="preserve">Medium</w:t>
            </w:r>
          </w:p>
        </w:tc>
        <w:tc>
          <w:tcPr/>
          <w:p>
            <w:pPr>
              <w:pStyle w:val="Compact"/>
              <w:jc w:val="left"/>
            </w:pPr>
            <w:r>
              <w:rPr>
                <w:iCs/>
                <w:i/>
              </w:rPr>
              <w:t xml:space="preserve">Reduce</w:t>
            </w:r>
            <w:r>
              <w:t xml:space="preserve">: 5-business-day corpus update SLA (Section 12); advisor watch; e-invoicing dates tracked from primary sources (MD 244/2025). Note: regulatory change is also our demand driver — each change generates questions</w:t>
            </w:r>
          </w:p>
        </w:tc>
        <w:tc>
          <w:tcPr/>
          <w:p>
            <w:pPr>
              <w:pStyle w:val="Compact"/>
              <w:jc w:val="left"/>
            </w:pPr>
            <w:r>
              <w:t xml:space="preserve">NM</w:t>
            </w:r>
          </w:p>
        </w:tc>
      </w:tr>
      <w:tr>
        <w:tc>
          <w:tcPr/>
          <w:p>
            <w:pPr>
              <w:pStyle w:val="Compact"/>
              <w:jc w:val="left"/>
            </w:pPr>
            <w:r>
              <w:t xml:space="preserve">7</w:t>
            </w:r>
          </w:p>
        </w:tc>
        <w:tc>
          <w:tcPr/>
          <w:p>
            <w:pPr>
              <w:pStyle w:val="Compact"/>
              <w:jc w:val="left"/>
            </w:pPr>
            <w:r>
              <w:rPr>
                <w:bCs/>
                <w:b/>
              </w:rPr>
              <w:t xml:space="preserve">Student-team bandwidth</w:t>
            </w:r>
            <w:r>
              <w:t xml:space="preserve">: founders’ capacity splits across graduation, jobs and the venture → delivery slips → momentum and pilot cohort lost</w:t>
            </w:r>
          </w:p>
        </w:tc>
        <w:tc>
          <w:tcPr/>
          <w:p>
            <w:pPr>
              <w:pStyle w:val="Compact"/>
              <w:jc w:val="left"/>
            </w:pPr>
            <w:r>
              <w:t xml:space="preserve">Medium</w:t>
            </w:r>
          </w:p>
        </w:tc>
        <w:tc>
          <w:tcPr/>
          <w:p>
            <w:pPr>
              <w:pStyle w:val="Compact"/>
              <w:jc w:val="left"/>
            </w:pPr>
            <w:r>
              <w:t xml:space="preserve">Medium</w:t>
            </w:r>
          </w:p>
        </w:tc>
        <w:tc>
          <w:tcPr/>
          <w:p>
            <w:pPr>
              <w:pStyle w:val="Compact"/>
              <w:jc w:val="left"/>
            </w:pPr>
            <w:r>
              <w:rPr>
                <w:iCs/>
                <w:i/>
              </w:rPr>
              <w:t xml:space="preserve">Reduce</w:t>
            </w:r>
            <w:r>
              <w:t xml:space="preserve">: stipends from pre-seed make full-time focus affordable; scope rationing (this plan defers Arabic, mobile, integrations); accelerator structure imposes cadence.</w:t>
            </w:r>
            <w:r>
              <w:t xml:space="preserve"> </w:t>
            </w:r>
            <w:r>
              <w:rPr>
                <w:iCs/>
                <w:i/>
              </w:rPr>
              <w:t xml:space="preserve">Contingency</w:t>
            </w:r>
            <w:r>
              <w:t xml:space="preserve">: if a founder steps back, the roadmap re-bases around the two-person core with contracted development</w:t>
            </w:r>
          </w:p>
        </w:tc>
        <w:tc>
          <w:tcPr/>
          <w:p>
            <w:pPr>
              <w:pStyle w:val="Compact"/>
              <w:jc w:val="left"/>
            </w:pPr>
            <w:r>
              <w:t xml:space="preserve">NM</w:t>
            </w:r>
          </w:p>
        </w:tc>
      </w:tr>
      <w:tr>
        <w:tc>
          <w:tcPr/>
          <w:p>
            <w:pPr>
              <w:pStyle w:val="Compact"/>
              <w:jc w:val="left"/>
            </w:pPr>
            <w:r>
              <w:t xml:space="preserve">8</w:t>
            </w:r>
          </w:p>
        </w:tc>
        <w:tc>
          <w:tcPr/>
          <w:p>
            <w:pPr>
              <w:pStyle w:val="Compact"/>
              <w:jc w:val="left"/>
            </w:pPr>
            <w:r>
              <w:rPr>
                <w:bCs/>
                <w:b/>
              </w:rPr>
              <w:t xml:space="preserve">AI cost escalation</w:t>
            </w:r>
            <w:r>
              <w:t xml:space="preserve">: usage per customer exceeds model → heavy users or provider price rise → margin compression</w:t>
            </w:r>
          </w:p>
        </w:tc>
        <w:tc>
          <w:tcPr/>
          <w:p>
            <w:pPr>
              <w:pStyle w:val="Compact"/>
              <w:jc w:val="left"/>
            </w:pPr>
            <w:r>
              <w:t xml:space="preserve">Low–Medium</w:t>
            </w:r>
          </w:p>
        </w:tc>
        <w:tc>
          <w:tcPr/>
          <w:p>
            <w:pPr>
              <w:pStyle w:val="Compact"/>
              <w:jc w:val="left"/>
            </w:pPr>
            <w:r>
              <w:t xml:space="preserve">Low–Medium</w:t>
            </w:r>
          </w:p>
        </w:tc>
        <w:tc>
          <w:tcPr/>
          <w:p>
            <w:pPr>
              <w:pStyle w:val="Compact"/>
              <w:jc w:val="left"/>
            </w:pPr>
            <w:r>
              <w:rPr>
                <w:iCs/>
                <w:i/>
              </w:rPr>
              <w:t xml:space="preserve">Reduce</w:t>
            </w:r>
            <w:r>
              <w:t xml:space="preserve">: tier limits and fair-use policy, per-customer cost telemetry, model-size routing (cheaper models for retrieval steps), 3× price-rise sensitivity already modelled (contribution stays 91% — Section 15)</w:t>
            </w:r>
          </w:p>
        </w:tc>
        <w:tc>
          <w:tcPr/>
          <w:p>
            <w:pPr>
              <w:pStyle w:val="Compact"/>
              <w:jc w:val="left"/>
            </w:pPr>
            <w:r>
              <w:t xml:space="preserve">JP</w:t>
            </w:r>
          </w:p>
        </w:tc>
      </w:tr>
      <w:tr>
        <w:tc>
          <w:tcPr/>
          <w:p>
            <w:pPr>
              <w:pStyle w:val="Compact"/>
              <w:jc w:val="left"/>
            </w:pPr>
            <w:r>
              <w:t xml:space="preserve">9</w:t>
            </w:r>
          </w:p>
        </w:tc>
        <w:tc>
          <w:tcPr/>
          <w:p>
            <w:pPr>
              <w:pStyle w:val="Compact"/>
              <w:jc w:val="left"/>
            </w:pPr>
            <w:r>
              <w:rPr>
                <w:bCs/>
                <w:b/>
              </w:rPr>
              <w:t xml:space="preserve">Data breach</w:t>
            </w:r>
            <w:r>
              <w:t xml:space="preserve">: unauthorised access to invoices/accounts → attack or misconfiguration → PDPL exposure, trust damage</w:t>
            </w:r>
          </w:p>
        </w:tc>
        <w:tc>
          <w:tcPr/>
          <w:p>
            <w:pPr>
              <w:pStyle w:val="Compact"/>
              <w:jc w:val="left"/>
            </w:pPr>
            <w:r>
              <w:t xml:space="preserve">Low–Medium</w:t>
            </w:r>
          </w:p>
        </w:tc>
        <w:tc>
          <w:tcPr/>
          <w:p>
            <w:pPr>
              <w:pStyle w:val="Compact"/>
              <w:jc w:val="left"/>
            </w:pPr>
            <w:r>
              <w:t xml:space="preserve">High</w:t>
            </w:r>
          </w:p>
        </w:tc>
        <w:tc>
          <w:tcPr/>
          <w:p>
            <w:pPr>
              <w:pStyle w:val="Compact"/>
              <w:jc w:val="left"/>
            </w:pPr>
            <w:r>
              <w:rPr>
                <w:iCs/>
                <w:i/>
              </w:rPr>
              <w:t xml:space="preserve">Reduce</w:t>
            </w:r>
            <w:r>
              <w:t xml:space="preserve">: minimal data by design (no ledgers/bank data), encryption, MFA, least privilege, pen-test before launch, monitoring.</w:t>
            </w:r>
            <w:r>
              <w:t xml:space="preserve"> </w:t>
            </w:r>
            <w:r>
              <w:rPr>
                <w:iCs/>
                <w:i/>
              </w:rPr>
              <w:t xml:space="preserve">Transfer</w:t>
            </w:r>
            <w:r>
              <w:t xml:space="preserve">: cyber insurance quotes at incorporation.</w:t>
            </w:r>
            <w:r>
              <w:t xml:space="preserve"> </w:t>
            </w:r>
            <w:r>
              <w:rPr>
                <w:iCs/>
                <w:i/>
              </w:rPr>
              <w:t xml:space="preserve">Respond</w:t>
            </w:r>
            <w:r>
              <w:t xml:space="preserve">: notification runbook (Section 12); no concealment, ever</w:t>
            </w:r>
          </w:p>
        </w:tc>
        <w:tc>
          <w:tcPr/>
          <w:p>
            <w:pPr>
              <w:pStyle w:val="Compact"/>
              <w:jc w:val="left"/>
            </w:pPr>
            <w:r>
              <w:t xml:space="preserve">JP</w:t>
            </w:r>
          </w:p>
        </w:tc>
      </w:tr>
    </w:tbl>
    <w:bookmarkEnd w:id="202"/>
    <w:bookmarkStart w:id="203" w:name="the-most-critical-risks"/>
    <w:p>
      <w:pPr>
        <w:pStyle w:val="Heading2"/>
      </w:pPr>
      <w:r>
        <w:t xml:space="preserve">The most critical risks</w:t>
      </w:r>
    </w:p>
    <w:p>
      <w:pPr>
        <w:pStyle w:val="FirstParagraph"/>
      </w:pPr>
      <w:r>
        <w:t xml:space="preserve">Ranked by combined score, three risks dominate:</w:t>
      </w:r>
      <w:r>
        <w:t xml:space="preserve"> </w:t>
      </w:r>
      <w:r>
        <w:rPr>
          <w:bCs/>
          <w:b/>
        </w:rPr>
        <w:t xml:space="preserve">(2) trust incident</w:t>
      </w:r>
      <w:r>
        <w:t xml:space="preserve">,</w:t>
      </w:r>
      <w:r>
        <w:t xml:space="preserve"> </w:t>
      </w:r>
      <w:r>
        <w:rPr>
          <w:bCs/>
          <w:b/>
        </w:rPr>
        <w:t xml:space="preserve">(1) incumbent bolt-on</w:t>
      </w:r>
      <w:r>
        <w:t xml:space="preserve">, and</w:t>
      </w:r>
      <w:r>
        <w:t xml:space="preserve"> </w:t>
      </w:r>
      <w:r>
        <w:rPr>
          <w:bCs/>
          <w:b/>
        </w:rPr>
        <w:t xml:space="preserve">(4) slow adoption</w:t>
      </w:r>
      <w:r>
        <w:t xml:space="preserve">. They share a property: each is answered by the same strategic choice — make measured accuracy the brand before competitors or accidents define us. Immediate priorities with deadlines: golden-set benchmark operational before commercial launch (Dec 2026 — owner NM); pilot conversion data before scaling marketing spend (Mar 2027 — owner AA); provider fallback tested (Feb 2027 — owner JP). Residual risk after controls is real and stated: even with abstention, some wrong answers will ship; even with focus, incumbents may bundle us out of the standalone market — in which case the partnership/acquisition fallback (Section 6) is the honest plan B. No risk in this register is claimed to be eliminated.</w:t>
      </w:r>
    </w:p>
    <w:bookmarkEnd w:id="203"/>
    <w:bookmarkEnd w:id="204"/>
    <w:bookmarkStart w:id="214" w:name="section-18-growth-and-scalability-plan"/>
    <w:p>
      <w:pPr>
        <w:pStyle w:val="Heading1"/>
      </w:pPr>
      <w:r>
        <w:t xml:space="preserve">Section 18: Growth and Scalability Plan</w:t>
      </w:r>
    </w:p>
    <w:bookmarkStart w:id="205" w:name="three-to-five-year-growth-direction"/>
    <w:p>
      <w:pPr>
        <w:pStyle w:val="Heading2"/>
      </w:pPr>
      <w:r>
        <w:t xml:space="preserve">Three-to-five-year growth direction</w:t>
      </w:r>
    </w:p>
    <w:p>
      <w:pPr>
        <w:pStyle w:val="FirstParagraph"/>
      </w:pPr>
      <w:r>
        <w:t xml:space="preserve">The sequence is deliberate:</w:t>
      </w:r>
      <w:r>
        <w:t xml:space="preserve"> </w:t>
      </w:r>
      <w:r>
        <w:rPr>
          <w:bCs/>
          <w:b/>
        </w:rPr>
        <w:t xml:space="preserve">depth in the UAE before breadth anywhere else.</w:t>
      </w:r>
      <w:r>
        <w:t xml:space="preserve"> </w:t>
      </w:r>
      <w:r>
        <w:t xml:space="preserve">Years 1–2 (2027–2028): grow from 500 to ~1,200 paying UAE SMEs, ship the trust deliverables (published evals, Arabic) and the e-invoicing module, and prove the accountant channel. Years 3–5 (2029–2031): ~2,500+ UAE customers, accountant-firm licences as a second revenue stream, and — only once the UAE engine is profitable and repeatable — one GCC market entry. Milestones: monthly break-even (~150 paying, Q3 2027) → 1,000 paying (mid-2028) → accountant channel at 20% of new revenue (2028) → first international pilot (2029+). Team grows from 3 to ~8 by 2029 (Section 13); every growth step is conditional on the funding and unit economics of Sections 15–16, and none is guaranteed.</w:t>
      </w:r>
    </w:p>
    <w:bookmarkEnd w:id="205"/>
    <w:bookmarkStart w:id="206" w:name="Xfa59d9ab2f5586919a5478091121235386b41b9"/>
    <w:p>
      <w:pPr>
        <w:pStyle w:val="Heading2"/>
      </w:pPr>
      <w:r>
        <w:t xml:space="preserve">Adding new customer segments: the accountant channel first</w:t>
      </w:r>
    </w:p>
    <w:p>
      <w:pPr>
        <w:pStyle w:val="FirstParagraph"/>
      </w:pPr>
      <w:r>
        <w:t xml:space="preserve">The first expansion is not geographic but</w:t>
      </w:r>
      <w:r>
        <w:t xml:space="preserve"> </w:t>
      </w:r>
      <w:r>
        <w:rPr>
          <w:bCs/>
          <w:b/>
        </w:rPr>
        <w:t xml:space="preserve">vertical: small accounting and tax-agent practices</w:t>
      </w:r>
      <w:r>
        <w:t xml:space="preserve">. The problem is proven by market structure — 806 registered agents serve 651,000 CT registrants (FTA via Gulf News, Sept 2025) — and the product change is modest: multi-client workspaces, client-switching, white-label report exports on top of the existing Business tier. Revenue potential: firm licences priced above Business (to be set with pilot partners, deliberately unbudgeted in Section 15). Acquisition channel: the referral partners we already court in Section 11 — the segment sells itself the product it already recommends. This expansion strengthens rather than dilutes the core proposition, which is the test any new segment must pass.</w:t>
      </w:r>
    </w:p>
    <w:bookmarkEnd w:id="206"/>
    <w:bookmarkStart w:id="207" w:name="developing-new-ai-features"/>
    <w:p>
      <w:pPr>
        <w:pStyle w:val="Heading2"/>
      </w:pPr>
      <w:r>
        <w:t xml:space="preserve">Developing new AI features</w:t>
      </w:r>
    </w:p>
    <w:p>
      <w:pPr>
        <w:pStyle w:val="FirstParagraph"/>
      </w:pPr>
      <w:r>
        <w:t xml:space="preserve">Gated by the discipline in Section 3 (demand evidence, data availability, value, cost, risk): (1)</w:t>
      </w:r>
      <w:r>
        <w:t xml:space="preserve"> </w:t>
      </w:r>
      <w:r>
        <w:rPr>
          <w:bCs/>
          <w:b/>
        </w:rPr>
        <w:t xml:space="preserve">hybrid semantic retrieval + reranking</w:t>
      </w:r>
      <w:r>
        <w:t xml:space="preserve"> </w:t>
      </w:r>
      <w:r>
        <w:t xml:space="preserve">(v2 — direct accuracy gain, no new data needed); (2)</w:t>
      </w:r>
      <w:r>
        <w:t xml:space="preserve"> </w:t>
      </w:r>
      <w:r>
        <w:rPr>
          <w:bCs/>
          <w:b/>
        </w:rPr>
        <w:t xml:space="preserve">e-invoicing intelligence</w:t>
      </w:r>
      <w:r>
        <w:t xml:space="preserve"> </w:t>
      </w:r>
      <w:r>
        <w:t xml:space="preserve">— validation and explanation of e-invoice data under the mandate (demanded by the regulatory calendar itself); (3)</w:t>
      </w:r>
      <w:r>
        <w:t xml:space="preserve"> </w:t>
      </w:r>
      <w:r>
        <w:rPr>
          <w:bCs/>
          <w:b/>
        </w:rPr>
        <w:t xml:space="preserve">deadline and obligation tracking</w:t>
      </w:r>
      <w:r>
        <w:t xml:space="preserve"> </w:t>
      </w:r>
      <w:r>
        <w:t xml:space="preserve">per company profile (rules-based, low risk); (4) longer-term, consented aggregate insights (</w:t>
      </w:r>
      <w:r>
        <w:t xml:space="preserve">“</w:t>
      </w:r>
      <w:r>
        <w:t xml:space="preserve">what questions are SMEs like mine asking?</w:t>
      </w:r>
      <w:r>
        <w:t xml:space="preserve">”</w:t>
      </w:r>
      <w:r>
        <w:t xml:space="preserve">). Explicitly not planned: autonomous filing, tax-planning recommendations, or any feature that moves us from assistance to advice — growth never crosses the scope line that defines the brand (Section 14).</w:t>
      </w:r>
    </w:p>
    <w:bookmarkEnd w:id="207"/>
    <w:bookmarkStart w:id="208" w:name="Xb95b63fa93d515ec3424a0e124612b9a73d129b"/>
    <w:p>
      <w:pPr>
        <w:pStyle w:val="Heading2"/>
      </w:pPr>
      <w:r>
        <w:t xml:space="preserve">Multilingual services: Arabic as priority one</w:t>
      </w:r>
    </w:p>
    <w:p>
      <w:pPr>
        <w:pStyle w:val="FirstParagraph"/>
      </w:pPr>
      <w:r>
        <w:t xml:space="preserve">Arabic is the single most valuable localisation: it is an official-language market where compliance materials are bilingual and a large share of owners work Arabic-first. Quality bar: native-speaker QA of the corpus alignment and answers (contracted — Section 13’s honest gap), legal terminology verified against the official Arabic texts of the laws, and golden-set evaluation replicated in Arabic before launch. Machine translation alone is explicitly insufficient for legal content. Timing: funded within the pre-seed (Section 16), targeted H2 2027.</w:t>
      </w:r>
    </w:p>
    <w:bookmarkEnd w:id="208"/>
    <w:bookmarkStart w:id="209" w:name="Xd48105916f0764eda2fce6fa9000ee4d6839160"/>
    <w:p>
      <w:pPr>
        <w:pStyle w:val="Heading2"/>
      </w:pPr>
      <w:r>
        <w:t xml:space="preserve">Entering new markets (deferred, criteria-led)</w:t>
      </w:r>
    </w:p>
    <w:p>
      <w:pPr>
        <w:pStyle w:val="FirstParagraph"/>
      </w:pPr>
      <w:r>
        <w:t xml:space="preserve">International expansion happens only after UAE validation, selected by criteria rather than size: a VAT/CT-style regime with published law, English or Arabic legal texts, SME digitisation, and no requirement for locally licensed advice provision. GCC neighbours (e.g., Saudi Arabia, with its mature e-invoicing regime, or Bahrain) are natural candidates —</w:t>
      </w:r>
      <w:r>
        <w:t xml:space="preserve"> </w:t>
      </w:r>
      <w:r>
        <w:rPr>
          <w:bCs/>
          <w:b/>
        </w:rPr>
        <w:t xml:space="preserve">subject to dedicated market and regulatory research not yet performed</w:t>
      </w:r>
      <w:r>
        <w:t xml:space="preserve">; nothing here assumes the UAE product works unchanged (each market needs its own corpus, pricing and compliance review). Entry method: replicate the playbook — corpus first, accountant channel early, local advisor retained.</w:t>
      </w:r>
    </w:p>
    <w:bookmarkEnd w:id="209"/>
    <w:bookmarkStart w:id="210" w:name="X97694be3f9ae2d1ffbe0f7d5c29414c95f55f94"/>
    <w:p>
      <w:pPr>
        <w:pStyle w:val="Heading2"/>
      </w:pPr>
      <w:r>
        <w:t xml:space="preserve">Enterprise, API, marketplace and licensing options</w:t>
      </w:r>
    </w:p>
    <w:p>
      <w:pPr>
        <w:pStyle w:val="FirstParagraph"/>
      </w:pPr>
      <w:r>
        <w:t xml:space="preserve">Held as options, not plans: an</w:t>
      </w:r>
      <w:r>
        <w:t xml:space="preserve"> </w:t>
      </w:r>
      <w:r>
        <w:rPr>
          <w:bCs/>
          <w:b/>
        </w:rPr>
        <w:t xml:space="preserve">enterprise package</w:t>
      </w:r>
      <w:r>
        <w:t xml:space="preserve"> </w:t>
      </w:r>
      <w:r>
        <w:t xml:space="preserve">(SSO, admin controls, SLAs) only when compliance readiness and support capacity exist; a</w:t>
      </w:r>
      <w:r>
        <w:t xml:space="preserve"> </w:t>
      </w:r>
      <w:r>
        <w:rPr>
          <w:bCs/>
          <w:b/>
        </w:rPr>
        <w:t xml:space="preserve">partner API</w:t>
      </w:r>
      <w:r>
        <w:t xml:space="preserve"> </w:t>
      </w:r>
      <w:r>
        <w:t xml:space="preserve">exposing cited Q&amp;A to accounting platforms — attractive as the</w:t>
      </w:r>
      <w:r>
        <w:t xml:space="preserve"> </w:t>
      </w:r>
      <w:r>
        <w:t xml:space="preserve">“</w:t>
      </w:r>
      <w:r>
        <w:t xml:space="preserve">accuracy layer</w:t>
      </w:r>
      <w:r>
        <w:t xml:space="preserve">”</w:t>
      </w:r>
      <w:r>
        <w:t xml:space="preserve"> </w:t>
      </w:r>
      <w:r>
        <w:t xml:space="preserve">fallback of Section 6, priced per-call, built only against confirmed partner demand; white-label licensing under the same condition. A marketplace model is rejected — it fits neither the product nor the team. A native</w:t>
      </w:r>
      <w:r>
        <w:t xml:space="preserve"> </w:t>
      </w:r>
      <w:r>
        <w:rPr>
          <w:bCs/>
          <w:b/>
        </w:rPr>
        <w:t xml:space="preserve">mobile app</w:t>
      </w:r>
      <w:r>
        <w:t xml:space="preserve"> </w:t>
      </w:r>
      <w:r>
        <w:t xml:space="preserve">is revisited when usage data shows mobile demand the responsive site cannot serve; both app platforms at once is explicitly avoided.</w:t>
      </w:r>
    </w:p>
    <w:bookmarkEnd w:id="210"/>
    <w:bookmarkStart w:id="211" w:name="technology-scalability"/>
    <w:p>
      <w:pPr>
        <w:pStyle w:val="Heading2"/>
      </w:pPr>
      <w:r>
        <w:t xml:space="preserve">Technology scalability</w:t>
      </w:r>
    </w:p>
    <w:p>
      <w:pPr>
        <w:pStyle w:val="FirstParagraph"/>
      </w:pPr>
      <w:r>
        <w:t xml:space="preserve">The stack scales by design but we state the numbers rather than wave at the cloud: a stateless FastAPI layer scales horizontally; managed PostgreSQL handles our 3-year volumes comfortably; the real scaling variable is</w:t>
      </w:r>
      <w:r>
        <w:t xml:space="preserve"> </w:t>
      </w:r>
      <w:r>
        <w:rPr>
          <w:bCs/>
          <w:b/>
        </w:rPr>
        <w:t xml:space="preserve">LLM cost and latency</w:t>
      </w:r>
      <w:r>
        <w:t xml:space="preserve">, which grows linearly with usage — monitored per-answer, capped per-tier, and routable to cheaper models for retrieval steps. Load testing precedes each marketing push; at 2,500 customers, modelled infrastructure plus API cost stays under 7% of revenue (Section 15 cost lines). No</w:t>
      </w:r>
      <w:r>
        <w:t xml:space="preserve"> </w:t>
      </w:r>
      <w:r>
        <w:t xml:space="preserve">“</w:t>
      </w:r>
      <w:r>
        <w:t xml:space="preserve">cloud-therefore-scalable</w:t>
      </w:r>
      <w:r>
        <w:t xml:space="preserve">”</w:t>
      </w:r>
      <w:r>
        <w:t xml:space="preserve"> </w:t>
      </w:r>
      <w:r>
        <w:t xml:space="preserve">claims: the constraint is engineered, measured and priced.</w:t>
      </w:r>
    </w:p>
    <w:bookmarkEnd w:id="211"/>
    <w:bookmarkStart w:id="212" w:name="operational-and-team-scalability"/>
    <w:p>
      <w:pPr>
        <w:pStyle w:val="Heading2"/>
      </w:pPr>
      <w:r>
        <w:t xml:space="preserve">Operational and team scalability</w:t>
      </w:r>
    </w:p>
    <w:p>
      <w:pPr>
        <w:pStyle w:val="FirstParagraph"/>
      </w:pPr>
      <w:r>
        <w:t xml:space="preserve">Support scales by deflection first (better docs, in-product explanations), then by the H2 2027 part-time hire; QA scales because the golden set and sampling are already systematised (Section 12) — adding reviewers is additive, not architectural. Standard procedures exist from day one (runbooks for releases, incidents, complaints). Hiring stages follow Section 13’s table, each gated on revenue; founders delegate operations first (support, bookkeeping) and product judgment last. Manual processes that would break at 10× volume (founder-led onboarding of Business accounts) are flagged for automation in 2028 rather than discovered in failure.</w:t>
      </w:r>
    </w:p>
    <w:bookmarkEnd w:id="212"/>
    <w:bookmarkStart w:id="213" w:name="financial-scalability"/>
    <w:p>
      <w:pPr>
        <w:pStyle w:val="Heading2"/>
      </w:pPr>
      <w:r>
        <w:t xml:space="preserve">Financial scalability</w:t>
      </w:r>
    </w:p>
    <w:p>
      <w:pPr>
        <w:pStyle w:val="FirstParagraph"/>
      </w:pPr>
      <w:r>
        <w:t xml:space="preserve">The economics support scale honestly: ~94% contribution per customer, LTV ≈ AED 5,600 against CACs of AED 150 rising to AED 300–500 at scale (Sections 11, 15) — margins that fund growth from revenue in the base case. Cash requirements for the growth phase (hiring, marketing step-up) are covered by 2028 profitability in the base case or a seed round in the acceleration case (Section 16); working capital is minimal (card-billed SaaS, no receivables). The discipline that keeps scale from flattering us: rising AI costs are modelled, margins are not assumed to improve automatically, and every growth commitment above is reversible if the unit economics degrade.</w:t>
      </w:r>
    </w:p>
    <w:bookmarkEnd w:id="213"/>
    <w:bookmarkEnd w:id="214"/>
    <w:bookmarkStart w:id="219" w:name="section-19-implementation-roadmap"/>
    <w:p>
      <w:pPr>
        <w:pStyle w:val="Heading1"/>
      </w:pPr>
      <w:r>
        <w:t xml:space="preserve">Section 19: Implementation Roadmap</w:t>
      </w:r>
    </w:p>
    <w:bookmarkStart w:id="215" w:name="X18b8a8df7ab036723738ddc597e194f47e9f6f4"/>
    <w:p>
      <w:pPr>
        <w:pStyle w:val="Heading2"/>
      </w:pPr>
      <w:r>
        <w:t xml:space="preserve">Stages completed during the course (Feb–Jul 2026)</w:t>
      </w:r>
    </w:p>
    <w:p>
      <w:pPr>
        <w:pStyle w:val="FirstParagraph"/>
      </w:pPr>
      <w:r>
        <w:t xml:space="preserve">The six project stages were executed in sequence, each with owners and deliverables: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Period</w:t>
            </w:r>
          </w:p>
        </w:tc>
        <w:tc>
          <w:tcPr/>
          <w:p>
            <w:pPr>
              <w:pStyle w:val="Compact"/>
              <w:jc w:val="left"/>
            </w:pPr>
            <w:r>
              <w:t xml:space="preserve">Key activities and outputs</w:t>
            </w:r>
          </w:p>
        </w:tc>
        <w:tc>
          <w:tcPr/>
          <w:p>
            <w:pPr>
              <w:pStyle w:val="Compact"/>
              <w:jc w:val="left"/>
            </w:pPr>
            <w:r>
              <w:t xml:space="preserve">Lead</w:t>
            </w:r>
          </w:p>
        </w:tc>
      </w:tr>
      <w:tr>
        <w:tc>
          <w:tcPr/>
          <w:p>
            <w:pPr>
              <w:pStyle w:val="Compact"/>
              <w:jc w:val="left"/>
            </w:pPr>
            <w:r>
              <w:t xml:space="preserve">1. Problem identification &amp; customer research</w:t>
            </w:r>
          </w:p>
        </w:tc>
        <w:tc>
          <w:tcPr/>
          <w:p>
            <w:pPr>
              <w:pStyle w:val="Compact"/>
              <w:jc w:val="left"/>
            </w:pPr>
            <w:r>
              <w:t xml:space="preserve">Feb–Mar 2026</w:t>
            </w:r>
          </w:p>
        </w:tc>
        <w:tc>
          <w:tcPr/>
          <w:p>
            <w:pPr>
              <w:pStyle w:val="Compact"/>
              <w:jc w:val="left"/>
            </w:pPr>
            <w:r>
              <w:t xml:space="preserve">Problem hypothesis (compliance-knowledge gap); segment selection (&lt;AED 50M SMEs); secondary research (FTA statistics, penalty-waiver cohort); no primary interviews conducted in this phase</w:t>
            </w:r>
          </w:p>
        </w:tc>
        <w:tc>
          <w:tcPr/>
          <w:p>
            <w:pPr>
              <w:pStyle w:val="Compact"/>
              <w:jc w:val="left"/>
            </w:pPr>
            <w:r>
              <w:t xml:space="preserve">AA</w:t>
            </w:r>
          </w:p>
        </w:tc>
      </w:tr>
      <w:tr>
        <w:tc>
          <w:tcPr/>
          <w:p>
            <w:pPr>
              <w:pStyle w:val="Compact"/>
              <w:jc w:val="left"/>
            </w:pPr>
            <w:r>
              <w:t xml:space="preserve">2. Business model &amp; feature selection</w:t>
            </w:r>
          </w:p>
        </w:tc>
        <w:tc>
          <w:tcPr/>
          <w:p>
            <w:pPr>
              <w:pStyle w:val="Compact"/>
              <w:jc w:val="left"/>
            </w:pPr>
            <w:r>
              <w:t xml:space="preserve">Mar–Apr 2026</w:t>
            </w:r>
          </w:p>
        </w:tc>
        <w:tc>
          <w:tcPr/>
          <w:p>
            <w:pPr>
              <w:pStyle w:val="Compact"/>
              <w:jc w:val="left"/>
            </w:pPr>
            <w:r>
              <w:t xml:space="preserve">Value proposition; freemium SaaS decision; pricing hypothesis from competitor benchmarks; MVP feature cut (cited Q&amp;A, abstention, calculator, invoice extraction); Business Model Canvas</w:t>
            </w:r>
          </w:p>
        </w:tc>
        <w:tc>
          <w:tcPr/>
          <w:p>
            <w:pPr>
              <w:pStyle w:val="Compact"/>
              <w:jc w:val="left"/>
            </w:pPr>
            <w:r>
              <w:t xml:space="preserve">NM/AA</w:t>
            </w:r>
          </w:p>
        </w:tc>
      </w:tr>
      <w:tr>
        <w:tc>
          <w:tcPr/>
          <w:p>
            <w:pPr>
              <w:pStyle w:val="Compact"/>
              <w:jc w:val="left"/>
            </w:pPr>
            <w:r>
              <w:t xml:space="preserve">3. Prototype development</w:t>
            </w:r>
          </w:p>
        </w:tc>
        <w:tc>
          <w:tcPr/>
          <w:p>
            <w:pPr>
              <w:pStyle w:val="Compact"/>
              <w:jc w:val="left"/>
            </w:pPr>
            <w:r>
              <w:t xml:space="preserve">Apr–Jun 2026</w:t>
            </w:r>
          </w:p>
        </w:tc>
        <w:tc>
          <w:tcPr/>
          <w:p>
            <w:pPr>
              <w:pStyle w:val="Compact"/>
              <w:jc w:val="left"/>
            </w:pPr>
            <w:r>
              <w:t xml:space="preserve">Wireframes → working MVP (React/FastAPI, agentic loop, BM25 retrieval, vision extraction); privacy-by-minimalism decisions</w:t>
            </w:r>
          </w:p>
        </w:tc>
        <w:tc>
          <w:tcPr/>
          <w:p>
            <w:pPr>
              <w:pStyle w:val="Compact"/>
              <w:jc w:val="left"/>
            </w:pPr>
            <w:r>
              <w:t xml:space="preserve">NM/JP</w:t>
            </w:r>
          </w:p>
        </w:tc>
      </w:tr>
      <w:tr>
        <w:tc>
          <w:tcPr/>
          <w:p>
            <w:pPr>
              <w:pStyle w:val="Compact"/>
              <w:jc w:val="left"/>
            </w:pPr>
            <w:r>
              <w:t xml:space="preserve">4. User testing &amp; improvement</w:t>
            </w:r>
          </w:p>
        </w:tc>
        <w:tc>
          <w:tcPr/>
          <w:p>
            <w:pPr>
              <w:pStyle w:val="Compact"/>
              <w:jc w:val="left"/>
            </w:pPr>
            <w:r>
              <w:t xml:space="preserve">Jun–Jul 2026</w:t>
            </w:r>
          </w:p>
        </w:tc>
        <w:tc>
          <w:tcPr/>
          <w:p>
            <w:pPr>
              <w:pStyle w:val="Compact"/>
              <w:jc w:val="left"/>
            </w:pPr>
            <w:r>
              <w:t xml:space="preserve">[PLACEHOLDER: N] target-user tests; usability findings; changes implemented (Section 10)</w:t>
            </w:r>
          </w:p>
        </w:tc>
        <w:tc>
          <w:tcPr/>
          <w:p>
            <w:pPr>
              <w:pStyle w:val="Compact"/>
              <w:jc w:val="left"/>
            </w:pPr>
            <w:r>
              <w:t xml:space="preserve">AA</w:t>
            </w:r>
          </w:p>
        </w:tc>
      </w:tr>
      <w:tr>
        <w:tc>
          <w:tcPr/>
          <w:p>
            <w:pPr>
              <w:pStyle w:val="Compact"/>
              <w:jc w:val="left"/>
            </w:pPr>
            <w:r>
              <w:t xml:space="preserve">5. Marketing &amp; financial plan</w:t>
            </w:r>
          </w:p>
        </w:tc>
        <w:tc>
          <w:tcPr/>
          <w:p>
            <w:pPr>
              <w:pStyle w:val="Compact"/>
              <w:jc w:val="left"/>
            </w:pPr>
            <w:r>
              <w:t xml:space="preserve">Jul 2026</w:t>
            </w:r>
          </w:p>
        </w:tc>
        <w:tc>
          <w:tcPr/>
          <w:p>
            <w:pPr>
              <w:pStyle w:val="Compact"/>
              <w:jc w:val="left"/>
            </w:pPr>
            <w:r>
              <w:t xml:space="preserve">Channel plan, funnel targets, three-scenario financial model, break-even, AED 350k funding requirement</w:t>
            </w:r>
          </w:p>
        </w:tc>
        <w:tc>
          <w:tcPr/>
          <w:p>
            <w:pPr>
              <w:pStyle w:val="Compact"/>
              <w:jc w:val="left"/>
            </w:pPr>
            <w:r>
              <w:t xml:space="preserve">AA/NM</w:t>
            </w:r>
          </w:p>
        </w:tc>
      </w:tr>
      <w:tr>
        <w:tc>
          <w:tcPr/>
          <w:p>
            <w:pPr>
              <w:pStyle w:val="Compact"/>
              <w:jc w:val="left"/>
            </w:pPr>
            <w:r>
              <w:t xml:space="preserve">6. Final report &amp; presentation</w:t>
            </w:r>
          </w:p>
        </w:tc>
        <w:tc>
          <w:tcPr/>
          <w:p>
            <w:pPr>
              <w:pStyle w:val="Compact"/>
              <w:jc w:val="left"/>
            </w:pPr>
            <w:r>
              <w:t xml:space="preserve">Jul 2026</w:t>
            </w:r>
          </w:p>
        </w:tc>
        <w:tc>
          <w:tcPr/>
          <w:p>
            <w:pPr>
              <w:pStyle w:val="Compact"/>
              <w:jc w:val="left"/>
            </w:pPr>
            <w:r>
              <w:t xml:space="preserve">Consistency and source checks; rehearsed live demo; speaking roles allocated</w:t>
            </w:r>
          </w:p>
        </w:tc>
        <w:tc>
          <w:tcPr/>
          <w:p>
            <w:pPr>
              <w:pStyle w:val="Compact"/>
              <w:jc w:val="left"/>
            </w:pPr>
            <w:r>
              <w:t xml:space="preserve">All (NM accountable)</w:t>
            </w:r>
          </w:p>
        </w:tc>
      </w:tr>
    </w:tbl>
    <w:bookmarkEnd w:id="215"/>
    <w:bookmarkStart w:id="216" w:name="X20114955db6ef1e01415dbc963bc133ffa3adac"/>
    <w:p>
      <w:pPr>
        <w:pStyle w:val="Heading2"/>
      </w:pPr>
      <w:r>
        <w:t xml:space="preserve">Post-course roadmap: August 2026 – December 2027</w:t>
      </w:r>
    </w:p>
    <w:p>
      <w:pPr>
        <w:pStyle w:val="FirstParagraph"/>
      </w:pPr>
      <w:r>
        <w:t xml:space="preserve">Keyed to the regulatory calendar (MD 244/2025): e-invoicing voluntary phase from 1 Jul 2026; Phase-2 ASP appointment deadline 31 Mar 2027;</w:t>
      </w:r>
      <w:r>
        <w:t xml:space="preserve"> </w:t>
      </w:r>
      <w:r>
        <w:rPr>
          <w:bCs/>
          <w:b/>
        </w:rPr>
        <w:t xml:space="preserve">SME go-live 1 Jul 2027</w:t>
      </w:r>
      <w:r>
        <w:t xml:space="preserve">. Owners: NM (Nandita), JP, AA; every activity has one accountable owner and a dated deliverable.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Stage &amp; activities</w:t>
            </w:r>
          </w:p>
        </w:tc>
        <w:tc>
          <w:tcPr/>
          <w:p>
            <w:pPr>
              <w:pStyle w:val="Compact"/>
              <w:jc w:val="left"/>
            </w:pPr>
            <w:r>
              <w:t xml:space="preserve">Milestone (measurable)</w:t>
            </w:r>
          </w:p>
        </w:tc>
        <w:tc>
          <w:tcPr/>
          <w:p>
            <w:pPr>
              <w:pStyle w:val="Compact"/>
              <w:jc w:val="left"/>
            </w:pPr>
            <w:r>
              <w:t xml:space="preserve">Owner</w:t>
            </w:r>
          </w:p>
        </w:tc>
        <w:tc>
          <w:tcPr/>
          <w:p>
            <w:pPr>
              <w:pStyle w:val="Compact"/>
              <w:jc w:val="left"/>
            </w:pPr>
            <w:r>
              <w:t xml:space="preserve">Depends on</w:t>
            </w:r>
          </w:p>
        </w:tc>
      </w:tr>
      <w:tr>
        <w:tc>
          <w:tcPr/>
          <w:p>
            <w:pPr>
              <w:pStyle w:val="Compact"/>
              <w:jc w:val="left"/>
            </w:pPr>
            <w:r>
              <w:t xml:space="preserve">Aug–Sep 2026</w:t>
            </w:r>
          </w:p>
        </w:tc>
        <w:tc>
          <w:tcPr/>
          <w:p>
            <w:pPr>
              <w:pStyle w:val="Compact"/>
              <w:jc w:val="left"/>
            </w:pPr>
            <w:r>
              <w:rPr>
                <w:bCs/>
                <w:b/>
              </w:rPr>
              <w:t xml:space="preserve">Validation pilot</w:t>
            </w:r>
            <w:r>
              <w:t xml:space="preserve">: recruit 25 pilot companies (free, structured feedback); 20+ customer interviews; price test</w:t>
            </w:r>
          </w:p>
        </w:tc>
        <w:tc>
          <w:tcPr/>
          <w:p>
            <w:pPr>
              <w:pStyle w:val="Compact"/>
              <w:jc w:val="left"/>
            </w:pPr>
            <w:r>
              <w:t xml:space="preserve">Pilot cohort active; conversion &amp; willingness-to-pay data collected</w:t>
            </w:r>
          </w:p>
        </w:tc>
        <w:tc>
          <w:tcPr/>
          <w:p>
            <w:pPr>
              <w:pStyle w:val="Compact"/>
              <w:jc w:val="left"/>
            </w:pPr>
            <w:r>
              <w:t xml:space="preserve">AA</w:t>
            </w:r>
          </w:p>
        </w:tc>
        <w:tc>
          <w:tcPr/>
          <w:p>
            <w:pPr>
              <w:pStyle w:val="Compact"/>
              <w:jc w:val="left"/>
            </w:pPr>
            <w:r>
              <w:t xml:space="preserve">MVP (done)</w:t>
            </w:r>
          </w:p>
        </w:tc>
      </w:tr>
      <w:tr>
        <w:tc>
          <w:tcPr/>
          <w:p>
            <w:pPr>
              <w:pStyle w:val="Compact"/>
              <w:jc w:val="left"/>
            </w:pPr>
            <w:r>
              <w:t xml:space="preserve">Sep–Oct 2026</w:t>
            </w:r>
          </w:p>
        </w:tc>
        <w:tc>
          <w:tcPr/>
          <w:p>
            <w:pPr>
              <w:pStyle w:val="Compact"/>
              <w:jc w:val="left"/>
            </w:pPr>
            <w:r>
              <w:rPr>
                <w:bCs/>
                <w:b/>
              </w:rPr>
              <w:t xml:space="preserve">Trust infrastructure</w:t>
            </w:r>
            <w:r>
              <w:t xml:space="preserve">: build golden-set benchmark (100+ validated Q&amp;A pairs); engage tax advisor for validation</w:t>
            </w:r>
          </w:p>
        </w:tc>
        <w:tc>
          <w:tcPr/>
          <w:p>
            <w:pPr>
              <w:pStyle w:val="Compact"/>
              <w:jc w:val="left"/>
            </w:pPr>
            <w:r>
              <w:t xml:space="preserve">Golden set v1 passing agreed thresholds</w:t>
            </w:r>
          </w:p>
        </w:tc>
        <w:tc>
          <w:tcPr/>
          <w:p>
            <w:pPr>
              <w:pStyle w:val="Compact"/>
              <w:jc w:val="left"/>
            </w:pPr>
            <w:r>
              <w:t xml:space="preserve">NM</w:t>
            </w:r>
          </w:p>
        </w:tc>
        <w:tc>
          <w:tcPr/>
          <w:p>
            <w:pPr>
              <w:pStyle w:val="Compact"/>
              <w:jc w:val="left"/>
            </w:pPr>
            <w:r>
              <w:t xml:space="preserve">Advisor engaged</w:t>
            </w:r>
          </w:p>
        </w:tc>
      </w:tr>
      <w:tr>
        <w:tc>
          <w:tcPr/>
          <w:p>
            <w:pPr>
              <w:pStyle w:val="Compact"/>
              <w:jc w:val="left"/>
            </w:pPr>
            <w:r>
              <w:t xml:space="preserve">Oct–Nov 2026</w:t>
            </w:r>
          </w:p>
        </w:tc>
        <w:tc>
          <w:tcPr/>
          <w:p>
            <w:pPr>
              <w:pStyle w:val="Compact"/>
              <w:jc w:val="left"/>
            </w:pPr>
            <w:r>
              <w:rPr>
                <w:bCs/>
                <w:b/>
              </w:rPr>
              <w:t xml:space="preserve">Incorporation &amp; funding</w:t>
            </w:r>
            <w:r>
              <w:t xml:space="preserve">: trade licence; trademark search/filing for</w:t>
            </w:r>
            <w:r>
              <w:t xml:space="preserve"> </w:t>
            </w:r>
            <w:r>
              <w:t xml:space="preserve">“</w:t>
            </w:r>
            <w:r>
              <w:t xml:space="preserve">Mizan</w:t>
            </w:r>
            <w:r>
              <w:t xml:space="preserve">”</w:t>
            </w:r>
            <w:r>
              <w:t xml:space="preserve">; accelerator applications (in5, Hub71, DIFC FinTech Hive); angel conversations</w:t>
            </w:r>
          </w:p>
        </w:tc>
        <w:tc>
          <w:tcPr/>
          <w:p>
            <w:pPr>
              <w:pStyle w:val="Compact"/>
              <w:jc w:val="left"/>
            </w:pPr>
            <w:r>
              <w:t xml:space="preserve">Company incorporated; ≥2 accelerator applications submitted</w:t>
            </w:r>
          </w:p>
        </w:tc>
        <w:tc>
          <w:tcPr/>
          <w:p>
            <w:pPr>
              <w:pStyle w:val="Compact"/>
              <w:jc w:val="left"/>
            </w:pPr>
            <w:r>
              <w:t xml:space="preserve">AA (legal), NM (funding)</w:t>
            </w:r>
          </w:p>
        </w:tc>
        <w:tc>
          <w:tcPr/>
          <w:p>
            <w:pPr>
              <w:pStyle w:val="Compact"/>
              <w:jc w:val="left"/>
            </w:pPr>
            <w:r>
              <w:t xml:space="preserve">Pilot traction data</w:t>
            </w:r>
          </w:p>
        </w:tc>
      </w:tr>
      <w:tr>
        <w:tc>
          <w:tcPr/>
          <w:p>
            <w:pPr>
              <w:pStyle w:val="Compact"/>
              <w:jc w:val="left"/>
            </w:pPr>
            <w:r>
              <w:t xml:space="preserve">Nov–Dec 2026</w:t>
            </w:r>
          </w:p>
        </w:tc>
        <w:tc>
          <w:tcPr/>
          <w:p>
            <w:pPr>
              <w:pStyle w:val="Compact"/>
              <w:jc w:val="left"/>
            </w:pPr>
            <w:r>
              <w:rPr>
                <w:bCs/>
                <w:b/>
              </w:rPr>
              <w:t xml:space="preserve">Launch build</w:t>
            </w:r>
            <w:r>
              <w:t xml:space="preserve">: billing integration; terms &amp; privacy policy (legal drafting); pen-test; launch content library (10 SEO articles)</w:t>
            </w:r>
          </w:p>
        </w:tc>
        <w:tc>
          <w:tcPr/>
          <w:p>
            <w:pPr>
              <w:pStyle w:val="Compact"/>
              <w:jc w:val="left"/>
            </w:pPr>
            <w:r>
              <w:t xml:space="preserve">Launch-ready build passes golden-set gate + pen-test</w:t>
            </w:r>
          </w:p>
        </w:tc>
        <w:tc>
          <w:tcPr/>
          <w:p>
            <w:pPr>
              <w:pStyle w:val="Compact"/>
              <w:jc w:val="left"/>
            </w:pPr>
            <w:r>
              <w:t xml:space="preserve">JP</w:t>
            </w:r>
          </w:p>
        </w:tc>
        <w:tc>
          <w:tcPr/>
          <w:p>
            <w:pPr>
              <w:pStyle w:val="Compact"/>
              <w:jc w:val="left"/>
            </w:pPr>
            <w:r>
              <w:t xml:space="preserve">Golden set</w:t>
            </w:r>
          </w:p>
        </w:tc>
      </w:tr>
      <w:tr>
        <w:tc>
          <w:tcPr/>
          <w:p>
            <w:pPr>
              <w:pStyle w:val="Compact"/>
              <w:jc w:val="left"/>
            </w:pPr>
            <w:r>
              <w:rPr>
                <w:bCs/>
                <w:b/>
              </w:rPr>
              <w:t xml:space="preserve">Jan 2027</w:t>
            </w:r>
          </w:p>
        </w:tc>
        <w:tc>
          <w:tcPr/>
          <w:p>
            <w:pPr>
              <w:pStyle w:val="Compact"/>
              <w:jc w:val="left"/>
            </w:pPr>
            <w:r>
              <w:rPr>
                <w:bCs/>
                <w:b/>
              </w:rPr>
              <w:t xml:space="preserve">Commercial launch</w:t>
            </w:r>
            <w:r>
              <w:t xml:space="preserve"> </w:t>
            </w:r>
            <w:r>
              <w:t xml:space="preserve">(paid tiers live); pre-seed close targeted</w:t>
            </w:r>
          </w:p>
        </w:tc>
        <w:tc>
          <w:tcPr/>
          <w:p>
            <w:pPr>
              <w:pStyle w:val="Compact"/>
              <w:jc w:val="left"/>
            </w:pPr>
            <w:r>
              <w:t xml:space="preserve">First paying customer; AED 350k closed</w:t>
            </w:r>
          </w:p>
        </w:tc>
        <w:tc>
          <w:tcPr/>
          <w:p>
            <w:pPr>
              <w:pStyle w:val="Compact"/>
              <w:jc w:val="left"/>
            </w:pPr>
            <w:r>
              <w:t xml:space="preserve">NM</w:t>
            </w:r>
          </w:p>
        </w:tc>
        <w:tc>
          <w:tcPr/>
          <w:p>
            <w:pPr>
              <w:pStyle w:val="Compact"/>
              <w:jc w:val="left"/>
            </w:pPr>
            <w:r>
              <w:t xml:space="preserve">Incorporation, billing</w:t>
            </w:r>
          </w:p>
        </w:tc>
      </w:tr>
      <w:tr>
        <w:tc>
          <w:tcPr/>
          <w:p>
            <w:pPr>
              <w:pStyle w:val="Compact"/>
              <w:jc w:val="left"/>
            </w:pPr>
            <w:r>
              <w:t xml:space="preserve">Jan–Mar 2027</w:t>
            </w:r>
          </w:p>
        </w:tc>
        <w:tc>
          <w:tcPr/>
          <w:p>
            <w:pPr>
              <w:pStyle w:val="Compact"/>
              <w:jc w:val="left"/>
            </w:pPr>
            <w:r>
              <w:rPr>
                <w:bCs/>
                <w:b/>
              </w:rPr>
              <w:t xml:space="preserve">Growth cycle 1</w:t>
            </w:r>
            <w:r>
              <w:t xml:space="preserve">: funnel measurement vs Section 11 targets; accountant-partner outreach (first 10 partners);</w:t>
            </w:r>
            <w:r>
              <w:t xml:space="preserve"> </w:t>
            </w:r>
            <w:r>
              <w:rPr>
                <w:bCs/>
                <w:b/>
              </w:rPr>
              <w:t xml:space="preserve">ASP partner selection begins (ahead of 31 Mar 2027 Phase-2 ASP deadline)</w:t>
            </w:r>
          </w:p>
        </w:tc>
        <w:tc>
          <w:tcPr/>
          <w:p>
            <w:pPr>
              <w:pStyle w:val="Compact"/>
              <w:jc w:val="left"/>
            </w:pPr>
            <w:r>
              <w:t xml:space="preserve">60 paying (Q1 base case); 3 signed accountant partners; ASP shortlist</w:t>
            </w:r>
          </w:p>
        </w:tc>
        <w:tc>
          <w:tcPr/>
          <w:p>
            <w:pPr>
              <w:pStyle w:val="Compact"/>
              <w:jc w:val="left"/>
            </w:pPr>
            <w:r>
              <w:t xml:space="preserve">AA (growth), NM (ASP)</w:t>
            </w:r>
          </w:p>
        </w:tc>
        <w:tc>
          <w:tcPr/>
          <w:p>
            <w:pPr>
              <w:pStyle w:val="Compact"/>
              <w:jc w:val="left"/>
            </w:pPr>
            <w:r>
              <w:t xml:space="preserve">Launch</w:t>
            </w:r>
          </w:p>
        </w:tc>
      </w:tr>
      <w:tr>
        <w:tc>
          <w:tcPr/>
          <w:p>
            <w:pPr>
              <w:pStyle w:val="Compact"/>
              <w:jc w:val="left"/>
            </w:pPr>
            <w:r>
              <w:t xml:space="preserve">Apr–Jun 2027</w:t>
            </w:r>
          </w:p>
        </w:tc>
        <w:tc>
          <w:tcPr/>
          <w:p>
            <w:pPr>
              <w:pStyle w:val="Compact"/>
              <w:jc w:val="left"/>
            </w:pPr>
            <w:r>
              <w:rPr>
                <w:bCs/>
                <w:b/>
              </w:rPr>
              <w:t xml:space="preserve">v2 accuracy</w:t>
            </w:r>
            <w:r>
              <w:t xml:space="preserve">: hybrid retrieval + reranking; first</w:t>
            </w:r>
            <w:r>
              <w:t xml:space="preserve"> </w:t>
            </w:r>
            <w:r>
              <w:rPr>
                <w:bCs/>
                <w:b/>
              </w:rPr>
              <w:t xml:space="preserve">published</w:t>
            </w:r>
            <w:r>
              <w:t xml:space="preserve"> </w:t>
            </w:r>
            <w:r>
              <w:t xml:space="preserve">eval results; Arabic build starts (native-speaker QA contracted)</w:t>
            </w:r>
          </w:p>
        </w:tc>
        <w:tc>
          <w:tcPr/>
          <w:p>
            <w:pPr>
              <w:pStyle w:val="Compact"/>
              <w:jc w:val="left"/>
            </w:pPr>
            <w:r>
              <w:t xml:space="preserve">Evals public; retrieval upgrade passes regression; 150 paying → break-even ~month 7–8</w:t>
            </w:r>
          </w:p>
        </w:tc>
        <w:tc>
          <w:tcPr/>
          <w:p>
            <w:pPr>
              <w:pStyle w:val="Compact"/>
              <w:jc w:val="left"/>
            </w:pPr>
            <w:r>
              <w:t xml:space="preserve">NM</w:t>
            </w:r>
          </w:p>
        </w:tc>
        <w:tc>
          <w:tcPr/>
          <w:p>
            <w:pPr>
              <w:pStyle w:val="Compact"/>
              <w:jc w:val="left"/>
            </w:pPr>
            <w:r>
              <w:t xml:space="preserve">Golden set, funding</w:t>
            </w:r>
          </w:p>
        </w:tc>
      </w:tr>
      <w:tr>
        <w:tc>
          <w:tcPr/>
          <w:p>
            <w:pPr>
              <w:pStyle w:val="Compact"/>
              <w:jc w:val="left"/>
            </w:pPr>
            <w:r>
              <w:rPr>
                <w:bCs/>
                <w:b/>
              </w:rPr>
              <w:t xml:space="preserve">Jul 2027</w:t>
            </w:r>
          </w:p>
        </w:tc>
        <w:tc>
          <w:tcPr/>
          <w:p>
            <w:pPr>
              <w:pStyle w:val="Compact"/>
              <w:jc w:val="left"/>
            </w:pPr>
            <w:r>
              <w:rPr>
                <w:bCs/>
                <w:b/>
              </w:rPr>
              <w:t xml:space="preserve">E-invoicing SME mandate (1 Jul 2027)</w:t>
            </w:r>
            <w:r>
              <w:t xml:space="preserve">: e-invoicing readiness module launches (explainers, invoice-field validation, ASP referral)</w:t>
            </w:r>
          </w:p>
        </w:tc>
        <w:tc>
          <w:tcPr/>
          <w:p>
            <w:pPr>
              <w:pStyle w:val="Compact"/>
              <w:jc w:val="left"/>
            </w:pPr>
            <w:r>
              <w:t xml:space="preserve">Module live in mandate week; campaign executed</w:t>
            </w:r>
          </w:p>
        </w:tc>
        <w:tc>
          <w:tcPr/>
          <w:p>
            <w:pPr>
              <w:pStyle w:val="Compact"/>
              <w:jc w:val="left"/>
            </w:pPr>
            <w:r>
              <w:t xml:space="preserve">NM (product), AA (campaign)</w:t>
            </w:r>
          </w:p>
        </w:tc>
        <w:tc>
          <w:tcPr/>
          <w:p>
            <w:pPr>
              <w:pStyle w:val="Compact"/>
              <w:jc w:val="left"/>
            </w:pPr>
            <w:r>
              <w:t xml:space="preserve">ASP partnership</w:t>
            </w:r>
          </w:p>
        </w:tc>
      </w:tr>
      <w:tr>
        <w:tc>
          <w:tcPr/>
          <w:p>
            <w:pPr>
              <w:pStyle w:val="Compact"/>
              <w:jc w:val="left"/>
            </w:pPr>
            <w:r>
              <w:t xml:space="preserve">Jul–Sep 2027</w:t>
            </w:r>
          </w:p>
        </w:tc>
        <w:tc>
          <w:tcPr/>
          <w:p>
            <w:pPr>
              <w:pStyle w:val="Compact"/>
              <w:jc w:val="left"/>
            </w:pPr>
            <w:r>
              <w:rPr>
                <w:bCs/>
                <w:b/>
              </w:rPr>
              <w:t xml:space="preserve">Arabic launch</w:t>
            </w:r>
            <w:r>
              <w:t xml:space="preserve">; support hire (part-time, bilingual); Business-tier collaboration features</w:t>
            </w:r>
          </w:p>
        </w:tc>
        <w:tc>
          <w:tcPr/>
          <w:p>
            <w:pPr>
              <w:pStyle w:val="Compact"/>
              <w:jc w:val="left"/>
            </w:pPr>
            <w:r>
              <w:t xml:space="preserve">Arabic live with replicated evals; 300 paying (Q3 base)</w:t>
            </w:r>
          </w:p>
        </w:tc>
        <w:tc>
          <w:tcPr/>
          <w:p>
            <w:pPr>
              <w:pStyle w:val="Compact"/>
              <w:jc w:val="left"/>
            </w:pPr>
            <w:r>
              <w:t xml:space="preserve">NM/JP</w:t>
            </w:r>
          </w:p>
        </w:tc>
        <w:tc>
          <w:tcPr/>
          <w:p>
            <w:pPr>
              <w:pStyle w:val="Compact"/>
              <w:jc w:val="left"/>
            </w:pPr>
            <w:r>
              <w:t xml:space="preserve">Arabic QA</w:t>
            </w:r>
          </w:p>
        </w:tc>
      </w:tr>
      <w:tr>
        <w:tc>
          <w:tcPr/>
          <w:p>
            <w:pPr>
              <w:pStyle w:val="Compact"/>
              <w:jc w:val="left"/>
            </w:pPr>
            <w:r>
              <w:t xml:space="preserve">Oct–Dec 2027</w:t>
            </w:r>
          </w:p>
        </w:tc>
        <w:tc>
          <w:tcPr/>
          <w:p>
            <w:pPr>
              <w:pStyle w:val="Compact"/>
              <w:jc w:val="left"/>
            </w:pPr>
            <w:r>
              <w:rPr>
                <w:bCs/>
                <w:b/>
              </w:rPr>
              <w:t xml:space="preserve">Scale &amp; review</w:t>
            </w:r>
            <w:r>
              <w:t xml:space="preserve">: accountant-channel push; 2028 planning; seed-round go/no-go using actuals vs scenarios</w:t>
            </w:r>
          </w:p>
        </w:tc>
        <w:tc>
          <w:tcPr/>
          <w:p>
            <w:pPr>
              <w:pStyle w:val="Compact"/>
              <w:jc w:val="left"/>
            </w:pPr>
            <w:r>
              <w:rPr>
                <w:bCs/>
                <w:b/>
              </w:rPr>
              <w:t xml:space="preserve">500 paying (base case); ~AED 89k MRR</w:t>
            </w:r>
            <w:r>
              <w:t xml:space="preserve">; board-style year review</w:t>
            </w:r>
          </w:p>
        </w:tc>
        <w:tc>
          <w:tcPr/>
          <w:p>
            <w:pPr>
              <w:pStyle w:val="Compact"/>
              <w:jc w:val="left"/>
            </w:pPr>
            <w:r>
              <w:t xml:space="preserve">All (NM accountable)</w:t>
            </w:r>
          </w:p>
        </w:tc>
        <w:tc>
          <w:tcPr/>
          <w:p>
            <w:pPr>
              <w:pStyle w:val="Compact"/>
              <w:jc w:val="left"/>
            </w:pPr>
            <w:r>
              <w:t xml:space="preserve">Prior stages</w:t>
            </w:r>
          </w:p>
        </w:tc>
      </w:tr>
    </w:tbl>
    <w:bookmarkEnd w:id="216"/>
    <w:bookmarkStart w:id="217" w:name="Xe70d6637bfa5f73e80c6c1463ba4bb95add4380"/>
    <w:p>
      <w:pPr>
        <w:pStyle w:val="Heading2"/>
      </w:pPr>
      <w:r>
        <w:t xml:space="preserve">Milestone summary (completion conditions, not dates alone)</w:t>
      </w:r>
    </w:p>
    <w:p>
      <w:pPr>
        <w:numPr>
          <w:ilvl w:val="0"/>
          <w:numId w:val="1023"/>
        </w:numPr>
        <w:pStyle w:val="Compact"/>
      </w:pPr>
      <w:r>
        <w:t xml:space="preserve">Problem validated — pilot cohort demonstrates repeat use and ≥ [PLACEHOLDER: target]% stated willingness to pay (Sep 2026).</w:t>
      </w:r>
    </w:p>
    <w:p>
      <w:pPr>
        <w:numPr>
          <w:ilvl w:val="0"/>
          <w:numId w:val="1023"/>
        </w:numPr>
        <w:pStyle w:val="Compact"/>
      </w:pPr>
      <w:r>
        <w:t xml:space="preserve">Golden-set benchmark operational with advisor-validated answers (Oct 2026).</w:t>
      </w:r>
    </w:p>
    <w:p>
      <w:pPr>
        <w:numPr>
          <w:ilvl w:val="0"/>
          <w:numId w:val="1023"/>
        </w:numPr>
        <w:pStyle w:val="Compact"/>
      </w:pPr>
      <w:r>
        <w:t xml:space="preserve">Company incorporated and launch-ready build gated through evals and pen-test (Dec 2026).</w:t>
      </w:r>
    </w:p>
    <w:p>
      <w:pPr>
        <w:numPr>
          <w:ilvl w:val="0"/>
          <w:numId w:val="1023"/>
        </w:numPr>
        <w:pStyle w:val="Compact"/>
      </w:pPr>
      <w:r>
        <w:t xml:space="preserve">Commercial launch with billing live and pre-seed closed (Jan 2027).</w:t>
      </w:r>
    </w:p>
    <w:p>
      <w:pPr>
        <w:numPr>
          <w:ilvl w:val="0"/>
          <w:numId w:val="1023"/>
        </w:numPr>
        <w:pStyle w:val="Compact"/>
      </w:pPr>
      <w:r>
        <w:t xml:space="preserve">Monthly break-even at ~150 paying customers (target month 7–8, 2027).</w:t>
      </w:r>
    </w:p>
    <w:p>
      <w:pPr>
        <w:numPr>
          <w:ilvl w:val="0"/>
          <w:numId w:val="1023"/>
        </w:numPr>
        <w:pStyle w:val="Compact"/>
      </w:pPr>
      <w:r>
        <w:t xml:space="preserve">E-invoicing module live for the 1 Jul 2027 SME mandate.</w:t>
      </w:r>
    </w:p>
    <w:p>
      <w:pPr>
        <w:numPr>
          <w:ilvl w:val="0"/>
          <w:numId w:val="1023"/>
        </w:numPr>
        <w:pStyle w:val="Compact"/>
      </w:pPr>
      <w:r>
        <w:t xml:space="preserve">500 paying customers and Arabic live (Dec 2027).</w:t>
      </w:r>
    </w:p>
    <w:bookmarkEnd w:id="217"/>
    <w:bookmarkStart w:id="218" w:name="responsibilities-and-realism"/>
    <w:p>
      <w:pPr>
        <w:pStyle w:val="Heading2"/>
      </w:pPr>
      <w:r>
        <w:t xml:space="preserve">Responsibilities and realism</w:t>
      </w:r>
    </w:p>
    <w:p>
      <w:pPr>
        <w:pStyle w:val="FirstParagraph"/>
      </w:pPr>
      <w:r>
        <w:t xml:space="preserve">Each major task above has one accountable owner consistent with the contribution table (Section 13) and the operating cadences (Section 12); supporting members are named per task in our internal tracker. The schedule is deliberately conservative about parallelism: no quarter asks the 3-person team to deliver more than one major build plus routine operations, and dependencies are explicit (no launch before billing and the eval gate; no e-invoicing module before an ASP partner). Slippage protocol: scope is cut before dates slip on regulatory-keyed items (the 1 Jul 2027 mandate does not move for us), and the risk-register contingencies (Section 17) define what is dropped first.</w:t>
      </w:r>
    </w:p>
    <w:bookmarkEnd w:id="218"/>
    <w:bookmarkEnd w:id="219"/>
    <w:bookmarkStart w:id="224" w:name="X449e21d413101e9aea4917c8fd71941035af54e"/>
    <w:p>
      <w:pPr>
        <w:pStyle w:val="Heading1"/>
      </w:pPr>
      <w:r>
        <w:t xml:space="preserve">Section 20: Final Recommendation and Conclusion</w:t>
      </w:r>
    </w:p>
    <w:bookmarkStart w:id="220" w:name="synthesis-of-the-evidence"/>
    <w:p>
      <w:pPr>
        <w:pStyle w:val="Heading2"/>
      </w:pPr>
      <w:r>
        <w:t xml:space="preserve">Synthesis of the evidence</w:t>
      </w:r>
    </w:p>
    <w:p>
      <w:pPr>
        <w:pStyle w:val="FirstParagraph"/>
      </w:pPr>
      <w:r>
        <w:t xml:space="preserve">The customer evidence: a large, newly obligated population — 651,000 Corporate Tax registrants served by 806 tax agents — with a documented failure cohort of ~91,000 penalty-waiver firms (Sections 2, 4). The market evidence: a verified pricing white space of AED 150–500/month between software incumbents and human advisers, a confirmed capability gap (no incumbent offers cited legal Q&amp;A), and a legislated demand catalyst in the 1 July 2027 SME e-invoicing mandate (Sections 5, 6). The technical evidence: a working MVP that already cites, calculates deterministically and abstains — a design the Stanford hallucination findings show is necessary, not optional (Sections 3, 9, 10). The financial evidence: ~94% contribution per customer, monthly break-even at ~145–150 paying customers, a base case of 500 paying companies and ~AED 1.07M annualised revenue exiting 2027, and a modest AED 350k funding need that survives the conservative scenario (Sections 15, 16). The risks: incumbent bolt-on, a trust incident, and unproven conversion — each with controls in place, none eliminated (Section 17).</w:t>
      </w:r>
    </w:p>
    <w:bookmarkEnd w:id="220"/>
    <w:bookmarkStart w:id="221" w:name="Xf3bb28f6ae24b14340d52991b069e6cce26262a"/>
    <w:p>
      <w:pPr>
        <w:pStyle w:val="Heading2"/>
      </w:pPr>
      <w:r>
        <w:t xml:space="preserve">Is the venture commercially viable? Is demand sufficient? Is the AI real?</w:t>
      </w:r>
    </w:p>
    <w:p>
      <w:pPr>
        <w:pStyle w:val="FirstParagraph"/>
      </w:pPr>
      <w:r>
        <w:t xml:space="preserve">Viable, conditionally: the revenue model matches recurring customer behaviour, margins and break-even arithmetic work at small scale, and cash requirements are covered by the funding plan. Demand is evidenced at market level (registrations, penalties, competitor traction, what SMEs already pay accountants) but</w:t>
      </w:r>
      <w:r>
        <w:t xml:space="preserve"> </w:t>
      </w:r>
      <w:r>
        <w:rPr>
          <w:bCs/>
          <w:b/>
        </w:rPr>
        <w:t xml:space="preserve">not yet proven at product level</w:t>
      </w:r>
      <w:r>
        <w:t xml:space="preserve"> </w:t>
      </w:r>
      <w:r>
        <w:t xml:space="preserve">— willingness to pay and the 4% conversion assumption remain hypotheses. The AI feature is valuable and realistic: it is built, demoed, grounded in available public legal data, costed at dirhams per user, and wrapped in human review — with no claim of perfect accuracy anywhere in this plan.</w:t>
      </w:r>
    </w:p>
    <w:bookmarkEnd w:id="221"/>
    <w:bookmarkStart w:id="222" w:name="recommendation-launch-a-limited-pilot"/>
    <w:p>
      <w:pPr>
        <w:pStyle w:val="Heading2"/>
      </w:pPr>
      <w:r>
        <w:t xml:space="preserve">Recommendation: launch a limited pilot</w:t>
      </w:r>
    </w:p>
    <w:p>
      <w:pPr>
        <w:pStyle w:val="FirstParagraph"/>
      </w:pPr>
      <w:r>
        <w:t xml:space="preserve">Our single, clear recommendation is to</w:t>
      </w:r>
      <w:r>
        <w:t xml:space="preserve"> </w:t>
      </w:r>
      <w:r>
        <w:rPr>
          <w:bCs/>
          <w:b/>
        </w:rPr>
        <w:t xml:space="preserve">launch a limited pilot — not a full commercial launch — in August–September 2026</w:t>
      </w:r>
      <w:r>
        <w:t xml:space="preserve">: 25 target-segment companies, free access, structured feedback, and an explicit price test. The recommendation holds under these conditions: the golden-set benchmark meets its thresholds before any paid launch; pilot data shows conversion intent consistent with at least the conservative scenario; and the pre-seed (or the reduced fallback raise) closes by January 2027. If pilot conversion falls materially below 2.5%, the plan is to revise the channel and proposition and retest — not to spend into a market that has not said yes.</w:t>
      </w:r>
    </w:p>
    <w:bookmarkEnd w:id="222"/>
    <w:bookmarkStart w:id="223" w:name="next-step"/>
    <w:p>
      <w:pPr>
        <w:pStyle w:val="Heading2"/>
      </w:pPr>
      <w:r>
        <w:t xml:space="preserve">Next step</w:t>
      </w:r>
    </w:p>
    <w:p>
      <w:pPr>
        <w:pStyle w:val="FirstParagraph"/>
      </w:pPr>
      <w:r>
        <w:t xml:space="preserve">One specific action:</w:t>
      </w:r>
      <w:r>
        <w:t xml:space="preserve"> </w:t>
      </w:r>
      <w:r>
        <w:rPr>
          <w:bCs/>
          <w:b/>
        </w:rPr>
        <w:t xml:space="preserve">AA recruits and onboards the 25-company pilot cohort, and completes 20 additional customer interviews, by 30 September 2026</w:t>
      </w:r>
      <w:r>
        <w:t xml:space="preserve">, using the existing MVP and a AED 2,000 budget from founder funds. Expected result: validated willingness-to-pay and conversion data that either confirms the January 2027 commercial launch or triggers the revise-and-retest path. Every figure supporting this conclusion appears in the body of this report; no new facts, assumptions or numbers have been introduced here.</w:t>
      </w:r>
    </w:p>
    <w:bookmarkEnd w:id="223"/>
    <w:bookmarkEnd w:id="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2026-07-28T11:11:24Z</dcterms:created>
  <dcterms:modified xsi:type="dcterms:W3CDTF">2026-07-28T11:11:24Z</dcterms:modified>
</cp:coreProperties>
</file>

<file path=docProps/custom.xml><?xml version="1.0" encoding="utf-8"?>
<Properties xmlns="http://schemas.openxmlformats.org/officeDocument/2006/custom-properties" xmlns:vt="http://schemas.openxmlformats.org/officeDocument/2006/docPropsVTypes"/>
</file>