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3810"/>
                <wp:wrapSquare wrapText="bothSides"/>
                <wp:docPr id="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highlight w:val="none"/>
                                <w:u w:val="single"/>
                              </w:rPr>
                              <w:t>18004</w:t>
                            </w:r>
                            <w:r>
                              <w:rPr>
                                <w:rFonts w:hint="eastAsia"/>
                                <w:highlight w:val="none"/>
                                <w:u w:val="single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highlight w:val="none"/>
                                <w:u w:val="single"/>
                              </w:rPr>
                              <w:t>00</w:t>
                            </w:r>
                            <w:r>
                              <w:rPr>
                                <w:rFonts w:hint="eastAsia"/>
                                <w:highlight w:val="none"/>
                                <w:u w:val="single"/>
                                <w:lang w:val="en-US" w:eastAsia="zh-CN"/>
                              </w:rPr>
                              <w:t xml:space="preserve">80  </w:t>
                            </w:r>
                            <w:r>
                              <w:rPr>
                                <w:rFonts w:hint="eastAsia"/>
                                <w:highlight w:val="none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x/oi1QAAAAkBAAAPAAAAAAAAAAEAIAAAACIAAABkcnMv&#10;ZG93bnJldi54bWxQSwECFAAUAAAACACHTuJAuZRQQc0BAACGAwAADgAAAAAAAAABACAAAAAk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highlight w:val="none"/>
                          <w:u w:val="single"/>
                        </w:rPr>
                        <w:t>18004</w:t>
                      </w:r>
                      <w:r>
                        <w:rPr>
                          <w:rFonts w:hint="eastAsia"/>
                          <w:highlight w:val="none"/>
                          <w:u w:val="single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highlight w:val="none"/>
                          <w:u w:val="single"/>
                        </w:rPr>
                        <w:t>00</w:t>
                      </w:r>
                      <w:r>
                        <w:rPr>
                          <w:rFonts w:hint="eastAsia"/>
                          <w:highlight w:val="none"/>
                          <w:u w:val="single"/>
                          <w:lang w:val="en-US" w:eastAsia="zh-CN"/>
                        </w:rPr>
                        <w:t xml:space="preserve">80  </w:t>
                      </w:r>
                      <w:r>
                        <w:rPr>
                          <w:rFonts w:hint="eastAsia"/>
                          <w:highlight w:val="none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8"/>
        <w:tblpPr w:leftFromText="180" w:rightFromText="180" w:vertAnchor="text" w:horzAnchor="margin" w:tblpXSpec="right" w:tblpY="-1091"/>
        <w:tblW w:w="0" w:type="auto"/>
        <w:tblInd w:w="-2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486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486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825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486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</w:tr>
    </w:tbl>
    <w:p>
      <w:pPr>
        <w:rPr>
          <w:rFonts w:hint="eastAsia" w:ascii="宋体"/>
          <w:b/>
          <w:sz w:val="44"/>
        </w:rPr>
      </w:pPr>
    </w:p>
    <w:p>
      <w:pPr>
        <w:jc w:val="center"/>
        <w:rPr>
          <w:rFonts w:hint="eastAsia"/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rFonts w:hint="eastAsia"/>
          <w:b/>
          <w:sz w:val="28"/>
        </w:rPr>
      </w:pPr>
    </w:p>
    <w:p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u w:val="single"/>
        </w:rPr>
        <w:t xml:space="preserve">大学物理实验（一）         </w:t>
      </w:r>
    </w:p>
    <w:p>
      <w:pPr>
        <w:spacing w:line="900" w:lineRule="auto"/>
        <w:ind w:firstLine="1079" w:firstLineChars="384"/>
        <w:jc w:val="left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光敏电阻特性研究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王光辉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          </w:t>
      </w:r>
    </w:p>
    <w:p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王培鸿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17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2022152021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致原楼212B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2023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13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日 </w:t>
      </w:r>
    </w:p>
    <w:p>
      <w:pPr>
        <w:spacing w:line="900" w:lineRule="auto"/>
        <w:ind w:left="899" w:firstLine="180" w:firstLineChars="64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2023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20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</w:rPr>
        <w:t>日</w:t>
      </w:r>
    </w:p>
    <w:p>
      <w:pPr>
        <w:rPr>
          <w:rFonts w:hint="eastAsia"/>
          <w:b/>
          <w:sz w:val="28"/>
          <w:szCs w:val="28"/>
          <w:u w:val="single"/>
        </w:rPr>
      </w:pPr>
    </w:p>
    <w:p>
      <w:pPr>
        <w:rPr>
          <w:rFonts w:hint="eastAsia"/>
          <w:b/>
          <w:sz w:val="28"/>
          <w:szCs w:val="28"/>
          <w:u w:val="single"/>
        </w:rPr>
      </w:pPr>
    </w:p>
    <w:tbl>
      <w:tblPr>
        <w:tblStyle w:val="7"/>
        <w:tblW w:w="9960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960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一、实验目的</w:t>
            </w:r>
          </w:p>
          <w:p>
            <w:pPr>
              <w:spacing w:line="300" w:lineRule="auto"/>
              <w:ind w:left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1.测量光敏电阻的伏安特性；</w:t>
            </w:r>
          </w:p>
          <w:p>
            <w:pPr>
              <w:spacing w:line="300" w:lineRule="auto"/>
              <w:ind w:left="42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2.测量光敏电阻的光照特性。</w:t>
            </w:r>
          </w:p>
          <w:p>
            <w:pPr>
              <w:spacing w:line="300" w:lineRule="auto"/>
              <w:ind w:left="42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8" w:hRule="atLeast"/>
        </w:trPr>
        <w:tc>
          <w:tcPr>
            <w:tcW w:w="9960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实验原理</w:t>
            </w:r>
          </w:p>
          <w:p>
            <w:pPr>
              <w:numPr>
                <w:ilvl w:val="0"/>
                <w:numId w:val="0"/>
              </w:numPr>
              <w:ind w:left="316" w:lef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1.光敏电阻电阻下降的特性及原因：</w:t>
            </w:r>
          </w:p>
          <w:p>
            <w:pPr>
              <w:numPr>
                <w:ilvl w:val="0"/>
                <w:numId w:val="0"/>
              </w:numPr>
              <w:ind w:left="316" w:lef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特性：光敏电阻又称光导管，在特定波长的光照射下，其阻值会迅速减小。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光敏电阻电路符号如图1所示，光敏电阻光敏特性如图2所示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b w:val="0"/>
                <w:bCs w:val="0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2186305</wp:posOffset>
                      </wp:positionH>
                      <wp:positionV relativeFrom="paragraph">
                        <wp:posOffset>63500</wp:posOffset>
                      </wp:positionV>
                      <wp:extent cx="1385570" cy="572770"/>
                      <wp:effectExtent l="0" t="6985" r="1270" b="14605"/>
                      <wp:wrapNone/>
                      <wp:docPr id="25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5887" cy="573087"/>
                                <a:chOff x="2325" y="2933"/>
                                <a:chExt cx="873" cy="361"/>
                              </a:xfrm>
                            </wpg:grpSpPr>
                            <wps:wsp>
                              <wps:cNvPr id="26" name="Freeform 18"/>
                              <wps:cNvSpPr/>
                              <wps:spPr bwMode="auto">
                                <a:xfrm>
                                  <a:off x="2634" y="2933"/>
                                  <a:ext cx="129" cy="227"/>
                                </a:xfrm>
                                <a:custGeom>
                                  <a:avLst/>
                                  <a:gdLst>
                                    <a:gd name="T0" fmla="*/ 0 w 129"/>
                                    <a:gd name="T1" fmla="*/ 0 h 227"/>
                                    <a:gd name="T2" fmla="*/ 129 w 129"/>
                                    <a:gd name="T3" fmla="*/ 227 h 2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29" h="227">
                                      <a:moveTo>
                                        <a:pt x="0" y="0"/>
                                      </a:moveTo>
                                      <a:lnTo>
                                        <a:pt x="129" y="227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 cmpd="sng">
                                  <a:solidFill>
                                    <a:srgbClr val="292929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7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5" y="3258"/>
                                  <a:ext cx="87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292929"/>
                                  </a:solidFill>
                                  <a:rou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89" y="3204"/>
                                  <a:ext cx="295" cy="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28575">
                                  <a:solidFill>
                                    <a:srgbClr val="292929"/>
                                  </a:solidFill>
                                  <a:miter lim="800000"/>
                                </a:ln>
                                <a:effectLst/>
                              </wps:spPr>
                              <wps:bodyPr wrap="none" anchor="ctr"/>
                            </wps:wsp>
                            <wps:wsp>
                              <wps:cNvPr id="29" name="Freeform 20"/>
                              <wps:cNvSpPr/>
                              <wps:spPr bwMode="auto">
                                <a:xfrm>
                                  <a:off x="2560" y="2959"/>
                                  <a:ext cx="129" cy="227"/>
                                </a:xfrm>
                                <a:custGeom>
                                  <a:avLst/>
                                  <a:gdLst>
                                    <a:gd name="T0" fmla="*/ 0 w 129"/>
                                    <a:gd name="T1" fmla="*/ 0 h 227"/>
                                    <a:gd name="T2" fmla="*/ 129 w 129"/>
                                    <a:gd name="T3" fmla="*/ 227 h 2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29" h="227">
                                      <a:moveTo>
                                        <a:pt x="0" y="0"/>
                                      </a:moveTo>
                                      <a:lnTo>
                                        <a:pt x="129" y="227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 cmpd="sng">
                                  <a:solidFill>
                                    <a:srgbClr val="292929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" o:spid="_x0000_s1026" o:spt="203" style="position:absolute;left:0pt;margin-left:172.15pt;margin-top:5pt;height:45.1pt;width:109.1pt;z-index:251660288;mso-width-relative:page;mso-height-relative:page;" coordorigin="2325,2933" coordsize="873,361" o:gfxdata="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csbqXdkAAAAKAQAADwAAAAAAAAAB&#10;ACAAAAAiAAAAZHJzL2Rvd25yZXYueG1sUEsBAhQAFAAAAAgAh07iQNIAlLkQBAAAkA4AAA4AAAAA&#10;AAAAAQAgAAAAKAEAAGRycy9lMm9Eb2MueG1sUEsFBgAAAAAGAAYAWQEAAKoHAAAAAA==&#10;">
                      <o:lock v:ext="edit" aspectratio="f"/>
                      <v:shape id="Freeform 18" o:spid="_x0000_s1026" o:spt="100" style="position:absolute;left:2634;top:2933;height:227;width:129;" filled="f" stroked="t" coordsize="129,227" o:gfxdata="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qSUO/&#10;AAAA2wAAAA8AAAAAAAAAAQAgAAAAIgAAAGRycy9kb3ducmV2LnhtbFBLAQIUABQAAAAIAIdO4kAz&#10;LwWeOwAAADkAAAAQAAAAAAAAAAEAIAAAAA4BAABkcnMvc2hhcGV4bWwueG1sUEsFBgAAAAAGAAYA&#10;WwEAALgDAAAAAA==&#10;" path="m0,0l129,227e">
                        <v:path o:connectlocs="0,0;129,227" o:connectangles="0,0"/>
                        <v:fill on="f" focussize="0,0"/>
                        <v:stroke weight="2.25pt" color="#292929" joinstyle="round" endarrow="block"/>
                        <v:imagedata o:title=""/>
                        <o:lock v:ext="edit" aspectratio="f"/>
                      </v:shape>
                      <v:line id="Line 19" o:spid="_x0000_s1026" o:spt="20" style="position:absolute;left:2325;top:3258;height:0;width:873;" filled="f" stroked="t" coordsize="21600,21600" o:gfxdata="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4MIP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2.25pt" color="#292929" joinstyle="round"/>
                        <v:imagedata o:title=""/>
                        <o:lock v:ext="edit" aspectratio="f"/>
                      </v:line>
                      <v:rect id="Rectangle 16" o:spid="_x0000_s1026" o:spt="1" style="position:absolute;left:2589;top:3204;height:90;width:295;mso-wrap-style:none;v-text-anchor:middle;" fillcolor="#FFFFFF [3212]" filled="t" stroked="t" coordsize="21600,21600" o:gfxdata="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6yRb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2.25pt" color="#292929" miterlimit="8" joinstyle="miter"/>
                        <v:imagedata o:title=""/>
                        <o:lock v:ext="edit" aspectratio="f"/>
                      </v:rect>
                      <v:shape id="Freeform 20" o:spid="_x0000_s1026" o:spt="100" style="position:absolute;left:2560;top:2959;height:227;width:129;" filled="f" stroked="t" coordsize="129,227" o:gfxdata="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Nd0x&#10;wAAAANsAAAAPAAAAAAAAAAEAIAAAACIAAABkcnMvZG93bnJldi54bWxQSwECFAAUAAAACACHTuJA&#10;My8FnjsAAAA5AAAAEAAAAAAAAAABACAAAAAPAQAAZHJzL3NoYXBleG1sLnhtbFBLBQYAAAAABgAG&#10;AFsBAAC5AwAAAAA=&#10;" path="m0,0l129,227e">
                        <v:path o:connectlocs="0,0;129,227" o:connectangles="0,0"/>
                        <v:fill on="f" focussize="0,0"/>
                        <v:stroke weight="2.25pt" color="#292929" joinstyle="round" endarrow="block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316" w:leftChars="0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</w:t>
            </w:r>
          </w:p>
          <w:p>
            <w:pPr>
              <w:numPr>
                <w:ilvl w:val="0"/>
                <w:numId w:val="0"/>
              </w:numPr>
              <w:ind w:left="316" w:leftChars="0"/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316" w:leftChars="0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                             图1 光敏电阻</w:t>
            </w:r>
          </w:p>
          <w:p>
            <w:pPr>
              <w:numPr>
                <w:ilvl w:val="0"/>
                <w:numId w:val="0"/>
              </w:numPr>
              <w:ind w:left="316" w:leftChars="0"/>
            </w:pPr>
            <w:r>
              <w:rPr>
                <w:rFonts w:hint="eastAsia"/>
                <w:lang w:val="en-US" w:eastAsia="zh-CN"/>
              </w:rPr>
              <w:t xml:space="preserve">                </w:t>
            </w:r>
            <w:r>
              <w:drawing>
                <wp:inline distT="0" distB="0" distL="114300" distR="114300">
                  <wp:extent cx="3096260" cy="1525270"/>
                  <wp:effectExtent l="0" t="0" r="12700" b="13970"/>
                  <wp:docPr id="2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260" cy="152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="316" w:leftChars="0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图2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光敏电阻光敏特性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原因：光照后产生的载流子都参与导电，从而使光敏电阻的阻值迅速下降（百兆欧到百欧）。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光敏电阻其它特性参数：</w:t>
            </w:r>
          </w:p>
          <w:p>
            <w:pPr>
              <w:widowControl w:val="0"/>
              <w:numPr>
                <w:ilvl w:val="0"/>
                <w:numId w:val="2"/>
              </w:numPr>
              <w:ind w:left="0" w:leftChars="0" w:firstLine="420" w:firstLineChars="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暗电流、暗电阻：在一定的电压下，没有光照的时，流过的电流称为暗电流。外加电压与暗电流之比称为暗电阻。</w:t>
            </w:r>
          </w:p>
          <w:p>
            <w:pPr>
              <w:widowControl w:val="0"/>
              <w:numPr>
                <w:ilvl w:val="0"/>
                <w:numId w:val="0"/>
              </w:numPr>
              <w:ind w:left="420" w:leftChars="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2)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灵敏度：灵敏度是指暗电阻与受光照射时的亮电阻的相对变化值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  <w:p>
            <w:pPr>
              <w:widowControl w:val="0"/>
              <w:numPr>
                <w:ilvl w:val="0"/>
                <w:numId w:val="0"/>
              </w:numPr>
              <w:ind w:left="420" w:left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3)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光谱响应：是指光敏电阻在不同波长的光照下的灵敏度。多数在540nm附近出现峰值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  <w:p>
            <w:pPr>
              <w:widowControl w:val="0"/>
              <w:numPr>
                <w:ilvl w:val="0"/>
                <w:numId w:val="0"/>
              </w:numPr>
              <w:ind w:left="420" w:left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4)温度系数：光电效应受温度影响较大，部分光敏电阻在低温下的光电灵敏较高，而在高温下的灵敏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度则较低。</w:t>
            </w:r>
          </w:p>
          <w:p>
            <w:pPr>
              <w:widowControl w:val="0"/>
              <w:numPr>
                <w:ilvl w:val="0"/>
                <w:numId w:val="3"/>
              </w:numPr>
              <w:ind w:left="420" w:leftChars="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额定功率： 50~100mW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="420" w:left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3.马吕斯定律：</w:t>
            </w:r>
          </w:p>
          <w:p>
            <w:pPr>
              <w:widowControl w:val="0"/>
              <w:numPr>
                <w:ilvl w:val="0"/>
                <w:numId w:val="4"/>
              </w:numPr>
              <w:ind w:left="0" w:leftChars="0" w:firstLine="420" w:firstLine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原理：光是电磁波，电磁波是横波，横波具有一个纵波没有的特性—偏振。横波和纵波在偏振方面的区别，如图三所示。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drawing>
                <wp:inline distT="0" distB="0" distL="114300" distR="114300">
                  <wp:extent cx="4722495" cy="1177290"/>
                  <wp:effectExtent l="0" t="0" r="1905" b="11430"/>
                  <wp:docPr id="31" name="图片 3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49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图3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横波和纵波在偏振方面的区别示意图</w:t>
            </w:r>
          </w:p>
          <w:p>
            <w:pPr>
              <w:widowControl w:val="0"/>
              <w:numPr>
                <w:ilvl w:val="0"/>
                <w:numId w:val="4"/>
              </w:numPr>
              <w:ind w:left="0" w:leftChars="0" w:firstLine="420" w:firstLine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偏振光与非偏振光：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自然光：在与光传播方向垂直的平面内，光矢量沿各个方向的平均值相等。普通光源发光的是自然光。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偏振光：自然光经过反射、吸收、折射后，可能会只保留某一方向的光振动或振动在某一方向较强，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即偏振光。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完全偏振光（平面偏振光，线偏振光）：振动只在某一方向上。自然光经过偏振片后，变成完全偏振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光——起偏。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偏振光与非偏振光的区别如图4所示。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2865120" cy="1799590"/>
                  <wp:effectExtent l="0" t="0" r="0" b="13970"/>
                  <wp:docPr id="32" name="图片 32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    图4 偏振光与非偏振光的区别</w:t>
            </w:r>
          </w:p>
          <w:p>
            <w:pPr>
              <w:widowControl w:val="0"/>
              <w:numPr>
                <w:ilvl w:val="0"/>
                <w:numId w:val="4"/>
              </w:numPr>
              <w:ind w:left="0" w:leftChars="0" w:firstLine="420" w:firstLine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马吕斯定律内容：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611370" cy="1084580"/>
                  <wp:effectExtent l="0" t="0" r="6350" b="12700"/>
                  <wp:docPr id="33" name="图片 33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70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    图5  马吕斯定律推导示意图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因为                      </w:t>
            </w:r>
            <w:r>
              <w:rPr>
                <w:rFonts w:hint="eastAsia" w:ascii="宋体" w:hAnsi="宋体" w:cs="宋体"/>
                <w:b w:val="0"/>
                <w:bCs w:val="0"/>
                <w:position w:val="-6"/>
                <w:sz w:val="21"/>
                <w:szCs w:val="21"/>
                <w:lang w:val="en-US" w:eastAsia="zh-CN"/>
              </w:rPr>
              <w:object>
                <v:shape id="_x0000_i1025" o:spt="75" type="#_x0000_t75" style="height:13.95pt;width:59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              (1)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所以    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</w:t>
            </w:r>
            <w:r>
              <w:object>
                <v:shape id="_x0000_i1026" o:spt="75" type="#_x0000_t75" style="height:20.7pt;width:68.8pt;" o:ole="t" filled="f" o:preferrelative="t" stroked="f" coordsize="21600,21600">
                  <v:path/>
                  <v:fill on="f" focussize="0,0"/>
                  <v:stroke on="f" weight="3pt"/>
                  <v:imagedata r:id="rId13" o:title=""/>
                  <o:lock v:ext="edit" aspectratio="f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                             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(2)</w:t>
            </w: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960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实验仪器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>
            <w:pPr>
              <w:numPr>
                <w:ilvl w:val="0"/>
                <w:numId w:val="0"/>
              </w:numPr>
              <w:ind w:leftChars="2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直流电源，光源，凸透镜，光敏电阻，偏振片，电压表，电流表。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实验仪器组装示意图，如图6所示。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3963035" cy="1320800"/>
                  <wp:effectExtent l="0" t="0" r="14605" b="5080"/>
                  <wp:docPr id="34" name="图片 34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03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     图6 实验仪器组装示意图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7" w:hRule="atLeast"/>
        </w:trPr>
        <w:tc>
          <w:tcPr>
            <w:tcW w:w="9960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四、实验内容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与步骤</w:t>
            </w:r>
          </w:p>
          <w:p>
            <w:pPr>
              <w:numPr>
                <w:ilvl w:val="0"/>
                <w:numId w:val="5"/>
              </w:numPr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线路连接、光路调整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：</w:t>
            </w:r>
          </w:p>
          <w:p>
            <w:pPr>
              <w:numPr>
                <w:ilvl w:val="0"/>
                <w:numId w:val="0"/>
              </w:numPr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1）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连接光源与电源，调整光源方向沿光具座方向，打开电源开关，点亮光源；</w:t>
            </w:r>
          </w:p>
          <w:p>
            <w:pPr>
              <w:numPr>
                <w:ilvl w:val="0"/>
                <w:numId w:val="0"/>
              </w:numPr>
              <w:ind w:leftChars="0" w:firstLine="421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2）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以光源光束为参考，在光源后轮换放置和调节各个透镜、偏振片、光敏电阻等的高度和横向位置与光源相同，使得它们近似共轴；</w:t>
            </w:r>
          </w:p>
          <w:p>
            <w:pPr>
              <w:numPr>
                <w:ilvl w:val="0"/>
                <w:numId w:val="0"/>
              </w:numPr>
              <w:ind w:leftChars="0" w:firstLine="421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3）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光源后放置第一个透镜，调整距离，使其输出平行光；</w:t>
            </w:r>
          </w:p>
          <w:p>
            <w:pPr>
              <w:numPr>
                <w:ilvl w:val="0"/>
                <w:numId w:val="0"/>
              </w:numPr>
              <w:ind w:leftChars="0" w:firstLine="421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4）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紧靠第一个透镜放入偏振器，并将偏振器夹角置为零——透过偏振片的光强最大；</w:t>
            </w:r>
          </w:p>
          <w:p>
            <w:pPr>
              <w:numPr>
                <w:ilvl w:val="0"/>
                <w:numId w:val="0"/>
              </w:numPr>
              <w:ind w:leftChars="0" w:firstLine="421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5）</w:t>
            </w: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偏振器后放置第二个透镜和光敏电阻探头，并将光束聚焦在光敏电阻感光面中央；</w:t>
            </w:r>
          </w:p>
          <w:p>
            <w:pPr>
              <w:ind w:firstLine="421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6）光敏电阻连接直流电源，并串联电流表；</w:t>
            </w:r>
          </w:p>
          <w:p>
            <w:pPr>
              <w:ind w:firstLine="421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7）</w:t>
            </w: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调节光敏电阻电压（尽量高些），然后，细调光敏电阻位置，使得光电流最大——即细调步骤5；</w:t>
            </w: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8）调整第一个透镜的位置，使光功率显示值最大——即细调步骤3。</w:t>
            </w: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（实验仪器组装示意图如图6所示，实验电路如图7所示）</w:t>
            </w:r>
          </w:p>
          <w:p>
            <w:pPr>
              <w:ind w:firstLine="420"/>
            </w:pPr>
            <w:r>
              <w:rPr>
                <w:rFonts w:hint="eastAsia"/>
                <w:lang w:val="en-US" w:eastAsia="zh-CN"/>
              </w:rPr>
              <w:t xml:space="preserve">                   </w:t>
            </w:r>
            <w:r>
              <w:drawing>
                <wp:inline distT="0" distB="0" distL="114300" distR="114300">
                  <wp:extent cx="3032125" cy="1493520"/>
                  <wp:effectExtent l="0" t="0" r="635" b="0"/>
                  <wp:docPr id="35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25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图7  光敏电阻特性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实验电路</w:t>
            </w:r>
          </w:p>
          <w:p>
            <w:pPr>
              <w:ind w:firstLine="42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光敏电阻伏安特性测量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：</w:t>
            </w:r>
          </w:p>
          <w:p>
            <w:pPr>
              <w:numPr>
                <w:ilvl w:val="0"/>
                <w:numId w:val="6"/>
              </w:numPr>
              <w:ind w:leftChars="2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将偏振器夹角调为零，使入射光强最强，调节施加到光敏电阻上的电压，测量电压与相应的电流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，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将测量结果依次记录在表1中；</w:t>
            </w:r>
          </w:p>
          <w:p>
            <w:pPr>
              <w:numPr>
                <w:ilvl w:val="0"/>
                <w:numId w:val="6"/>
              </w:numPr>
              <w:ind w:leftChars="2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分别调整偏振器夹角为10度、20度、30度、45度、60度，改变入射光光强，重复步骤1）。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     表1 光敏电阻伏安特性测量记录表</w:t>
            </w:r>
          </w:p>
          <w:tbl>
            <w:tblPr>
              <w:tblStyle w:val="7"/>
              <w:tblpPr w:leftFromText="180" w:rightFromText="180" w:vertAnchor="text" w:horzAnchor="page" w:tblpX="1949" w:tblpY="12"/>
              <w:tblOverlap w:val="never"/>
              <w:tblW w:w="603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5"/>
              <w:gridCol w:w="843"/>
              <w:gridCol w:w="972"/>
              <w:gridCol w:w="972"/>
              <w:gridCol w:w="972"/>
              <w:gridCol w:w="97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电压V/V</w:t>
                  </w:r>
                </w:p>
              </w:tc>
              <w:tc>
                <w:tcPr>
                  <w:tcW w:w="84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电流I/A</w:t>
                  </w:r>
                </w:p>
              </w:tc>
              <w:tc>
                <w:tcPr>
                  <w:tcW w:w="84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夹角α/度</w:t>
                  </w:r>
                </w:p>
              </w:tc>
              <w:tc>
                <w:tcPr>
                  <w:tcW w:w="84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0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0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7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1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9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9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85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9" w:hRule="atLeast"/>
              </w:trPr>
              <w:tc>
                <w:tcPr>
                  <w:tcW w:w="130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90</w:t>
                  </w:r>
                </w:p>
              </w:tc>
              <w:tc>
                <w:tcPr>
                  <w:tcW w:w="84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</w:tbl>
          <w:p>
            <w:pPr>
              <w:numPr>
                <w:ilvl w:val="0"/>
                <w:numId w:val="0"/>
              </w:numP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5"/>
              </w:numPr>
              <w:ind w:left="0" w:leftChars="0" w:firstLine="40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光敏电阻光照特性测量：</w:t>
            </w:r>
          </w:p>
          <w:p>
            <w:pPr>
              <w:numPr>
                <w:ilvl w:val="0"/>
                <w:numId w:val="7"/>
              </w:numPr>
              <w:ind w:firstLine="421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保持施加到光敏电阻上的电压不变，旋转偏振器夹角，每间隔大约10度，改变入射光光强，测量相应的光电流，并记录旋转角度、施加电压与相应的电流；将测量结果记录在表2。 </w:t>
            </w:r>
          </w:p>
          <w:p>
            <w:pPr>
              <w:numPr>
                <w:ilvl w:val="0"/>
                <w:numId w:val="7"/>
              </w:numPr>
              <w:ind w:firstLine="421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改变光敏电阻电压，重复步骤1）。</w:t>
            </w:r>
          </w:p>
          <w:p>
            <w:pPr>
              <w:rPr>
                <w:rFonts w:hint="default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表2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光敏电阻光照特性测量记录表</w:t>
            </w:r>
          </w:p>
          <w:tbl>
            <w:tblPr>
              <w:tblStyle w:val="7"/>
              <w:tblpPr w:leftFromText="180" w:rightFromText="180" w:vertAnchor="text" w:horzAnchor="page" w:tblpX="543" w:tblpY="256"/>
              <w:tblOverlap w:val="never"/>
              <w:tblW w:w="890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15"/>
              <w:gridCol w:w="930"/>
              <w:gridCol w:w="910"/>
              <w:gridCol w:w="1000"/>
              <w:gridCol w:w="940"/>
              <w:gridCol w:w="953"/>
              <w:gridCol w:w="953"/>
              <w:gridCol w:w="953"/>
              <w:gridCol w:w="95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夹角α/度</w:t>
                  </w: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光强</w:t>
                  </w:r>
                </w:p>
              </w:tc>
              <w:tc>
                <w:tcPr>
                  <w:tcW w:w="930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5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电流I/A</w:t>
                  </w:r>
                </w:p>
              </w:tc>
              <w:tc>
                <w:tcPr>
                  <w:tcW w:w="93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left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6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电压V/V</w:t>
                  </w:r>
                </w:p>
              </w:tc>
              <w:tc>
                <w:tcPr>
                  <w:tcW w:w="93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vMerge w:val="continue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9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0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4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7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9" w:hRule="atLeast"/>
              </w:trPr>
              <w:tc>
                <w:tcPr>
                  <w:tcW w:w="1315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0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</w:tbl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5" w:hRule="atLeast"/>
        </w:trPr>
        <w:tc>
          <w:tcPr>
            <w:tcW w:w="9960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eastAsia="zh-CN"/>
              </w:rPr>
              <w:t>五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、数据处理</w:t>
            </w:r>
          </w:p>
          <w:p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（注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:需从原始数据记录表整理数据到此栏，再进行数据处理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</w:p>
          <w:p>
            <w:pP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</w:p>
          <w:p>
            <w:pPr>
              <w:numPr>
                <w:ilvl w:val="0"/>
                <w:numId w:val="8"/>
              </w:numPr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数据处理：</w:t>
            </w:r>
          </w:p>
          <w:p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原始记录表格的数据如表3所示。</w:t>
            </w:r>
          </w:p>
          <w:p>
            <w:pPr>
              <w:numPr>
                <w:ilvl w:val="0"/>
                <w:numId w:val="0"/>
              </w:numPr>
              <w:ind w:firstLine="2940" w:firstLineChars="14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表3光敏电阻伏安特性测量记录表</w:t>
            </w:r>
          </w:p>
          <w:tbl>
            <w:tblPr>
              <w:tblStyle w:val="7"/>
              <w:tblpPr w:leftFromText="180" w:rightFromText="180" w:vertAnchor="text" w:horzAnchor="page" w:tblpX="1229" w:tblpY="133"/>
              <w:tblOverlap w:val="never"/>
              <w:tblW w:w="720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0"/>
              <w:gridCol w:w="1037"/>
              <w:gridCol w:w="957"/>
              <w:gridCol w:w="972"/>
              <w:gridCol w:w="972"/>
              <w:gridCol w:w="972"/>
              <w:gridCol w:w="97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电压V/V</w:t>
                  </w:r>
                </w:p>
              </w:tc>
              <w:tc>
                <w:tcPr>
                  <w:tcW w:w="1037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</w:t>
                  </w:r>
                </w:p>
              </w:tc>
              <w:tc>
                <w:tcPr>
                  <w:tcW w:w="957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1.5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2.5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电流I/A</w:t>
                  </w:r>
                </w:p>
              </w:tc>
              <w:tc>
                <w:tcPr>
                  <w:tcW w:w="103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6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夹角α/度</w:t>
                  </w:r>
                </w:p>
              </w:tc>
              <w:tc>
                <w:tcPr>
                  <w:tcW w:w="103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57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0.189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0.379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0.57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0.761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0.952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1.145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0.185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0.372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0.559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0.748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0.936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1.13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0.157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0.314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0.473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0.63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0.79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0.951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0.106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0.213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0.321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0.43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0.539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0.647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0.046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0.141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0.189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0.238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0.287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0.025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0.051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0.078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0.105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0.135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0.164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85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0.017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0.037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0.056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0.074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0.112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3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90</w:t>
                  </w:r>
                </w:p>
              </w:tc>
              <w:tc>
                <w:tcPr>
                  <w:tcW w:w="10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0.015</w:t>
                  </w:r>
                </w:p>
              </w:tc>
              <w:tc>
                <w:tcPr>
                  <w:tcW w:w="95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0.046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0.062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0.077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0.093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ind w:firstLine="2940" w:firstLineChars="14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2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由夹角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为0度的电流和电压值，拟合直线得如图8所示的拟合直线</w:t>
            </w:r>
          </w:p>
          <w:p>
            <w:pPr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         </w:t>
            </w:r>
            <w:r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725545" cy="2169795"/>
                  <wp:effectExtent l="0" t="0" r="8255" b="9525"/>
                  <wp:docPr id="1" name="图片 1" descr="0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000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545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              图8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由图8可得：拟合直线的斜率为      k=0.3823（保留四位有效数字）</w:t>
            </w:r>
          </w:p>
          <w:p>
            <w:pPr>
              <w:ind w:firstLine="42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又因为                         </w:t>
            </w:r>
            <w:r>
              <w:rPr>
                <w:rFonts w:hint="eastAsia"/>
                <w:position w:val="-24"/>
                <w:sz w:val="21"/>
                <w:lang w:val="en-US" w:eastAsia="zh-CN"/>
              </w:rPr>
              <w:object>
                <v:shape id="_x0000_i1027" o:spt="75" type="#_x0000_t75" style="height:31pt;width:57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7">
                  <o:LockedField>false</o:LockedField>
                </o:OLEObject>
              </w:object>
            </w:r>
            <w:r>
              <w:rPr>
                <w:rFonts w:hint="eastAsia"/>
                <w:sz w:val="21"/>
                <w:lang w:val="en-US" w:eastAsia="zh-CN"/>
              </w:rPr>
              <w:t xml:space="preserve">                              （3）</w:t>
            </w:r>
          </w:p>
          <w:p>
            <w:pPr>
              <w:ind w:firstLine="420"/>
              <w:rPr>
                <w:rFonts w:hint="default"/>
                <w:sz w:val="21"/>
                <w:lang w:val="en-US" w:eastAsia="zh-CN"/>
              </w:rPr>
            </w:pPr>
          </w:p>
          <w:p>
            <w:pPr>
              <w:ind w:firstLine="42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所以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光敏电阻的阻值为       </w:t>
            </w:r>
            <w:r>
              <w:rPr>
                <w:rFonts w:hint="eastAsia"/>
                <w:position w:val="-6"/>
                <w:sz w:val="21"/>
                <w:lang w:val="en-US" w:eastAsia="zh-CN"/>
              </w:rPr>
              <w:object>
                <v:shape id="_x0000_i1028" o:spt="75" type="#_x0000_t75" style="height:13.95pt;width:67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9">
                  <o:LockedField>false</o:LockedField>
                </o:OLEObject>
              </w:object>
            </w:r>
          </w:p>
          <w:p>
            <w:pPr>
              <w:ind w:firstLine="42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rPr>
                <w:rFonts w:hint="eastAsia"/>
                <w:sz w:val="21"/>
                <w:lang w:val="en-US" w:eastAsia="zh-CN"/>
              </w:rPr>
            </w:pPr>
          </w:p>
          <w:p>
            <w:pPr>
              <w:ind w:firstLine="42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同理，其他夹角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的电压和电流处理方法同上，可得如图9、10、11、12、13、14、15所示的对应夹角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为10度、30度、50度、70度、80度、85度、90度的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光敏电阻伏安特性拟合直线，按如上的处理方法得出相应拟合直线的斜率和光敏电阻的阻值。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</w:t>
            </w: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659505" cy="2493010"/>
                  <wp:effectExtent l="0" t="0" r="13335" b="6350"/>
                  <wp:docPr id="5" name="图片 5" descr="1010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010101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505" cy="249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图9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为10度的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</w:t>
            </w: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692525" cy="2461260"/>
                  <wp:effectExtent l="0" t="0" r="10795" b="7620"/>
                  <wp:docPr id="6" name="图片 6" descr="303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30303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4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310" w:firstLineChars="11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图10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为30度的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ind w:firstLine="2310" w:firstLineChars="11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 </w:t>
            </w: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528695" cy="2203450"/>
                  <wp:effectExtent l="0" t="0" r="6985" b="6350"/>
                  <wp:docPr id="8" name="图片 8" descr="5050505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505050505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695" cy="22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     图11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为50度的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 </w:t>
            </w: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343910" cy="2146935"/>
                  <wp:effectExtent l="0" t="0" r="8890" b="1905"/>
                  <wp:docPr id="7" name="图片 7" descr="7070707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707070707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214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     图12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为70度的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ind w:firstLine="42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</w:t>
            </w: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357880" cy="2277745"/>
                  <wp:effectExtent l="0" t="0" r="10160" b="8255"/>
                  <wp:docPr id="4" name="图片 4" descr="80808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8080808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88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100" w:firstLineChars="10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图13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为80度的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ind w:firstLine="2100" w:firstLineChars="10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100" w:firstLineChars="10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100" w:firstLineChars="100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336290" cy="2270760"/>
                  <wp:effectExtent l="0" t="0" r="1270" b="0"/>
                  <wp:docPr id="3" name="图片 3" descr="85858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8585858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29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50" w:firstLineChars="5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图14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为85度的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ind w:firstLine="1050" w:firstLineChars="5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1050" w:firstLineChars="5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100" w:firstLineChars="100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drawing>
                <wp:inline distT="0" distB="0" distL="114300" distR="114300">
                  <wp:extent cx="3579495" cy="1823085"/>
                  <wp:effectExtent l="0" t="0" r="1905" b="5715"/>
                  <wp:docPr id="9" name="图片 9" descr="90909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9090909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95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520" w:firstLineChars="1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图15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为90度的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光敏电阻伏安特性拟合直线</w:t>
            </w:r>
          </w:p>
          <w:p>
            <w:pPr>
              <w:ind w:firstLine="2520" w:firstLineChars="1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520" w:firstLineChars="1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520" w:firstLineChars="12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520" w:firstLineChars="12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由图8~15所示的拟合直线的斜率，可得光敏电阻的阻值，如表4所示。</w:t>
            </w:r>
          </w:p>
          <w:p>
            <w:pP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2310" w:firstLineChars="1100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表4 光敏电阻伏安特性特性曲线斜率与电阻</w:t>
            </w:r>
          </w:p>
          <w:tbl>
            <w:tblPr>
              <w:tblStyle w:val="7"/>
              <w:tblpPr w:leftFromText="180" w:rightFromText="180" w:vertAnchor="text" w:horzAnchor="page" w:tblpX="2624" w:tblpY="131"/>
              <w:tblOverlap w:val="never"/>
              <w:tblW w:w="3798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14"/>
              <w:gridCol w:w="1176"/>
              <w:gridCol w:w="1408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6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夹角α/度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斜率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电阻/1000</w:t>
                  </w:r>
                  <w:r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  <w:shd w:val="clear" w:fill="FFFFFF"/>
                    </w:rPr>
                    <w:t>Ω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0.3822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2.6157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0.3775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2.649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0.3174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3.1506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0.2167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4.6147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0.0965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10.3627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0.0557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17.9533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85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0.0378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 xml:space="preserve">26.4550 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2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90</w:t>
                  </w:r>
                </w:p>
              </w:tc>
              <w:tc>
                <w:tcPr>
                  <w:tcW w:w="117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0.0311</w:t>
                  </w:r>
                </w:p>
              </w:tc>
              <w:tc>
                <w:tcPr>
                  <w:tcW w:w="140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32.1543</w:t>
                  </w:r>
                </w:p>
              </w:tc>
            </w:tr>
          </w:tbl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ind w:firstLine="42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default"/>
                <w:sz w:val="21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 xml:space="preserve">     </w:t>
            </w: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    </w:t>
            </w:r>
          </w:p>
          <w:p>
            <w:pPr>
              <w:ind w:firstLine="420" w:firstLineChars="20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由公式（2）得：相对光强为            </w:t>
            </w:r>
            <w:r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os²</w:t>
            </w:r>
            <w:r>
              <w:rPr>
                <w:rFonts w:hint="default" w:ascii="Arial" w:hAnsi="Arial" w:eastAsia="宋体" w:cs="Arial"/>
                <w:b w:val="0"/>
                <w:bCs/>
                <w:sz w:val="21"/>
                <w:szCs w:val="21"/>
                <w:lang w:val="en-US" w:eastAsia="zh-CN"/>
              </w:rPr>
              <w:t>α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=</w:t>
            </w:r>
            <w:r>
              <w:rPr>
                <w:rFonts w:hint="eastAsia"/>
                <w:position w:val="-24"/>
                <w:sz w:val="21"/>
                <w:lang w:val="en-US" w:eastAsia="zh-CN"/>
              </w:rPr>
              <w:object>
                <v:shape id="_x0000_i1029" o:spt="75" type="#_x0000_t75" style="height:31pt;width:13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28">
                  <o:LockedField>false</o:LockedField>
                </o:OLEObject>
              </w:object>
            </w:r>
          </w:p>
          <w:p>
            <w:pPr>
              <w:ind w:firstLine="420" w:firstLineChars="20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ind w:firstLine="420" w:firstLineChars="200"/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当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为0度时，         </w:t>
            </w:r>
            <w:r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os²</w:t>
            </w:r>
            <w:r>
              <w:rPr>
                <w:rFonts w:hint="default" w:ascii="Arial" w:hAnsi="Arial" w:eastAsia="宋体" w:cs="Arial"/>
                <w:b w:val="0"/>
                <w:bCs/>
                <w:sz w:val="21"/>
                <w:szCs w:val="21"/>
                <w:lang w:val="en-US" w:eastAsia="zh-CN"/>
              </w:rPr>
              <w:t>α</w:t>
            </w:r>
            <w:r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  <w:t>=1.000；</w:t>
            </w:r>
          </w:p>
          <w:p>
            <w:pPr>
              <w:ind w:firstLine="420" w:firstLineChars="200"/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</w:pPr>
          </w:p>
          <w:p>
            <w:pPr>
              <w:ind w:firstLine="420" w:firstLineChars="20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  <w:t>其他夹角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的相对光强计算同上所示</w:t>
            </w:r>
          </w:p>
          <w:p>
            <w:pPr>
              <w:ind w:firstLine="420" w:firstLineChars="20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numPr>
                <w:ilvl w:val="0"/>
                <w:numId w:val="9"/>
              </w:numPr>
              <w:ind w:left="420" w:leftChars="0" w:hanging="420" w:firstLineChars="0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由表4 可得如图16的光敏电阻光照特性曲线</w:t>
            </w:r>
          </w:p>
          <w:p>
            <w:pPr>
              <w:ind w:firstLine="420" w:firstLineChars="200"/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                 </w: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3234055" cy="2150745"/>
                  <wp:effectExtent l="0" t="0" r="12065" b="13335"/>
                  <wp:docPr id="11" name="图片 11" descr="guangzh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guangzha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055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360" w:firstLineChars="1600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 xml:space="preserve"> 图16光敏电阻光照特性曲线</w:t>
            </w:r>
          </w:p>
          <w:p>
            <w:pPr>
              <w:ind w:firstLine="3360" w:firstLineChars="1600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11"/>
              </w:numPr>
              <w:ind w:left="0" w:leftChars="0" w:firstLine="0" w:firstLineChars="0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规律：随着夹角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的增大，相对光强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I/I</w:t>
            </w:r>
            <w:r>
              <w:rPr>
                <w:rFonts w:hint="eastAsia" w:ascii="宋体" w:hAnsi="宋体" w:cs="宋体"/>
                <w:b w:val="0"/>
                <w:bCs w:val="0"/>
                <w:sz w:val="13"/>
                <w:szCs w:val="13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随之减小，且两者为非线性关系。随着相对光强的增大，光敏电阻的阻值R也随之减小，且其变化速度逐渐减慢；光敏电阻的阻值R与相对光强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I/I</w:t>
            </w:r>
            <w:r>
              <w:rPr>
                <w:rFonts w:hint="eastAsia" w:ascii="宋体" w:hAnsi="宋体" w:cs="宋体"/>
                <w:b w:val="0"/>
                <w:bCs w:val="0"/>
                <w:sz w:val="13"/>
                <w:szCs w:val="13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的关系为非线性关系。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widowControl w:val="0"/>
              <w:numPr>
                <w:ilvl w:val="0"/>
                <w:numId w:val="8"/>
              </w:numPr>
              <w:ind w:left="0" w:leftChars="0" w:firstLine="420" w:firstLine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光敏电阻光照特性测量:</w:t>
            </w:r>
          </w:p>
          <w:p>
            <w:pPr>
              <w:widowControl w:val="0"/>
              <w:numPr>
                <w:ilvl w:val="0"/>
                <w:numId w:val="12"/>
              </w:numPr>
              <w:ind w:left="420" w:leftChars="0" w:hanging="420" w:firstLineChars="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原始数据记录表格如表5所示。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        表5 光敏电阻光照特性测量记录表</w:t>
            </w:r>
          </w:p>
          <w:tbl>
            <w:tblPr>
              <w:tblStyle w:val="7"/>
              <w:tblpPr w:leftFromText="180" w:rightFromText="180" w:vertAnchor="text" w:horzAnchor="page" w:tblpX="163" w:tblpY="218"/>
              <w:tblOverlap w:val="never"/>
              <w:tblW w:w="94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7"/>
              <w:gridCol w:w="1128"/>
              <w:gridCol w:w="972"/>
              <w:gridCol w:w="972"/>
              <w:gridCol w:w="972"/>
              <w:gridCol w:w="972"/>
              <w:gridCol w:w="972"/>
              <w:gridCol w:w="972"/>
              <w:gridCol w:w="97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6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夹角α/度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80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85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90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1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光强I/I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2"/>
                      <w:szCs w:val="12"/>
                      <w:u w:val="none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128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0.97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0.75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0.413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0.117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</w:t>
                  </w:r>
                </w:p>
              </w:tc>
              <w:tc>
                <w:tcPr>
                  <w:tcW w:w="9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0.008</w:t>
                  </w:r>
                </w:p>
              </w:tc>
              <w:tc>
                <w:tcPr>
                  <w:tcW w:w="973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29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电流I/A</w:t>
                  </w:r>
                </w:p>
              </w:tc>
              <w:tc>
                <w:tcPr>
                  <w:tcW w:w="1128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电压V/V</w:t>
                  </w:r>
                </w:p>
              </w:tc>
              <w:tc>
                <w:tcPr>
                  <w:tcW w:w="1128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2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973" w:type="dxa"/>
                  <w:vMerge w:val="continue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0.189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0.185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0.157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0.106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0.046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0.025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0.017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0.015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0.379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0.372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0.314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0.213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0.051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0.037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0.031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1.5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0.57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0.559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0.473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0.321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0.141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0.078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0.056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0.046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0.761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0.748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0.63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0.43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0.189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0.105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0.074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0.062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2.5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0.952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0.936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0.79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0.539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0.238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0.135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0.093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0.077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8" w:hRule="atLeast"/>
              </w:trPr>
              <w:tc>
                <w:tcPr>
                  <w:tcW w:w="14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112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1.145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1.13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0.951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0.647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0.287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0.164</w:t>
                  </w:r>
                </w:p>
              </w:tc>
              <w:tc>
                <w:tcPr>
                  <w:tcW w:w="9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0.112</w:t>
                  </w:r>
                </w:p>
              </w:tc>
              <w:tc>
                <w:tcPr>
                  <w:tcW w:w="97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0.093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13"/>
              </w:numPr>
              <w:ind w:left="420" w:leftChars="0" w:hanging="420" w:firstLineChars="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由表5的数据绘图可得，如图17的光敏电阻光照特性曲线图(不同电压在相同相对光强下的电流曲线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变化)。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3185160" cy="2067560"/>
                  <wp:effectExtent l="0" t="0" r="0" b="5080"/>
                  <wp:docPr id="13" name="图片 13" descr="420404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42040440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</w:t>
            </w:r>
          </w:p>
          <w:p>
            <w:pPr>
              <w:widowControl w:val="0"/>
              <w:numPr>
                <w:ilvl w:val="0"/>
                <w:numId w:val="0"/>
              </w:numPr>
              <w:ind w:firstLine="3570" w:firstLineChars="17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图17 光敏电阻光照特性曲线图      </w:t>
            </w:r>
          </w:p>
          <w:p>
            <w:pPr>
              <w:widowControl w:val="0"/>
              <w:numPr>
                <w:ilvl w:val="0"/>
                <w:numId w:val="0"/>
              </w:numPr>
              <w:ind w:firstLine="3570" w:firstLineChars="17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ind w:firstLine="3570" w:firstLineChars="1700"/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14"/>
              </w:numPr>
              <w:ind w:left="0" w:leftChars="0" w:firstLine="0" w:firstLineChars="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规律：当相对光强I/I</w:t>
            </w:r>
            <w:r>
              <w:rPr>
                <w:rFonts w:hint="eastAsia" w:ascii="宋体" w:hAnsi="宋体" w:cs="宋体"/>
                <w:b w:val="0"/>
                <w:bCs w:val="0"/>
                <w:sz w:val="13"/>
                <w:szCs w:val="13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一定时，随着光敏电阻两端的电压增大，电流I的大小也随之增大；当光敏电阻两端的电压一定时，随着相对光强I/I</w:t>
            </w:r>
            <w:r>
              <w:rPr>
                <w:rFonts w:hint="eastAsia" w:ascii="宋体" w:hAnsi="宋体" w:cs="宋体"/>
                <w:b w:val="0"/>
                <w:bCs w:val="0"/>
                <w:sz w:val="13"/>
                <w:szCs w:val="13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的增大，电流I的大小也随之增大；且相对光强I/I</w:t>
            </w:r>
            <w:r>
              <w:rPr>
                <w:rFonts w:hint="eastAsia" w:ascii="宋体" w:hAnsi="宋体" w:cs="宋体"/>
                <w:b w:val="0"/>
                <w:bCs w:val="0"/>
                <w:sz w:val="13"/>
                <w:szCs w:val="13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与电压U关于电流I的关系均为非线性关系。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</w:p>
          <w:p>
            <w:pPr>
              <w:widowControl w:val="0"/>
              <w:numPr>
                <w:ilvl w:val="0"/>
                <w:numId w:val="0"/>
              </w:numPr>
              <w:ind w:leftChars="200"/>
              <w:jc w:val="both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             </w:t>
            </w:r>
          </w:p>
          <w:p>
            <w:pPr>
              <w:ind w:firstLine="420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960" w:type="dxa"/>
            <w:noWrap w:val="0"/>
            <w:vAlign w:val="top"/>
          </w:tcPr>
          <w:p>
            <w:pPr>
              <w:numPr>
                <w:ilvl w:val="0"/>
                <w:numId w:val="15"/>
              </w:num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结果陈述</w:t>
            </w:r>
          </w:p>
          <w:p>
            <w:pPr>
              <w:numPr>
                <w:ilvl w:val="0"/>
                <w:numId w:val="16"/>
              </w:numPr>
              <w:ind w:left="0" w:leftChars="0" w:firstLine="420" w:firstLineChars="200"/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由图8~15得相关系数的大小均在0.999~1之间，故当</w: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入射光强不变时，光敏电阻电流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I</w: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与电压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U是</w: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线性关系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；即当入射光强一定时光敏电阻可视为一个固定阻值的电阻，光敏电阻遵循欧姆定律。</w:t>
            </w:r>
          </w:p>
          <w:p>
            <w:pPr>
              <w:numPr>
                <w:ilvl w:val="0"/>
                <w:numId w:val="16"/>
              </w:numPr>
              <w:ind w:left="0" w:leftChars="0" w:firstLine="420" w:firstLineChars="200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当入射相对光强I/I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位于0~0.1时，随着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的增大，</w: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光敏电阻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的阻值R快速减小；当入射相对光强I/I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位于0.1~1.0时，随着入射相对光强I/I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的增大，光敏电阻的阻值R减小的速度较前者下降。即随着入射相对光强I/I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的增大，光敏电阻的阻值R随之相应减小（非均匀减小），且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与光敏电阻的阻值R属于非线性关系。</w:t>
            </w:r>
          </w:p>
          <w:p>
            <w:pPr>
              <w:numPr>
                <w:ilvl w:val="0"/>
                <w:numId w:val="16"/>
              </w:numPr>
              <w:ind w:left="0" w:leftChars="0" w:firstLine="420" w:firstLineChars="200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当光敏电阻两端的电压一定时，随着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的增大，光敏电阻的阻值R减小，所以通过光敏电阻的电流I也随之增大，且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入射相对光强I/I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与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光敏电阻的电流I为非线性关系。当光敏电阻两端的电压变化时，通过光敏电阻的电流I也随之同步变化。</w:t>
            </w: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960" w:type="dxa"/>
            <w:noWrap w:val="0"/>
            <w:vAlign w:val="top"/>
          </w:tcPr>
          <w:p>
            <w:pPr>
              <w:numPr>
                <w:ilvl w:val="0"/>
                <w:numId w:val="15"/>
              </w:numPr>
              <w:ind w:left="0" w:leftChars="0" w:firstLine="0" w:firstLineChars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思考题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>
            <w:pPr>
              <w:numPr>
                <w:ilvl w:val="0"/>
                <w:numId w:val="17"/>
              </w:numPr>
              <w:ind w:firstLine="210" w:firstLineChars="10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什么是马吕斯定律，本实验中，利用该定律到达什么目的？</w:t>
            </w:r>
          </w:p>
          <w:p>
            <w:pPr>
              <w:numPr>
                <w:ilvl w:val="0"/>
                <w:numId w:val="18"/>
              </w:numPr>
              <w:ind w:left="0" w:leftChars="0" w:firstLine="0" w:firstLineChars="0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马吕斯定律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为：当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光线束在各向同性的均匀介质中传播时，始终保持着与波面的正交性，并且入射波面与出射波面对应点之间的光程均为定值。马吕斯定律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公式为I=I</w:t>
            </w:r>
            <w:r>
              <w:rPr>
                <w:rFonts w:hint="eastAsia" w:ascii="宋体" w:hAnsi="宋体" w:cs="宋体"/>
                <w:b w:val="0"/>
                <w:bCs/>
                <w:sz w:val="15"/>
                <w:szCs w:val="15"/>
                <w:lang w:val="en-US" w:eastAsia="zh-CN"/>
              </w:rPr>
              <w:t>0</w:t>
            </w:r>
            <w:r>
              <w:rPr>
                <w:rFonts w:hint="eastAsia" w:hAnsi="Cambria Math" w:cs="宋体"/>
                <w:bCs/>
                <w:i w:val="0"/>
                <w:sz w:val="21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os²</w:t>
            </w:r>
            <w:r>
              <w:rPr>
                <w:rFonts w:hint="default" w:ascii="Arial" w:hAnsi="Arial" w:eastAsia="宋体" w:cs="Arial"/>
                <w:b w:val="0"/>
                <w:bCs/>
                <w:sz w:val="21"/>
                <w:szCs w:val="21"/>
                <w:lang w:val="en-US" w:eastAsia="zh-CN"/>
              </w:rPr>
              <w:t>α</w:t>
            </w:r>
            <w:r>
              <w:rPr>
                <w:rFonts w:hint="eastAsia" w:ascii="Arial" w:hAnsi="Arial" w:cs="Arial"/>
                <w:b w:val="0"/>
                <w:bCs/>
                <w:sz w:val="21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19"/>
              </w:numPr>
              <w:ind w:left="0" w:leftChars="0" w:firstLine="0" w:firstLineChars="0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本实验中，利用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马吕斯定律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来通过改变偏振片的偏振角去实现改变光敏电阻的入射光强，从而进行光敏电阻光照特性等实验。</w:t>
            </w:r>
          </w:p>
          <w:p>
            <w:pPr>
              <w:numPr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17"/>
              </w:numPr>
              <w:ind w:left="0" w:leftChars="0" w:firstLine="210" w:firstLineChars="10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为什么光照增强时，光敏电阻的阻值会发生变化？如何变化？</w:t>
            </w:r>
          </w:p>
          <w:p>
            <w:pPr>
              <w:numPr>
                <w:ilvl w:val="0"/>
                <w:numId w:val="20"/>
              </w:numPr>
              <w:ind w:left="0" w:leftChars="0" w:firstLine="0" w:firstLineChars="0"/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光敏电阻是利用半导体的</w:t>
            </w:r>
            <w:bookmarkStart w:id="0" w:name="_GoBack"/>
            <w:bookmarkEnd w:id="0"/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instrText xml:space="preserve"> HYPERLINK "https://baike.baidu.com/item/%E5%85%89%E7%94%B5%E5%AF%BC%E6%95%88%E5%BA%94?fromModule=lemma_inlink" \t "https://baike.baidu.com/item/%E5%85%89%E6%95%8F%E7%94%B5%E9%98%BB/_blank" </w:instrTex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光电导效应</w: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制成的一种电阻值随</w: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instrText xml:space="preserve"> HYPERLINK "https://baike.baidu.com/item/%E5%85%A5%E5%B0%84%E5%85%89/4923778?fromModule=lemma_inlink" \t "https://baike.baidu.com/item/%E5%85%89%E6%95%8F%E7%94%B5%E9%98%BB/_blank" </w:instrTex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入射光</w: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default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的强弱而改变的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电阻。半导体的导电能力取决于半导体导带内载流子数目的多少，由于光照后产生的载流子都参与导电，使得光敏电阻的阻值迅速下降。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17"/>
              </w:numPr>
              <w:ind w:left="0" w:leftChars="0" w:firstLine="210" w:firstLineChars="10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利用光敏电阻，可以实现什么功能？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利用光敏电阻的阻值变化，可以实现光的测量、光的控制和</w: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instrText xml:space="preserve"> HYPERLINK "https://baike.baidu.com/item/%E5%85%89%E7%94%B5%E8%BD%AC%E6%8D%A2/10525141?fromModule=lemma_inlink" \t "https://baike.baidu.com/item/%E5%85%89%E6%95%8F%E7%94%B5%E9%98%BB/_blank" </w:instrTex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光电转换</w:t>
            </w:r>
            <w:r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，将其制成一个光控原件，主要应用为调光电路和光控开关。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17"/>
              </w:numPr>
              <w:ind w:left="0" w:leftChars="0" w:firstLine="210" w:firstLineChars="10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为何要调整光路共轴？各个光学元件的功能是什么？</w:t>
            </w:r>
          </w:p>
          <w:p>
            <w:pPr>
              <w:numPr>
                <w:ilvl w:val="0"/>
                <w:numId w:val="22"/>
              </w:num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光路共轴是为了充分利用光源的光能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，达到共轴能保证近轴光线的条件成立。光路共轴是为了减小实验误差，更好反映光敏电阻的光照特性，增加实验结果的说服力。</w:t>
            </w:r>
          </w:p>
          <w:p>
            <w:pPr>
              <w:numPr>
                <w:ilvl w:val="0"/>
                <w:numId w:val="23"/>
              </w:numPr>
              <w:ind w:left="420" w:leftChars="0" w:hanging="420" w:firstLineChars="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光源：为光敏电阻提供稳定的光照。</w:t>
            </w:r>
          </w:p>
          <w:p>
            <w:pPr>
              <w:numPr>
                <w:ilvl w:val="0"/>
                <w:numId w:val="23"/>
              </w:numPr>
              <w:ind w:left="420" w:leftChars="0" w:hanging="420" w:firstLineChars="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第一个凸透镜：调节光源的输出光照，将其转化为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平行光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。</w:t>
            </w:r>
          </w:p>
          <w:p>
            <w:pPr>
              <w:numPr>
                <w:ilvl w:val="0"/>
                <w:numId w:val="23"/>
              </w:numPr>
              <w:ind w:left="420" w:leftChars="0" w:hanging="420" w:firstLineChars="0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两个偏振片：通过改变偏振片的夹角去改变光源在垂直光路的平面上的光强。</w:t>
            </w:r>
          </w:p>
          <w:p>
            <w:pPr>
              <w:numPr>
                <w:ilvl w:val="0"/>
                <w:numId w:val="23"/>
              </w:numPr>
              <w:ind w:left="420" w:leftChars="0" w:hanging="420" w:firstLineChars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第二个凸透镜；将偏振片的输出光汇聚在光敏电阻感光面中央。</w:t>
            </w:r>
          </w:p>
          <w:p>
            <w:pPr>
              <w:ind w:firstLine="357" w:firstLineChars="1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0" w:type="dxa"/>
            <w:noWrap w:val="0"/>
            <w:vAlign w:val="top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指导教师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批阅意见</w:t>
            </w:r>
          </w:p>
          <w:p>
            <w:pPr>
              <w:ind w:firstLine="312" w:firstLineChars="149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</w:p>
          <w:p>
            <w:pPr>
              <w:ind w:firstLine="312" w:firstLineChars="149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</w:p>
          <w:p>
            <w:pPr>
              <w:ind w:firstLine="312" w:firstLineChars="149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</w:p>
          <w:p>
            <w:pPr>
              <w:ind w:firstLine="312" w:firstLineChars="149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</w:p>
          <w:p>
            <w:pPr>
              <w:ind w:firstLine="312" w:firstLineChars="149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</w:trPr>
        <w:tc>
          <w:tcPr>
            <w:tcW w:w="9960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成绩评定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Style w:val="8"/>
              <w:tblW w:w="0" w:type="auto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106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预习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操作及记录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bottom w:val="nil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数据处理与结果陈述</w:t>
                  </w: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30分</w:t>
                  </w: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  <w:lang w:eastAsia="zh-CN"/>
                    </w:rPr>
                    <w:t>）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noWrap w:val="0"/>
                  <w:vAlign w:val="top"/>
                </w:tcPr>
                <w:p>
                  <w:pP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思考题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10分</w:t>
                  </w: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  <w:lang w:eastAsia="zh-CN"/>
                    </w:rPr>
                    <w:t>）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报告整体</w:t>
                  </w:r>
                </w:p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1065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44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right w:val="nil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 w:ascii="宋体" w:hAnsi="宋体" w:eastAsia="宋体" w:cs="宋体"/>
                      <w:b w:val="0"/>
                      <w:bCs/>
                      <w:sz w:val="21"/>
                      <w:szCs w:val="21"/>
                    </w:rPr>
                  </w:pPr>
                </w:p>
              </w:tc>
            </w:tr>
          </w:tbl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/>
        </w:rPr>
      </w:pPr>
    </w:p>
    <w:p>
      <w:pPr>
        <w:ind w:left="-420" w:leftChars="-20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注：正文统一用</w:t>
      </w:r>
      <w:r>
        <w:rPr>
          <w:rFonts w:hint="eastAsia"/>
          <w:lang w:val="en-US" w:eastAsia="zh-CN"/>
        </w:rPr>
        <w:t>5号字，标题可大一号，图表名可小一号；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原始数据记录表需单独起页（表格自拟，作为预习报告评分的一部分），提交报告时附在最后；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原始数据记录表</w:t>
      </w:r>
    </w:p>
    <w:p>
      <w:pPr>
        <w:rPr>
          <w:rFonts w:hint="eastAsia"/>
          <w:b/>
          <w:bCs/>
          <w:sz w:val="30"/>
          <w:szCs w:val="30"/>
          <w:lang w:eastAsia="zh-CN"/>
        </w:rPr>
      </w:pPr>
    </w:p>
    <w:p>
      <w:pPr>
        <w:spacing w:line="36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>组号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003366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>姓名</w:t>
      </w:r>
      <w:r>
        <w:rPr>
          <w:rFonts w:hint="eastAsia" w:ascii="宋体" w:hAnsi="宋体"/>
          <w:szCs w:val="21"/>
          <w:u w:val="single"/>
        </w:rPr>
        <w:t xml:space="preserve">               </w:t>
      </w:r>
    </w:p>
    <w:p>
      <w:pPr>
        <w:rPr>
          <w:rFonts w:hint="eastAsia"/>
          <w:lang w:eastAsia="zh-CN"/>
        </w:rPr>
      </w:pPr>
    </w:p>
    <w:p>
      <w:pPr>
        <w:ind w:firstLine="2520" w:firstLineChars="1200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4</w:t>
    </w:r>
    <w:r>
      <w:fldChar w:fldCharType="end"/>
    </w:r>
  </w:p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D5F24"/>
    <w:multiLevelType w:val="singleLevel"/>
    <w:tmpl w:val="806D5F24"/>
    <w:lvl w:ilvl="0" w:tentative="0">
      <w:start w:val="5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9AE3AAA0"/>
    <w:multiLevelType w:val="singleLevel"/>
    <w:tmpl w:val="9AE3AAA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A00DE730"/>
    <w:multiLevelType w:val="singleLevel"/>
    <w:tmpl w:val="A00DE7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3E93D64"/>
    <w:multiLevelType w:val="singleLevel"/>
    <w:tmpl w:val="A3E93D64"/>
    <w:lvl w:ilvl="0" w:tentative="0">
      <w:start w:val="1"/>
      <w:numFmt w:val="bullet"/>
      <w:lvlText w:val="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abstractNum w:abstractNumId="4">
    <w:nsid w:val="B2E19101"/>
    <w:multiLevelType w:val="singleLevel"/>
    <w:tmpl w:val="B2E19101"/>
    <w:lvl w:ilvl="0" w:tentative="0">
      <w:start w:val="1"/>
      <w:numFmt w:val="bullet"/>
      <w:lvlText w:val="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abstractNum w:abstractNumId="5">
    <w:nsid w:val="B333B836"/>
    <w:multiLevelType w:val="singleLevel"/>
    <w:tmpl w:val="B333B836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B501766A"/>
    <w:multiLevelType w:val="singleLevel"/>
    <w:tmpl w:val="B501766A"/>
    <w:lvl w:ilvl="0" w:tentative="0">
      <w:start w:val="1"/>
      <w:numFmt w:val="bullet"/>
      <w:lvlText w:val="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abstractNum w:abstractNumId="7">
    <w:nsid w:val="C0B269AE"/>
    <w:multiLevelType w:val="singleLevel"/>
    <w:tmpl w:val="C0B269A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C2C304D8"/>
    <w:multiLevelType w:val="singleLevel"/>
    <w:tmpl w:val="C2C304D8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CA6E098B"/>
    <w:multiLevelType w:val="singleLevel"/>
    <w:tmpl w:val="CA6E098B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D86182C3"/>
    <w:multiLevelType w:val="singleLevel"/>
    <w:tmpl w:val="D86182C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DD9486DE"/>
    <w:multiLevelType w:val="singleLevel"/>
    <w:tmpl w:val="DD9486D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0F3EA998"/>
    <w:multiLevelType w:val="singleLevel"/>
    <w:tmpl w:val="0F3EA99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D4CB3D3"/>
    <w:multiLevelType w:val="singleLevel"/>
    <w:tmpl w:val="1D4CB3D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81215E0"/>
    <w:multiLevelType w:val="singleLevel"/>
    <w:tmpl w:val="281215E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3EF18C0A"/>
    <w:multiLevelType w:val="singleLevel"/>
    <w:tmpl w:val="3EF18C0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>
    <w:nsid w:val="4D4C1770"/>
    <w:multiLevelType w:val="singleLevel"/>
    <w:tmpl w:val="4D4C1770"/>
    <w:lvl w:ilvl="0" w:tentative="0">
      <w:start w:val="1"/>
      <w:numFmt w:val="bullet"/>
      <w:lvlText w:val="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abstractNum w:abstractNumId="17">
    <w:nsid w:val="52C9EDE8"/>
    <w:multiLevelType w:val="singleLevel"/>
    <w:tmpl w:val="52C9ED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6BB8D327"/>
    <w:multiLevelType w:val="singleLevel"/>
    <w:tmpl w:val="6BB8D3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6C3EA875"/>
    <w:multiLevelType w:val="singleLevel"/>
    <w:tmpl w:val="6C3EA875"/>
    <w:lvl w:ilvl="0" w:tentative="0">
      <w:start w:val="1"/>
      <w:numFmt w:val="bullet"/>
      <w:lvlText w:val="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abstractNum w:abstractNumId="20">
    <w:nsid w:val="6CFEAC9E"/>
    <w:multiLevelType w:val="singleLevel"/>
    <w:tmpl w:val="6CFEAC9E"/>
    <w:lvl w:ilvl="0" w:tentative="0">
      <w:start w:val="1"/>
      <w:numFmt w:val="decimal"/>
      <w:lvlText w:val="%1)"/>
      <w:lvlJc w:val="left"/>
      <w:pPr>
        <w:ind w:left="0" w:leftChars="0" w:firstLine="420" w:firstLineChars="0"/>
      </w:pPr>
      <w:rPr>
        <w:rFonts w:hint="default"/>
      </w:rPr>
    </w:lvl>
  </w:abstractNum>
  <w:abstractNum w:abstractNumId="21">
    <w:nsid w:val="6F12D4B3"/>
    <w:multiLevelType w:val="singleLevel"/>
    <w:tmpl w:val="6F12D4B3"/>
    <w:lvl w:ilvl="0" w:tentative="0">
      <w:start w:val="1"/>
      <w:numFmt w:val="bullet"/>
      <w:lvlText w:val="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abstractNum w:abstractNumId="22">
    <w:nsid w:val="786C55FA"/>
    <w:multiLevelType w:val="singleLevel"/>
    <w:tmpl w:val="786C55FA"/>
    <w:lvl w:ilvl="0" w:tentative="0">
      <w:start w:val="1"/>
      <w:numFmt w:val="bullet"/>
      <w:lvlText w:val=""/>
      <w:lvlJc w:val="left"/>
      <w:pPr>
        <w:ind w:left="0" w:leftChars="0" w:firstLine="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20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9"/>
  </w:num>
  <w:num w:numId="8">
    <w:abstractNumId w:val="15"/>
  </w:num>
  <w:num w:numId="9">
    <w:abstractNumId w:val="2"/>
  </w:num>
  <w:num w:numId="10">
    <w:abstractNumId w:val="6"/>
  </w:num>
  <w:num w:numId="11">
    <w:abstractNumId w:val="16"/>
  </w:num>
  <w:num w:numId="12">
    <w:abstractNumId w:val="17"/>
  </w:num>
  <w:num w:numId="13">
    <w:abstractNumId w:val="18"/>
  </w:num>
  <w:num w:numId="14">
    <w:abstractNumId w:val="19"/>
  </w:num>
  <w:num w:numId="15">
    <w:abstractNumId w:val="10"/>
  </w:num>
  <w:num w:numId="16">
    <w:abstractNumId w:val="14"/>
  </w:num>
  <w:num w:numId="17">
    <w:abstractNumId w:val="5"/>
  </w:num>
  <w:num w:numId="18">
    <w:abstractNumId w:val="22"/>
  </w:num>
  <w:num w:numId="19">
    <w:abstractNumId w:val="3"/>
  </w:num>
  <w:num w:numId="20">
    <w:abstractNumId w:val="21"/>
  </w:num>
  <w:num w:numId="21">
    <w:abstractNumId w:val="12"/>
  </w:num>
  <w:num w:numId="22">
    <w:abstractNumId w:val="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4OWFkYWY0ZjcxYzM1Nzg0MzNiYjA4OGE2MGE0ZGQifQ=="/>
  </w:docVars>
  <w:rsids>
    <w:rsidRoot w:val="00D95248"/>
    <w:rsid w:val="000A1742"/>
    <w:rsid w:val="00134E83"/>
    <w:rsid w:val="00165C88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B69BF"/>
    <w:rsid w:val="004F151D"/>
    <w:rsid w:val="0051323E"/>
    <w:rsid w:val="005B397A"/>
    <w:rsid w:val="006260F0"/>
    <w:rsid w:val="006B17CE"/>
    <w:rsid w:val="006E2F37"/>
    <w:rsid w:val="00725916"/>
    <w:rsid w:val="007D0CBE"/>
    <w:rsid w:val="007D6F6E"/>
    <w:rsid w:val="00826A76"/>
    <w:rsid w:val="00836142"/>
    <w:rsid w:val="008F6432"/>
    <w:rsid w:val="009822E3"/>
    <w:rsid w:val="00A01717"/>
    <w:rsid w:val="00A31868"/>
    <w:rsid w:val="00AA144B"/>
    <w:rsid w:val="00B76F35"/>
    <w:rsid w:val="00BE3E2C"/>
    <w:rsid w:val="00C353B4"/>
    <w:rsid w:val="00C52C6F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270DF"/>
    <w:rsid w:val="00F4107F"/>
    <w:rsid w:val="04714B20"/>
    <w:rsid w:val="05ED01D7"/>
    <w:rsid w:val="063E0A32"/>
    <w:rsid w:val="06A44D39"/>
    <w:rsid w:val="076F5347"/>
    <w:rsid w:val="08EB6C4F"/>
    <w:rsid w:val="0A016A1F"/>
    <w:rsid w:val="0A7E1D45"/>
    <w:rsid w:val="0AC955F7"/>
    <w:rsid w:val="0B071D3B"/>
    <w:rsid w:val="0C102F3A"/>
    <w:rsid w:val="0D2758D8"/>
    <w:rsid w:val="10AD6EE0"/>
    <w:rsid w:val="15115C90"/>
    <w:rsid w:val="15CA0325"/>
    <w:rsid w:val="17113BC4"/>
    <w:rsid w:val="172903C6"/>
    <w:rsid w:val="18552337"/>
    <w:rsid w:val="18AD3F21"/>
    <w:rsid w:val="19822B2E"/>
    <w:rsid w:val="19B412DF"/>
    <w:rsid w:val="1AFD0A64"/>
    <w:rsid w:val="20FB5A46"/>
    <w:rsid w:val="23405992"/>
    <w:rsid w:val="237F64BA"/>
    <w:rsid w:val="23841D23"/>
    <w:rsid w:val="247000D9"/>
    <w:rsid w:val="2584600A"/>
    <w:rsid w:val="258E22B1"/>
    <w:rsid w:val="26467763"/>
    <w:rsid w:val="267001F5"/>
    <w:rsid w:val="27376B02"/>
    <w:rsid w:val="27F67734"/>
    <w:rsid w:val="2B4C1842"/>
    <w:rsid w:val="2EB711FE"/>
    <w:rsid w:val="2F932C03"/>
    <w:rsid w:val="308E5F8F"/>
    <w:rsid w:val="31541B56"/>
    <w:rsid w:val="33D70FE3"/>
    <w:rsid w:val="35276991"/>
    <w:rsid w:val="359F29EC"/>
    <w:rsid w:val="363046B0"/>
    <w:rsid w:val="3B043EBA"/>
    <w:rsid w:val="3BD0293A"/>
    <w:rsid w:val="3BD80A06"/>
    <w:rsid w:val="3C37572C"/>
    <w:rsid w:val="3D915310"/>
    <w:rsid w:val="3D9646D4"/>
    <w:rsid w:val="3DB4786C"/>
    <w:rsid w:val="3EB07521"/>
    <w:rsid w:val="3F374CEF"/>
    <w:rsid w:val="42E163F2"/>
    <w:rsid w:val="44083F67"/>
    <w:rsid w:val="4799703A"/>
    <w:rsid w:val="47E96ADC"/>
    <w:rsid w:val="48C12F4D"/>
    <w:rsid w:val="49DC7913"/>
    <w:rsid w:val="4B571809"/>
    <w:rsid w:val="4B5A31E5"/>
    <w:rsid w:val="4C2A2BB8"/>
    <w:rsid w:val="4C4A0855"/>
    <w:rsid w:val="4CC76658"/>
    <w:rsid w:val="4D317F76"/>
    <w:rsid w:val="4E79019D"/>
    <w:rsid w:val="4E904545"/>
    <w:rsid w:val="4F5148FF"/>
    <w:rsid w:val="5503669C"/>
    <w:rsid w:val="573B10EB"/>
    <w:rsid w:val="573F2CCC"/>
    <w:rsid w:val="57F56770"/>
    <w:rsid w:val="58F14329"/>
    <w:rsid w:val="592D3387"/>
    <w:rsid w:val="5985616C"/>
    <w:rsid w:val="5F530220"/>
    <w:rsid w:val="608C5797"/>
    <w:rsid w:val="60C244C1"/>
    <w:rsid w:val="644303C7"/>
    <w:rsid w:val="6692162D"/>
    <w:rsid w:val="68667572"/>
    <w:rsid w:val="689D73CB"/>
    <w:rsid w:val="68B66CF9"/>
    <w:rsid w:val="694A61EF"/>
    <w:rsid w:val="699833FF"/>
    <w:rsid w:val="69C1071F"/>
    <w:rsid w:val="6A1548E8"/>
    <w:rsid w:val="6D047383"/>
    <w:rsid w:val="6D2A5AB2"/>
    <w:rsid w:val="6D6241E1"/>
    <w:rsid w:val="75A92D1A"/>
    <w:rsid w:val="77B77146"/>
    <w:rsid w:val="7C760C32"/>
    <w:rsid w:val="7ECC0C7F"/>
    <w:rsid w:val="7F8F2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link w:val="10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spacing w:line="400" w:lineRule="exact"/>
      <w:ind w:firstLine="420" w:firstLineChars="200"/>
      <w:jc w:val="left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 Char"/>
    <w:basedOn w:val="1"/>
    <w:link w:val="9"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1">
    <w:name w:val="Strong"/>
    <w:basedOn w:val="9"/>
    <w:uiPriority w:val="0"/>
    <w:rPr>
      <w:b/>
    </w:rPr>
  </w:style>
  <w:style w:type="character" w:styleId="12">
    <w:name w:val="page number"/>
    <w:basedOn w:val="9"/>
    <w:uiPriority w:val="0"/>
  </w:style>
  <w:style w:type="character" w:styleId="13">
    <w:name w:val="Hyperlink"/>
    <w:basedOn w:val="9"/>
    <w:uiPriority w:val="0"/>
    <w:rPr>
      <w:color w:val="0000FF"/>
      <w:u w:val="single"/>
    </w:rPr>
  </w:style>
  <w:style w:type="character" w:customStyle="1" w:styleId="14">
    <w:name w:val="font01"/>
    <w:basedOn w:val="9"/>
    <w:uiPriority w:val="0"/>
    <w:rPr>
      <w:rFonts w:hint="eastAsia" w:ascii="宋体" w:hAnsi="宋体" w:eastAsia="宋体" w:cs="宋体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er" Target="foot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5.bin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0.wmf"/><Relationship Id="rId17" Type="http://schemas.openxmlformats.org/officeDocument/2006/relationships/oleObject" Target="embeddings/oleObject3.bin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wmf"/><Relationship Id="rId12" Type="http://schemas.openxmlformats.org/officeDocument/2006/relationships/oleObject" Target="embeddings/oleObject2.bin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12</Pages>
  <Words>3486</Words>
  <Characters>4213</Characters>
  <Lines>5</Lines>
  <Paragraphs>1</Paragraphs>
  <TotalTime>25</TotalTime>
  <ScaleCrop>false</ScaleCrop>
  <LinksUpToDate>false</LinksUpToDate>
  <CharactersWithSpaces>5517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2014-03-05T12:35:00Z</dcterms:created>
  <dc:creator>User</dc:creator>
  <cp:lastModifiedBy>王锦鸿</cp:lastModifiedBy>
  <dcterms:modified xsi:type="dcterms:W3CDTF">2023-04-19T13:29:08Z</dcterms:modified>
  <dc:title>得分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FFD22DCA912446BEAC7AD65EE071E5A5</vt:lpwstr>
  </property>
</Properties>
</file>